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CA" w:rsidRDefault="00E07ACA" w:rsidP="00E07ACA">
      <w:pPr>
        <w:pStyle w:val="Title"/>
      </w:pPr>
      <w:bookmarkStart w:id="0" w:name="_GoBack"/>
      <w:bookmarkEnd w:id="0"/>
      <w:r>
        <w:t xml:space="preserve">‘Equity in VET and mental ill health’ </w:t>
      </w:r>
    </w:p>
    <w:p w:rsidR="00E07ACA" w:rsidRDefault="00E07ACA" w:rsidP="00E07ACA"/>
    <w:p w:rsidR="00E07ACA" w:rsidRDefault="00E07ACA" w:rsidP="00E07ACA"/>
    <w:p w:rsidR="00E07ACA" w:rsidRPr="004751CF" w:rsidRDefault="00E07ACA" w:rsidP="004751CF">
      <w:pPr>
        <w:pStyle w:val="Heading2"/>
        <w:ind w:hanging="104"/>
        <w:rPr>
          <w:sz w:val="36"/>
          <w:szCs w:val="36"/>
        </w:rPr>
      </w:pPr>
      <w:r w:rsidRPr="004751CF">
        <w:rPr>
          <w:sz w:val="36"/>
          <w:szCs w:val="36"/>
        </w:rPr>
        <w:t xml:space="preserve">Slide </w:t>
      </w:r>
      <w:r w:rsidR="00336854">
        <w:rPr>
          <w:sz w:val="36"/>
          <w:szCs w:val="36"/>
        </w:rPr>
        <w:t>2</w:t>
      </w:r>
    </w:p>
    <w:p w:rsidR="00E07ACA" w:rsidRDefault="00E07ACA" w:rsidP="00E07ACA">
      <w:r>
        <w:t>Presenter: Bryan Winnett</w:t>
      </w:r>
    </w:p>
    <w:p w:rsidR="00E07ACA" w:rsidRDefault="00E07ACA" w:rsidP="00E07ACA"/>
    <w:p w:rsidR="00E07ACA" w:rsidRDefault="00E07ACA" w:rsidP="00E07ACA">
      <w:r>
        <w:t xml:space="preserve">Bridge &amp; Road Construction, Bricklayer, Psychiatric Nurse, </w:t>
      </w:r>
    </w:p>
    <w:p w:rsidR="00E07ACA" w:rsidRDefault="00E07ACA" w:rsidP="00E07ACA">
      <w:r>
        <w:t>Disability Support Manager, Teacher, Stone Mason</w:t>
      </w:r>
    </w:p>
    <w:p w:rsidR="00E07ACA" w:rsidRDefault="00E07ACA" w:rsidP="00E07ACA"/>
    <w:p w:rsidR="00E07ACA" w:rsidRDefault="00E07ACA" w:rsidP="00E07ACA"/>
    <w:p w:rsidR="00336854" w:rsidRPr="004751CF" w:rsidRDefault="00336854" w:rsidP="00336854">
      <w:pPr>
        <w:pStyle w:val="Heading2"/>
        <w:ind w:hanging="104"/>
        <w:rPr>
          <w:sz w:val="36"/>
          <w:szCs w:val="36"/>
        </w:rPr>
      </w:pPr>
      <w:r w:rsidRPr="004751CF">
        <w:rPr>
          <w:sz w:val="36"/>
          <w:szCs w:val="36"/>
        </w:rPr>
        <w:t xml:space="preserve">Slide </w:t>
      </w:r>
      <w:r>
        <w:rPr>
          <w:sz w:val="36"/>
          <w:szCs w:val="36"/>
        </w:rPr>
        <w:t>3</w:t>
      </w:r>
    </w:p>
    <w:p w:rsidR="00E07ACA" w:rsidRDefault="00281F29" w:rsidP="00E07ACA">
      <w:r>
        <w:t xml:space="preserve">Facilities of higher education </w:t>
      </w:r>
      <w:r w:rsidR="00E07ACA">
        <w:t>have an obligation to assist and educate our youth</w:t>
      </w:r>
      <w:r>
        <w:t xml:space="preserve"> </w:t>
      </w:r>
      <w:r w:rsidR="00E07ACA">
        <w:t>and mature</w:t>
      </w:r>
      <w:r>
        <w:t xml:space="preserve"> </w:t>
      </w:r>
      <w:r w:rsidR="00E07ACA">
        <w:t xml:space="preserve">aged students regarding mental health </w:t>
      </w:r>
      <w:r w:rsidR="00336854">
        <w:t>maintenance</w:t>
      </w:r>
    </w:p>
    <w:p w:rsidR="00E07ACA" w:rsidRDefault="00E07ACA" w:rsidP="00E07ACA">
      <w:r>
        <w:t xml:space="preserve">Young people in primary and secondary schools are in the care of teachers and support staff. Social guidance and general wellbeing are key responsibilities. In our roles as educators in </w:t>
      </w:r>
      <w:r w:rsidR="00DF538D">
        <w:t xml:space="preserve">the tertiary sector we maintain </w:t>
      </w:r>
      <w:r>
        <w:t>student care on a dif</w:t>
      </w:r>
      <w:r w:rsidR="00DF538D">
        <w:t xml:space="preserve">ferent level that reflects our </w:t>
      </w:r>
      <w:r>
        <w:t>responsibility to the community.</w:t>
      </w:r>
    </w:p>
    <w:p w:rsidR="00281F29" w:rsidRDefault="00281F29" w:rsidP="00E07ACA"/>
    <w:p w:rsidR="00E07ACA" w:rsidRDefault="00E07ACA" w:rsidP="00E07ACA">
      <w:r>
        <w:t xml:space="preserve">As </w:t>
      </w:r>
      <w:r w:rsidR="00336854">
        <w:t>educators we have a ‘</w:t>
      </w:r>
      <w:r>
        <w:t xml:space="preserve">captive </w:t>
      </w:r>
      <w:proofErr w:type="gramStart"/>
      <w:r>
        <w:t>audience</w:t>
      </w:r>
      <w:r w:rsidR="00336854">
        <w:t xml:space="preserve"> </w:t>
      </w:r>
      <w:r>
        <w:t>’</w:t>
      </w:r>
      <w:proofErr w:type="gramEnd"/>
      <w:r>
        <w:t xml:space="preserve"> of our most vulnerable young Australians and we also have the potential to send a positive message to other countries and </w:t>
      </w:r>
      <w:r w:rsidR="00336854">
        <w:t xml:space="preserve"> </w:t>
      </w:r>
      <w:r>
        <w:t>cultures</w:t>
      </w:r>
      <w:r w:rsidR="00336854">
        <w:t xml:space="preserve"> </w:t>
      </w:r>
      <w:r>
        <w:t xml:space="preserve">via international students. </w:t>
      </w:r>
    </w:p>
    <w:p w:rsidR="00E07ACA" w:rsidRDefault="00E07ACA" w:rsidP="00E07ACA"/>
    <w:p w:rsidR="00E07ACA" w:rsidRDefault="00E07ACA" w:rsidP="00E07ACA"/>
    <w:p w:rsidR="00336854" w:rsidRPr="004751CF" w:rsidRDefault="00336854" w:rsidP="00336854">
      <w:pPr>
        <w:pStyle w:val="Heading2"/>
        <w:ind w:hanging="104"/>
        <w:rPr>
          <w:sz w:val="36"/>
          <w:szCs w:val="36"/>
        </w:rPr>
      </w:pPr>
      <w:r w:rsidRPr="004751CF">
        <w:rPr>
          <w:sz w:val="36"/>
          <w:szCs w:val="36"/>
        </w:rPr>
        <w:t xml:space="preserve">Slide </w:t>
      </w:r>
      <w:r>
        <w:rPr>
          <w:sz w:val="36"/>
          <w:szCs w:val="36"/>
        </w:rPr>
        <w:t>4</w:t>
      </w:r>
    </w:p>
    <w:p w:rsidR="00E07ACA" w:rsidRDefault="00E07ACA" w:rsidP="00E07ACA">
      <w:r>
        <w:t xml:space="preserve">Why do we </w:t>
      </w:r>
      <w:r w:rsidR="00336854">
        <w:t>n</w:t>
      </w:r>
      <w:r>
        <w:t>eed</w:t>
      </w:r>
      <w:r w:rsidR="00336854">
        <w:t xml:space="preserve"> </w:t>
      </w:r>
      <w:r>
        <w:t>to have a stronger focus in providing assistance for students with mental health issues</w:t>
      </w:r>
      <w:r w:rsidR="00336854">
        <w:t xml:space="preserve"> </w:t>
      </w:r>
      <w:r>
        <w:t>to participate</w:t>
      </w:r>
      <w:r w:rsidR="00336854">
        <w:t xml:space="preserve"> </w:t>
      </w:r>
      <w:r>
        <w:t xml:space="preserve">in education? </w:t>
      </w:r>
    </w:p>
    <w:p w:rsidR="00E07ACA" w:rsidRDefault="00E07ACA" w:rsidP="00E07ACA"/>
    <w:p w:rsidR="00336854" w:rsidRPr="004751CF" w:rsidRDefault="00336854" w:rsidP="00336854">
      <w:pPr>
        <w:pStyle w:val="Heading2"/>
        <w:ind w:hanging="104"/>
        <w:rPr>
          <w:sz w:val="36"/>
          <w:szCs w:val="36"/>
        </w:rPr>
      </w:pPr>
      <w:r>
        <w:rPr>
          <w:sz w:val="36"/>
          <w:szCs w:val="36"/>
        </w:rPr>
        <w:t>Slide 5</w:t>
      </w:r>
    </w:p>
    <w:p w:rsidR="00336854" w:rsidRDefault="00E07ACA" w:rsidP="00336854">
      <w:pPr>
        <w:pStyle w:val="ListParagraph"/>
        <w:numPr>
          <w:ilvl w:val="0"/>
          <w:numId w:val="4"/>
        </w:numPr>
      </w:pPr>
      <w:r>
        <w:t xml:space="preserve">Speakers and the presented data at the Inaugural Australasian mental health and higher education conference this year (2017) highlighted the mental illness crisis within the target age group of young people undertaking study. The data presented by multiple speakers was consistent and quite alarming. </w:t>
      </w:r>
    </w:p>
    <w:p w:rsidR="00336854" w:rsidRDefault="00E07ACA" w:rsidP="00336854">
      <w:pPr>
        <w:pStyle w:val="ListParagraph"/>
        <w:numPr>
          <w:ilvl w:val="0"/>
          <w:numId w:val="4"/>
        </w:numPr>
      </w:pPr>
      <w:r>
        <w:t>The Australian Institute of Health and Welfare data shows more than one quarte</w:t>
      </w:r>
      <w:r w:rsidR="00336854">
        <w:t xml:space="preserve">r (26 per cent) of the 16 - </w:t>
      </w:r>
      <w:r>
        <w:t>24 age group experience a mental health disorder in a 12</w:t>
      </w:r>
      <w:r w:rsidR="00336854">
        <w:t xml:space="preserve"> </w:t>
      </w:r>
      <w:r>
        <w:t>-</w:t>
      </w:r>
      <w:r w:rsidR="00336854">
        <w:t xml:space="preserve"> </w:t>
      </w:r>
      <w:r>
        <w:t>month period –</w:t>
      </w:r>
      <w:r w:rsidR="00336854">
        <w:t xml:space="preserve"> </w:t>
      </w:r>
      <w:r>
        <w:t xml:space="preserve">the highest incidence of any age </w:t>
      </w:r>
      <w:r w:rsidR="00336854">
        <w:t xml:space="preserve">group. </w:t>
      </w:r>
    </w:p>
    <w:p w:rsidR="00E07ACA" w:rsidRDefault="00E07ACA" w:rsidP="00336854">
      <w:pPr>
        <w:pStyle w:val="ListParagraph"/>
        <w:numPr>
          <w:ilvl w:val="0"/>
          <w:numId w:val="4"/>
        </w:numPr>
      </w:pPr>
      <w:r>
        <w:t xml:space="preserve">Statistics presented at the conference indicated, especially in rural areas </w:t>
      </w:r>
      <w:proofErr w:type="spellStart"/>
      <w:r>
        <w:t>drop out</w:t>
      </w:r>
      <w:proofErr w:type="spellEnd"/>
      <w:r>
        <w:t xml:space="preserve"> rates due to depression, anxiety and other disorders had increased in some areas up to almost 50%.</w:t>
      </w:r>
    </w:p>
    <w:p w:rsidR="00E07ACA" w:rsidRDefault="00E07ACA" w:rsidP="00E07ACA"/>
    <w:p w:rsidR="00E07ACA" w:rsidRDefault="00E07ACA" w:rsidP="00E07ACA"/>
    <w:p w:rsidR="00336854" w:rsidRPr="004751CF" w:rsidRDefault="00336854" w:rsidP="00336854">
      <w:pPr>
        <w:pStyle w:val="Heading2"/>
        <w:ind w:hanging="104"/>
        <w:rPr>
          <w:sz w:val="36"/>
          <w:szCs w:val="36"/>
        </w:rPr>
      </w:pPr>
      <w:r>
        <w:rPr>
          <w:sz w:val="36"/>
          <w:szCs w:val="36"/>
        </w:rPr>
        <w:t>Slide 6</w:t>
      </w:r>
    </w:p>
    <w:p w:rsidR="00E07ACA" w:rsidRDefault="00E07ACA" w:rsidP="00E07ACA">
      <w:r>
        <w:t>MENTAL ILLN</w:t>
      </w:r>
      <w:r w:rsidR="00336854">
        <w:t>ESS WHAT SHOULD WE LOOK OUT FOR?</w:t>
      </w:r>
    </w:p>
    <w:p w:rsidR="00E07ACA" w:rsidRDefault="00E07ACA" w:rsidP="00E07ACA"/>
    <w:p w:rsidR="00336854" w:rsidRPr="004751CF" w:rsidRDefault="00336854" w:rsidP="00336854">
      <w:pPr>
        <w:pStyle w:val="Heading2"/>
        <w:ind w:hanging="104"/>
        <w:rPr>
          <w:sz w:val="36"/>
          <w:szCs w:val="36"/>
        </w:rPr>
      </w:pPr>
      <w:r>
        <w:rPr>
          <w:sz w:val="36"/>
          <w:szCs w:val="36"/>
        </w:rPr>
        <w:lastRenderedPageBreak/>
        <w:t>Slide 7</w:t>
      </w:r>
    </w:p>
    <w:p w:rsidR="00E07ACA" w:rsidRDefault="00E07ACA" w:rsidP="00E07ACA"/>
    <w:p w:rsidR="00336854" w:rsidRDefault="00336854" w:rsidP="00336854">
      <w:r>
        <w:t>How can institutions provide an inclusive academic and social environment for students experiencing mental health illness?</w:t>
      </w:r>
    </w:p>
    <w:p w:rsidR="00336854" w:rsidRDefault="00336854" w:rsidP="00336854">
      <w:r>
        <w:t xml:space="preserve">What are the best practice standards for providing reasonable adjustments for students with mental health disabilities? </w:t>
      </w:r>
    </w:p>
    <w:p w:rsidR="00336854" w:rsidRDefault="00336854" w:rsidP="00336854">
      <w:r>
        <w:t xml:space="preserve">(As noted: Norton, J &amp; Brett, M, 2011) Healthy students, healthy institutions [Discussion Paper]. 4 - 5 </w:t>
      </w:r>
      <w:proofErr w:type="gramStart"/>
      <w:r>
        <w:t>August,</w:t>
      </w:r>
      <w:proofErr w:type="gramEnd"/>
      <w:r>
        <w:t xml:space="preserve"> 2011. University of Melbourne.</w:t>
      </w:r>
    </w:p>
    <w:p w:rsidR="00E07ACA" w:rsidRDefault="00E07ACA" w:rsidP="00E07ACA">
      <w:r>
        <w:t>The questions above were asked back in 2011</w:t>
      </w:r>
    </w:p>
    <w:p w:rsidR="00E07ACA" w:rsidRDefault="00E07ACA" w:rsidP="00E07ACA">
      <w:r>
        <w:t>Our institute at Wodonga TAFE started practical environmental and academic modifications</w:t>
      </w:r>
      <w:r w:rsidR="00336854">
        <w:t xml:space="preserve"> </w:t>
      </w:r>
      <w:r>
        <w:t xml:space="preserve">with success in </w:t>
      </w:r>
      <w:r w:rsidR="00336854">
        <w:t>2003</w:t>
      </w:r>
    </w:p>
    <w:p w:rsidR="00E07ACA" w:rsidRDefault="00E07ACA" w:rsidP="00E07ACA"/>
    <w:p w:rsidR="00336854" w:rsidRPr="004751CF" w:rsidRDefault="00336854" w:rsidP="00336854">
      <w:pPr>
        <w:pStyle w:val="Heading2"/>
        <w:ind w:hanging="104"/>
        <w:rPr>
          <w:sz w:val="36"/>
          <w:szCs w:val="36"/>
        </w:rPr>
      </w:pPr>
      <w:r>
        <w:rPr>
          <w:sz w:val="36"/>
          <w:szCs w:val="36"/>
        </w:rPr>
        <w:t>Slide</w:t>
      </w:r>
      <w:r w:rsidR="00FD574D">
        <w:rPr>
          <w:sz w:val="36"/>
          <w:szCs w:val="36"/>
        </w:rPr>
        <w:t xml:space="preserve"> 8</w:t>
      </w:r>
    </w:p>
    <w:p w:rsidR="00E07ACA" w:rsidRDefault="00E07ACA" w:rsidP="00E07ACA"/>
    <w:p w:rsidR="00E07ACA" w:rsidRDefault="00E07ACA" w:rsidP="00E07ACA">
      <w:r>
        <w:t>Practical hands on assistance at Wodonga TAFE has included 'Targeted Training’ course development for students with mental health issues:</w:t>
      </w:r>
    </w:p>
    <w:p w:rsidR="00E07ACA" w:rsidRDefault="00E07ACA" w:rsidP="00E07ACA"/>
    <w:p w:rsidR="00FD574D" w:rsidRDefault="00E07ACA" w:rsidP="00E07ACA">
      <w:pPr>
        <w:pStyle w:val="ListParagraph"/>
        <w:numPr>
          <w:ilvl w:val="0"/>
          <w:numId w:val="5"/>
        </w:numPr>
      </w:pPr>
      <w:r>
        <w:t xml:space="preserve">Student groups have varied in age, education experience, vocational </w:t>
      </w:r>
      <w:r w:rsidR="00FD574D">
        <w:t>experience and ability</w:t>
      </w:r>
    </w:p>
    <w:p w:rsidR="00FD574D" w:rsidRDefault="00E07ACA" w:rsidP="00E07ACA">
      <w:pPr>
        <w:pStyle w:val="ListParagraph"/>
        <w:numPr>
          <w:ilvl w:val="0"/>
          <w:numId w:val="5"/>
        </w:numPr>
      </w:pPr>
      <w:r>
        <w:t>Building Bridges course = 5 ho</w:t>
      </w:r>
      <w:r w:rsidR="00FD574D">
        <w:t>urs for 2 days for eight weeks.</w:t>
      </w:r>
    </w:p>
    <w:p w:rsidR="00FD574D" w:rsidRDefault="00E07ACA" w:rsidP="00E07ACA">
      <w:pPr>
        <w:pStyle w:val="ListParagraph"/>
        <w:numPr>
          <w:ilvl w:val="1"/>
          <w:numId w:val="5"/>
        </w:numPr>
      </w:pPr>
      <w:r>
        <w:t xml:space="preserve">First intake in 2003 as a pilot </w:t>
      </w:r>
      <w:proofErr w:type="spellStart"/>
      <w:r>
        <w:t>programme</w:t>
      </w:r>
      <w:proofErr w:type="spellEnd"/>
      <w:r>
        <w:t xml:space="preserve"> responding to poor student </w:t>
      </w:r>
      <w:r w:rsidR="00FD574D">
        <w:t>retention numbers</w:t>
      </w:r>
    </w:p>
    <w:p w:rsidR="00FD574D" w:rsidRDefault="00FD574D" w:rsidP="00E07ACA">
      <w:pPr>
        <w:pStyle w:val="ListParagraph"/>
        <w:numPr>
          <w:ilvl w:val="1"/>
          <w:numId w:val="5"/>
        </w:numPr>
      </w:pPr>
      <w:r>
        <w:t>Not long after commencement</w:t>
      </w:r>
      <w:r w:rsidR="00E07ACA">
        <w:t>,</w:t>
      </w:r>
      <w:r>
        <w:t xml:space="preserve"> </w:t>
      </w:r>
      <w:r w:rsidR="00E07ACA">
        <w:t>running up to nine groups a year with</w:t>
      </w:r>
      <w:r>
        <w:t xml:space="preserve"> in three years</w:t>
      </w:r>
    </w:p>
    <w:p w:rsidR="00E07ACA" w:rsidRDefault="00E07ACA" w:rsidP="00E07ACA">
      <w:pPr>
        <w:pStyle w:val="ListParagraph"/>
        <w:numPr>
          <w:ilvl w:val="1"/>
          <w:numId w:val="5"/>
        </w:numPr>
      </w:pPr>
      <w:r>
        <w:t>Government promotion and financial incentives to other institutes</w:t>
      </w:r>
    </w:p>
    <w:p w:rsidR="00E07ACA" w:rsidRDefault="00E07ACA" w:rsidP="00E07ACA"/>
    <w:p w:rsidR="00FD574D" w:rsidRDefault="00FD574D" w:rsidP="00E07ACA">
      <w:pPr>
        <w:pStyle w:val="ListParagraph"/>
        <w:numPr>
          <w:ilvl w:val="0"/>
          <w:numId w:val="6"/>
        </w:numPr>
      </w:pPr>
      <w:r>
        <w:t xml:space="preserve">REAL Options - </w:t>
      </w:r>
      <w:r w:rsidR="00E07ACA">
        <w:t xml:space="preserve">Longer courses </w:t>
      </w:r>
      <w:r>
        <w:t>I</w:t>
      </w:r>
      <w:r w:rsidR="00E07ACA">
        <w:t>e;</w:t>
      </w:r>
      <w:r>
        <w:t xml:space="preserve"> </w:t>
      </w:r>
      <w:r w:rsidR="00E07ACA">
        <w:t>-</w:t>
      </w:r>
      <w:r>
        <w:t xml:space="preserve"> </w:t>
      </w:r>
      <w:r w:rsidR="00E07ACA">
        <w:t xml:space="preserve">the </w:t>
      </w:r>
      <w:proofErr w:type="gramStart"/>
      <w:r>
        <w:t>2 year</w:t>
      </w:r>
      <w:proofErr w:type="gramEnd"/>
      <w:r>
        <w:t xml:space="preserve"> River 2 Recovery course.</w:t>
      </w:r>
    </w:p>
    <w:p w:rsidR="00E07ACA" w:rsidRDefault="00E07ACA" w:rsidP="00E07ACA">
      <w:pPr>
        <w:pStyle w:val="ListParagraph"/>
        <w:numPr>
          <w:ilvl w:val="0"/>
          <w:numId w:val="6"/>
        </w:numPr>
      </w:pPr>
      <w:r>
        <w:t>Progressing to longer Vocational preparation Certificate II courses</w:t>
      </w:r>
    </w:p>
    <w:p w:rsidR="00E07ACA" w:rsidRDefault="00E07ACA" w:rsidP="00E07ACA"/>
    <w:p w:rsidR="00E07ACA" w:rsidRPr="0004135A" w:rsidRDefault="00784EEA" w:rsidP="0004135A">
      <w:pPr>
        <w:pStyle w:val="Heading2"/>
        <w:ind w:hanging="104"/>
        <w:rPr>
          <w:sz w:val="36"/>
          <w:szCs w:val="36"/>
        </w:rPr>
      </w:pPr>
      <w:r>
        <w:rPr>
          <w:sz w:val="36"/>
          <w:szCs w:val="36"/>
        </w:rPr>
        <w:t>Slide 9</w:t>
      </w:r>
    </w:p>
    <w:p w:rsidR="00784EEA" w:rsidRDefault="00784EEA" w:rsidP="00784EEA">
      <w:r>
        <w:t>IMAGE: On a river, 5 canoes with people in them facing towards two motor boats.</w:t>
      </w:r>
    </w:p>
    <w:p w:rsidR="00E07ACA" w:rsidRDefault="00E07ACA" w:rsidP="00E07ACA"/>
    <w:p w:rsidR="00E07ACA" w:rsidRDefault="00E07ACA" w:rsidP="00E07ACA"/>
    <w:p w:rsidR="00E07ACA" w:rsidRDefault="00E07ACA" w:rsidP="00E07ACA">
      <w:r>
        <w:t>THE RIVER TO RECOVERY -</w:t>
      </w:r>
      <w:r w:rsidR="00784EEA">
        <w:t xml:space="preserve"> </w:t>
      </w:r>
      <w:r>
        <w:t xml:space="preserve">AN EXAMPLE OF A STUDENT DRIVEN PROJECT </w:t>
      </w:r>
    </w:p>
    <w:p w:rsidR="00E07ACA" w:rsidRDefault="00E07ACA" w:rsidP="00E07ACA">
      <w:r>
        <w:t xml:space="preserve">In Partnership with ABC Open. </w:t>
      </w:r>
      <w:hyperlink r:id="rId5" w:history="1">
        <w:r w:rsidR="00784EEA" w:rsidRPr="00990CB4">
          <w:rPr>
            <w:rStyle w:val="Hyperlink"/>
          </w:rPr>
          <w:t>https://youtu.be/5W1exmz1w0U</w:t>
        </w:r>
      </w:hyperlink>
      <w:r w:rsidR="00784EEA">
        <w:t xml:space="preserve"> </w:t>
      </w:r>
    </w:p>
    <w:p w:rsidR="00E07ACA" w:rsidRDefault="00E07ACA" w:rsidP="00E07ACA"/>
    <w:p w:rsidR="00E07ACA" w:rsidRDefault="00E07ACA" w:rsidP="00E07ACA"/>
    <w:p w:rsidR="00E07ACA" w:rsidRDefault="00784EEA" w:rsidP="0004135A">
      <w:pPr>
        <w:pStyle w:val="Heading2"/>
        <w:ind w:hanging="104"/>
        <w:rPr>
          <w:sz w:val="36"/>
          <w:szCs w:val="36"/>
        </w:rPr>
      </w:pPr>
      <w:r>
        <w:rPr>
          <w:sz w:val="36"/>
          <w:szCs w:val="36"/>
        </w:rPr>
        <w:t>Slide 10</w:t>
      </w:r>
    </w:p>
    <w:p w:rsidR="0004135A" w:rsidRDefault="0004135A" w:rsidP="0004135A">
      <w:pPr>
        <w:pStyle w:val="Heading2"/>
        <w:ind w:hanging="104"/>
        <w:rPr>
          <w:sz w:val="36"/>
          <w:szCs w:val="36"/>
        </w:rPr>
      </w:pPr>
    </w:p>
    <w:p w:rsidR="0004135A" w:rsidRDefault="0004135A" w:rsidP="0004135A">
      <w:r>
        <w:t>Staged Self Directed Learning Model - Gerald O Grow</w:t>
      </w:r>
    </w:p>
    <w:p w:rsidR="0004135A" w:rsidRDefault="0004135A" w:rsidP="0004135A">
      <w:r>
        <w:t>Teaching learners to be self - directed</w:t>
      </w:r>
    </w:p>
    <w:p w:rsidR="00784EEA" w:rsidRDefault="00784EEA" w:rsidP="00E07ACA"/>
    <w:tbl>
      <w:tblPr>
        <w:tblStyle w:val="TableGrid"/>
        <w:tblW w:w="0" w:type="auto"/>
        <w:tblLook w:val="04A0" w:firstRow="1" w:lastRow="0" w:firstColumn="1" w:lastColumn="0" w:noHBand="0" w:noVBand="1"/>
      </w:tblPr>
      <w:tblGrid>
        <w:gridCol w:w="2376"/>
        <w:gridCol w:w="2835"/>
        <w:gridCol w:w="2835"/>
        <w:gridCol w:w="7088"/>
      </w:tblGrid>
      <w:tr w:rsidR="00784EEA" w:rsidTr="00B842E1">
        <w:trPr>
          <w:tblHeader/>
        </w:trPr>
        <w:tc>
          <w:tcPr>
            <w:tcW w:w="2376" w:type="dxa"/>
          </w:tcPr>
          <w:p w:rsidR="00784EEA" w:rsidRDefault="00784EEA" w:rsidP="00784EEA">
            <w:bookmarkStart w:id="1" w:name="Title_1" w:colFirst="0" w:colLast="0"/>
            <w:r>
              <w:t>Stage</w:t>
            </w:r>
          </w:p>
          <w:p w:rsidR="00784EEA" w:rsidRDefault="00784EEA" w:rsidP="00E07ACA"/>
        </w:tc>
        <w:tc>
          <w:tcPr>
            <w:tcW w:w="2835" w:type="dxa"/>
          </w:tcPr>
          <w:p w:rsidR="00784EEA" w:rsidRDefault="00784EEA" w:rsidP="00784EEA">
            <w:r>
              <w:t>Student</w:t>
            </w:r>
          </w:p>
          <w:p w:rsidR="00784EEA" w:rsidRDefault="00784EEA" w:rsidP="00E07ACA"/>
        </w:tc>
        <w:tc>
          <w:tcPr>
            <w:tcW w:w="2835" w:type="dxa"/>
          </w:tcPr>
          <w:p w:rsidR="00784EEA" w:rsidRDefault="00784EEA" w:rsidP="00784EEA">
            <w:r>
              <w:t>Teacher</w:t>
            </w:r>
          </w:p>
          <w:p w:rsidR="00784EEA" w:rsidRDefault="00784EEA" w:rsidP="00E07ACA"/>
        </w:tc>
        <w:tc>
          <w:tcPr>
            <w:tcW w:w="7088" w:type="dxa"/>
          </w:tcPr>
          <w:p w:rsidR="00784EEA" w:rsidRDefault="00784EEA" w:rsidP="00784EEA">
            <w:r>
              <w:t xml:space="preserve">Examples </w:t>
            </w:r>
          </w:p>
          <w:p w:rsidR="00784EEA" w:rsidRDefault="00784EEA" w:rsidP="00E07ACA"/>
        </w:tc>
      </w:tr>
      <w:bookmarkEnd w:id="1"/>
      <w:tr w:rsidR="00784EEA" w:rsidTr="00B842E1">
        <w:tc>
          <w:tcPr>
            <w:tcW w:w="2376" w:type="dxa"/>
          </w:tcPr>
          <w:p w:rsidR="00784EEA" w:rsidRDefault="00784EEA" w:rsidP="00784EEA">
            <w:r>
              <w:t>Stage 1</w:t>
            </w:r>
          </w:p>
          <w:p w:rsidR="00784EEA" w:rsidRDefault="00784EEA" w:rsidP="00E07ACA"/>
        </w:tc>
        <w:tc>
          <w:tcPr>
            <w:tcW w:w="2835" w:type="dxa"/>
          </w:tcPr>
          <w:p w:rsidR="00784EEA" w:rsidRDefault="00784EEA" w:rsidP="00784EEA">
            <w:r>
              <w:t>Dependent</w:t>
            </w:r>
          </w:p>
          <w:p w:rsidR="00784EEA" w:rsidRDefault="00784EEA" w:rsidP="00E07ACA"/>
        </w:tc>
        <w:tc>
          <w:tcPr>
            <w:tcW w:w="2835" w:type="dxa"/>
          </w:tcPr>
          <w:p w:rsidR="00784EEA" w:rsidRDefault="00784EEA" w:rsidP="00784EEA">
            <w:r>
              <w:t>Authority coach</w:t>
            </w:r>
          </w:p>
          <w:p w:rsidR="00784EEA" w:rsidRDefault="00784EEA" w:rsidP="00E07ACA"/>
        </w:tc>
        <w:tc>
          <w:tcPr>
            <w:tcW w:w="7088" w:type="dxa"/>
          </w:tcPr>
          <w:p w:rsidR="00784EEA" w:rsidRDefault="00784EEA" w:rsidP="00784EEA">
            <w:r>
              <w:t xml:space="preserve">Coaching with immediate feedback. Drills. </w:t>
            </w:r>
          </w:p>
          <w:p w:rsidR="00784EEA" w:rsidRDefault="00784EEA" w:rsidP="00784EEA">
            <w:r>
              <w:t xml:space="preserve">Informal &amp; formal lectures. Overcoming </w:t>
            </w:r>
          </w:p>
          <w:p w:rsidR="00784EEA" w:rsidRDefault="00784EEA" w:rsidP="00784EEA">
            <w:r>
              <w:t xml:space="preserve">deficiencies &amp; resistance. Directed activities </w:t>
            </w:r>
          </w:p>
          <w:p w:rsidR="00784EEA" w:rsidRDefault="00784EEA" w:rsidP="00784EEA">
            <w:r>
              <w:t>that encourage confident communication.</w:t>
            </w:r>
          </w:p>
          <w:p w:rsidR="00784EEA" w:rsidRDefault="00784EEA" w:rsidP="00E07ACA"/>
        </w:tc>
      </w:tr>
      <w:tr w:rsidR="00784EEA" w:rsidTr="00B842E1">
        <w:tc>
          <w:tcPr>
            <w:tcW w:w="2376" w:type="dxa"/>
          </w:tcPr>
          <w:p w:rsidR="00784EEA" w:rsidRDefault="00784EEA" w:rsidP="00784EEA">
            <w:r>
              <w:t>Stage 2</w:t>
            </w:r>
          </w:p>
          <w:p w:rsidR="00784EEA" w:rsidRDefault="00784EEA" w:rsidP="00E07ACA"/>
        </w:tc>
        <w:tc>
          <w:tcPr>
            <w:tcW w:w="2835" w:type="dxa"/>
          </w:tcPr>
          <w:p w:rsidR="00B842E1" w:rsidRDefault="00B842E1" w:rsidP="00B842E1">
            <w:r>
              <w:t xml:space="preserve">Interested. Comfortable with </w:t>
            </w:r>
          </w:p>
          <w:p w:rsidR="00B842E1" w:rsidRDefault="00B842E1" w:rsidP="00B842E1">
            <w:r>
              <w:t xml:space="preserve">co-students. Encouraged by </w:t>
            </w:r>
          </w:p>
          <w:p w:rsidR="00B842E1" w:rsidRDefault="00B842E1" w:rsidP="00B842E1">
            <w:r>
              <w:t xml:space="preserve">‘all about me’ </w:t>
            </w:r>
          </w:p>
          <w:p w:rsidR="00B842E1" w:rsidRDefault="00B842E1" w:rsidP="00B842E1">
            <w:r>
              <w:t xml:space="preserve">exercises. </w:t>
            </w:r>
          </w:p>
          <w:p w:rsidR="00784EEA" w:rsidRDefault="00784EEA" w:rsidP="00E07ACA"/>
        </w:tc>
        <w:tc>
          <w:tcPr>
            <w:tcW w:w="2835" w:type="dxa"/>
          </w:tcPr>
          <w:p w:rsidR="00B842E1" w:rsidRDefault="00B842E1" w:rsidP="00B842E1">
            <w:r>
              <w:t>Motivator guide</w:t>
            </w:r>
          </w:p>
          <w:p w:rsidR="00784EEA" w:rsidRDefault="00784EEA" w:rsidP="00E07ACA"/>
        </w:tc>
        <w:tc>
          <w:tcPr>
            <w:tcW w:w="7088" w:type="dxa"/>
          </w:tcPr>
          <w:p w:rsidR="00B842E1" w:rsidRDefault="00B842E1" w:rsidP="00B842E1">
            <w:r>
              <w:t xml:space="preserve">Inspiring lectures plus discussion. Goal setting </w:t>
            </w:r>
          </w:p>
          <w:p w:rsidR="00B842E1" w:rsidRDefault="00B842E1" w:rsidP="00B842E1">
            <w:r>
              <w:t xml:space="preserve">and learning strategies. Student exercises that </w:t>
            </w:r>
          </w:p>
          <w:p w:rsidR="00B842E1" w:rsidRDefault="00B842E1" w:rsidP="00B842E1">
            <w:r>
              <w:t>foster independent thinking.</w:t>
            </w:r>
          </w:p>
          <w:p w:rsidR="00784EEA" w:rsidRDefault="00784EEA" w:rsidP="00E07ACA"/>
        </w:tc>
      </w:tr>
      <w:tr w:rsidR="00784EEA" w:rsidTr="00B842E1">
        <w:tc>
          <w:tcPr>
            <w:tcW w:w="2376" w:type="dxa"/>
          </w:tcPr>
          <w:p w:rsidR="00B842E1" w:rsidRDefault="00B842E1" w:rsidP="00B842E1">
            <w:r>
              <w:t>Stage 3</w:t>
            </w:r>
          </w:p>
          <w:p w:rsidR="00784EEA" w:rsidRDefault="00784EEA" w:rsidP="00E07ACA"/>
        </w:tc>
        <w:tc>
          <w:tcPr>
            <w:tcW w:w="2835" w:type="dxa"/>
          </w:tcPr>
          <w:p w:rsidR="00B842E1" w:rsidRDefault="00B842E1" w:rsidP="00B842E1">
            <w:r>
              <w:t xml:space="preserve">Involved and building energy </w:t>
            </w:r>
          </w:p>
          <w:p w:rsidR="00B842E1" w:rsidRDefault="00B842E1" w:rsidP="00B842E1">
            <w:proofErr w:type="spellStart"/>
            <w:r>
              <w:t>fuelled</w:t>
            </w:r>
            <w:proofErr w:type="spellEnd"/>
            <w:r>
              <w:t xml:space="preserve"> by frustration. Ready </w:t>
            </w:r>
          </w:p>
          <w:p w:rsidR="00B842E1" w:rsidRDefault="00B842E1" w:rsidP="00B842E1">
            <w:r>
              <w:t>for what comes next.</w:t>
            </w:r>
          </w:p>
          <w:p w:rsidR="00784EEA" w:rsidRDefault="00784EEA" w:rsidP="00E07ACA"/>
        </w:tc>
        <w:tc>
          <w:tcPr>
            <w:tcW w:w="2835" w:type="dxa"/>
          </w:tcPr>
          <w:p w:rsidR="00B842E1" w:rsidRDefault="00B842E1" w:rsidP="00B842E1">
            <w:r>
              <w:t xml:space="preserve">Facilitator. Introduces </w:t>
            </w:r>
          </w:p>
          <w:p w:rsidR="00B842E1" w:rsidRDefault="00B842E1" w:rsidP="00B842E1">
            <w:r>
              <w:t>business process.</w:t>
            </w:r>
          </w:p>
          <w:p w:rsidR="00784EEA" w:rsidRDefault="00784EEA" w:rsidP="00E07ACA"/>
        </w:tc>
        <w:tc>
          <w:tcPr>
            <w:tcW w:w="7088" w:type="dxa"/>
          </w:tcPr>
          <w:p w:rsidR="00B842E1" w:rsidRDefault="00B842E1" w:rsidP="00B842E1">
            <w:r>
              <w:t xml:space="preserve">Discussion facilitated by teacher who </w:t>
            </w:r>
          </w:p>
          <w:p w:rsidR="00B842E1" w:rsidRDefault="00B842E1" w:rsidP="00B842E1">
            <w:r>
              <w:t>participates as an equal. Seminar.</w:t>
            </w:r>
          </w:p>
          <w:p w:rsidR="00B842E1" w:rsidRDefault="00B842E1" w:rsidP="00B842E1">
            <w:r>
              <w:t xml:space="preserve">Introduction </w:t>
            </w:r>
            <w:proofErr w:type="gramStart"/>
            <w:r>
              <w:t>of  Group</w:t>
            </w:r>
            <w:proofErr w:type="gramEnd"/>
            <w:r>
              <w:t xml:space="preserve"> projects process.</w:t>
            </w:r>
          </w:p>
          <w:p w:rsidR="00784EEA" w:rsidRDefault="00784EEA" w:rsidP="00E07ACA"/>
        </w:tc>
      </w:tr>
      <w:tr w:rsidR="00784EEA" w:rsidTr="00B842E1">
        <w:tc>
          <w:tcPr>
            <w:tcW w:w="2376" w:type="dxa"/>
          </w:tcPr>
          <w:p w:rsidR="00B842E1" w:rsidRDefault="00B842E1" w:rsidP="00B842E1">
            <w:r>
              <w:t>Stage 4</w:t>
            </w:r>
          </w:p>
          <w:p w:rsidR="00784EEA" w:rsidRDefault="00784EEA" w:rsidP="00E07ACA"/>
        </w:tc>
        <w:tc>
          <w:tcPr>
            <w:tcW w:w="2835" w:type="dxa"/>
          </w:tcPr>
          <w:p w:rsidR="00B842E1" w:rsidRDefault="00B842E1" w:rsidP="00B842E1">
            <w:r>
              <w:t>Self-directed</w:t>
            </w:r>
          </w:p>
          <w:p w:rsidR="00784EEA" w:rsidRDefault="00784EEA" w:rsidP="00E07ACA"/>
        </w:tc>
        <w:tc>
          <w:tcPr>
            <w:tcW w:w="2835" w:type="dxa"/>
          </w:tcPr>
          <w:p w:rsidR="00B842E1" w:rsidRDefault="00B842E1" w:rsidP="00B842E1">
            <w:r>
              <w:t xml:space="preserve">Consultant delegator, </w:t>
            </w:r>
          </w:p>
          <w:p w:rsidR="00B842E1" w:rsidRDefault="00B842E1" w:rsidP="00B842E1">
            <w:r>
              <w:t xml:space="preserve">resource </w:t>
            </w:r>
          </w:p>
          <w:p w:rsidR="00784EEA" w:rsidRDefault="00784EEA" w:rsidP="00E07ACA"/>
        </w:tc>
        <w:tc>
          <w:tcPr>
            <w:tcW w:w="7088" w:type="dxa"/>
          </w:tcPr>
          <w:p w:rsidR="00B842E1" w:rsidRDefault="00B842E1" w:rsidP="00B842E1">
            <w:r>
              <w:t xml:space="preserve">Internship, dissertation, individual work and / or </w:t>
            </w:r>
          </w:p>
          <w:p w:rsidR="00B842E1" w:rsidRDefault="00B842E1" w:rsidP="00B842E1">
            <w:r>
              <w:t xml:space="preserve">self-directed group project. Vocational pursuits. </w:t>
            </w:r>
          </w:p>
          <w:p w:rsidR="00B842E1" w:rsidRDefault="00B842E1" w:rsidP="00B842E1">
            <w:r>
              <w:t xml:space="preserve">Job seeking, presentations of work, graduation, </w:t>
            </w:r>
          </w:p>
          <w:p w:rsidR="00B842E1" w:rsidRDefault="00B842E1" w:rsidP="00B842E1">
            <w:r>
              <w:t xml:space="preserve">celebration. </w:t>
            </w:r>
          </w:p>
          <w:p w:rsidR="00784EEA" w:rsidRDefault="00784EEA" w:rsidP="00E07ACA"/>
        </w:tc>
      </w:tr>
    </w:tbl>
    <w:p w:rsidR="00784EEA" w:rsidRDefault="00784EEA" w:rsidP="00E07ACA"/>
    <w:p w:rsidR="00E07ACA" w:rsidRDefault="00E07ACA" w:rsidP="00E07ACA"/>
    <w:p w:rsidR="00E07ACA" w:rsidRDefault="00E07ACA" w:rsidP="00E07ACA"/>
    <w:p w:rsidR="00E07ACA" w:rsidRPr="0004135A" w:rsidRDefault="0004135A" w:rsidP="0004135A">
      <w:pPr>
        <w:pStyle w:val="Heading2"/>
        <w:ind w:hanging="104"/>
        <w:rPr>
          <w:sz w:val="36"/>
          <w:szCs w:val="36"/>
        </w:rPr>
      </w:pPr>
      <w:r w:rsidRPr="0004135A">
        <w:rPr>
          <w:sz w:val="36"/>
          <w:szCs w:val="36"/>
        </w:rPr>
        <w:t>Slide 11</w:t>
      </w:r>
    </w:p>
    <w:p w:rsidR="00E07ACA" w:rsidRDefault="00E07ACA" w:rsidP="00E07ACA"/>
    <w:p w:rsidR="00E07ACA" w:rsidRDefault="00E07ACA" w:rsidP="00E07ACA">
      <w:r>
        <w:t>Recruitment. Where do students come from and why and how?</w:t>
      </w:r>
    </w:p>
    <w:p w:rsidR="00E07ACA" w:rsidRDefault="00E07ACA" w:rsidP="00E07ACA"/>
    <w:p w:rsidR="00E07ACA" w:rsidRDefault="00E07ACA" w:rsidP="0004135A">
      <w:pPr>
        <w:pStyle w:val="ListParagraph"/>
        <w:numPr>
          <w:ilvl w:val="0"/>
          <w:numId w:val="7"/>
        </w:numPr>
      </w:pPr>
      <w:r>
        <w:t xml:space="preserve">Referral network established initially from a stake holder committee that developed into a referral network. This included disability employment agencies, rehab services, community health </w:t>
      </w:r>
      <w:proofErr w:type="spellStart"/>
      <w:r>
        <w:t>centres</w:t>
      </w:r>
      <w:proofErr w:type="spellEnd"/>
      <w:r>
        <w:t xml:space="preserve"> , </w:t>
      </w:r>
    </w:p>
    <w:p w:rsidR="0004135A" w:rsidRDefault="00E07ACA" w:rsidP="0004135A">
      <w:pPr>
        <w:pStyle w:val="ListParagraph"/>
        <w:numPr>
          <w:ilvl w:val="0"/>
          <w:numId w:val="7"/>
        </w:numPr>
      </w:pPr>
      <w:proofErr w:type="gramStart"/>
      <w:r>
        <w:t>inpatient</w:t>
      </w:r>
      <w:proofErr w:type="gramEnd"/>
      <w:r>
        <w:t xml:space="preserve"> and outpatients services and co</w:t>
      </w:r>
      <w:r w:rsidR="0004135A">
        <w:t>mmunity mental health services.</w:t>
      </w:r>
    </w:p>
    <w:p w:rsidR="0004135A" w:rsidRDefault="00E07ACA" w:rsidP="0004135A">
      <w:pPr>
        <w:pStyle w:val="ListParagraph"/>
        <w:numPr>
          <w:ilvl w:val="0"/>
          <w:numId w:val="7"/>
        </w:numPr>
      </w:pPr>
      <w:r>
        <w:t>Kitchen table enrolments and inter</w:t>
      </w:r>
      <w:r w:rsidR="0004135A">
        <w:t>views in familiar environments.</w:t>
      </w:r>
    </w:p>
    <w:p w:rsidR="0004135A" w:rsidRDefault="00E07ACA" w:rsidP="0004135A">
      <w:pPr>
        <w:pStyle w:val="ListParagraph"/>
        <w:numPr>
          <w:ilvl w:val="0"/>
          <w:numId w:val="7"/>
        </w:numPr>
      </w:pPr>
      <w:proofErr w:type="spellStart"/>
      <w:proofErr w:type="gramStart"/>
      <w:r>
        <w:t>Non intrusive</w:t>
      </w:r>
      <w:proofErr w:type="spellEnd"/>
      <w:proofErr w:type="gramEnd"/>
      <w:r>
        <w:t xml:space="preserve"> questioning in pre course interviews. Use of scenarios i</w:t>
      </w:r>
      <w:r w:rsidR="0004135A">
        <w:t xml:space="preserve">n ‘asking the right </w:t>
      </w:r>
      <w:proofErr w:type="spellStart"/>
      <w:r w:rsidR="0004135A">
        <w:t>questions’.</w:t>
      </w:r>
      <w:r>
        <w:t>Partnerships</w:t>
      </w:r>
      <w:proofErr w:type="spellEnd"/>
      <w:r>
        <w:t xml:space="preserve"> with mental health agencies for specific target groups. A ‘next step’ approach for service users who feel ready to move on.</w:t>
      </w:r>
    </w:p>
    <w:p w:rsidR="00E07ACA" w:rsidRDefault="00E07ACA" w:rsidP="0004135A">
      <w:pPr>
        <w:pStyle w:val="ListParagraph"/>
        <w:numPr>
          <w:ilvl w:val="0"/>
          <w:numId w:val="7"/>
        </w:numPr>
      </w:pPr>
      <w:r>
        <w:t>Partnerships with community facilities, employment agencies and further education options including university.</w:t>
      </w:r>
    </w:p>
    <w:p w:rsidR="00E07ACA" w:rsidRDefault="00E07ACA" w:rsidP="00E07ACA"/>
    <w:p w:rsidR="00E07ACA" w:rsidRDefault="0004135A" w:rsidP="00E07ACA">
      <w:r w:rsidRPr="0004135A">
        <w:rPr>
          <w:sz w:val="36"/>
          <w:szCs w:val="36"/>
        </w:rPr>
        <w:t>Slide</w:t>
      </w:r>
      <w:r>
        <w:rPr>
          <w:sz w:val="36"/>
          <w:szCs w:val="36"/>
        </w:rPr>
        <w:t xml:space="preserve"> 12</w:t>
      </w:r>
    </w:p>
    <w:p w:rsidR="00E07ACA" w:rsidRDefault="00E07ACA" w:rsidP="00E07ACA">
      <w:r>
        <w:t>Examples of Outcomes</w:t>
      </w:r>
    </w:p>
    <w:p w:rsidR="00E07ACA" w:rsidRDefault="00E07ACA" w:rsidP="00E07ACA"/>
    <w:p w:rsidR="00E07ACA" w:rsidRDefault="00E07ACA" w:rsidP="00E07ACA">
      <w:r>
        <w:t>It’s about breathing space, getting comfortable,</w:t>
      </w:r>
      <w:r w:rsidR="0004135A">
        <w:t xml:space="preserve"> </w:t>
      </w:r>
      <w:r>
        <w:t>skills renewal</w:t>
      </w:r>
      <w:r w:rsidR="0004135A">
        <w:t xml:space="preserve"> </w:t>
      </w:r>
      <w:r>
        <w:t>and development…</w:t>
      </w:r>
    </w:p>
    <w:p w:rsidR="00E07ACA" w:rsidRDefault="00E07ACA" w:rsidP="00E07ACA"/>
    <w:p w:rsidR="00E07ACA" w:rsidRDefault="00E07ACA" w:rsidP="00E07ACA">
      <w:r>
        <w:t xml:space="preserve">via </w:t>
      </w:r>
      <w:proofErr w:type="spellStart"/>
      <w:r>
        <w:t>self determination</w:t>
      </w:r>
      <w:proofErr w:type="spellEnd"/>
      <w:r>
        <w:t xml:space="preserve"> moving on to a vocational pathway.</w:t>
      </w:r>
    </w:p>
    <w:p w:rsidR="00E07ACA" w:rsidRDefault="00E07ACA" w:rsidP="00E07ACA"/>
    <w:p w:rsidR="0004135A" w:rsidRDefault="00E07ACA" w:rsidP="00E07ACA">
      <w:pPr>
        <w:pStyle w:val="ListParagraph"/>
        <w:numPr>
          <w:ilvl w:val="0"/>
          <w:numId w:val="8"/>
        </w:numPr>
      </w:pPr>
      <w:r>
        <w:t>Returning to and moving on to university study.</w:t>
      </w:r>
    </w:p>
    <w:p w:rsidR="0004135A" w:rsidRDefault="00E07ACA" w:rsidP="0004135A">
      <w:pPr>
        <w:pStyle w:val="ListParagraph"/>
        <w:numPr>
          <w:ilvl w:val="0"/>
          <w:numId w:val="8"/>
        </w:numPr>
      </w:pPr>
      <w:r>
        <w:t>Engaging in university bridging course.</w:t>
      </w:r>
    </w:p>
    <w:p w:rsidR="0004135A" w:rsidRDefault="00E07ACA" w:rsidP="00E07ACA">
      <w:pPr>
        <w:pStyle w:val="ListParagraph"/>
        <w:numPr>
          <w:ilvl w:val="0"/>
          <w:numId w:val="8"/>
        </w:numPr>
      </w:pPr>
      <w:r>
        <w:t>Often 100% re enrolment of student group into further training.</w:t>
      </w:r>
    </w:p>
    <w:p w:rsidR="0004135A" w:rsidRDefault="00E07ACA" w:rsidP="00E07ACA">
      <w:pPr>
        <w:pStyle w:val="ListParagraph"/>
        <w:numPr>
          <w:ilvl w:val="0"/>
          <w:numId w:val="8"/>
        </w:numPr>
      </w:pPr>
      <w:r>
        <w:t>Part time and full time work. Including voluntary positions.</w:t>
      </w:r>
    </w:p>
    <w:p w:rsidR="0004135A" w:rsidRDefault="00E07ACA" w:rsidP="00E07ACA">
      <w:pPr>
        <w:pStyle w:val="ListParagraph"/>
        <w:numPr>
          <w:ilvl w:val="0"/>
          <w:numId w:val="8"/>
        </w:numPr>
      </w:pPr>
      <w:r>
        <w:t>So far, six students training and working in consumer consult positions in the mental health sector.</w:t>
      </w:r>
    </w:p>
    <w:p w:rsidR="00E07ACA" w:rsidRDefault="00E07ACA" w:rsidP="00E07ACA">
      <w:pPr>
        <w:pStyle w:val="ListParagraph"/>
        <w:numPr>
          <w:ilvl w:val="0"/>
          <w:numId w:val="8"/>
        </w:numPr>
      </w:pPr>
      <w:r>
        <w:t>Students training and working in the health sector.</w:t>
      </w:r>
    </w:p>
    <w:p w:rsidR="00E07ACA" w:rsidRDefault="00E07ACA" w:rsidP="00E07ACA"/>
    <w:p w:rsidR="0004135A" w:rsidRDefault="0004135A" w:rsidP="00E07ACA">
      <w:r w:rsidRPr="0004135A">
        <w:rPr>
          <w:sz w:val="36"/>
          <w:szCs w:val="36"/>
        </w:rPr>
        <w:t>Slide</w:t>
      </w:r>
      <w:r>
        <w:rPr>
          <w:sz w:val="36"/>
          <w:szCs w:val="36"/>
        </w:rPr>
        <w:t xml:space="preserve"> 13</w:t>
      </w:r>
    </w:p>
    <w:p w:rsidR="00E07ACA" w:rsidRDefault="0004135A" w:rsidP="00E07ACA">
      <w:r>
        <w:t>SIDE ISSUES</w:t>
      </w:r>
    </w:p>
    <w:p w:rsidR="0004135A" w:rsidRDefault="0004135A" w:rsidP="00E07ACA"/>
    <w:p w:rsidR="0004135A" w:rsidRDefault="00E07ACA" w:rsidP="00E07ACA">
      <w:pPr>
        <w:pStyle w:val="ListParagraph"/>
        <w:numPr>
          <w:ilvl w:val="0"/>
          <w:numId w:val="9"/>
        </w:numPr>
      </w:pPr>
      <w:r>
        <w:t>Learning, a therapeutic side effect.</w:t>
      </w:r>
    </w:p>
    <w:p w:rsidR="0004135A" w:rsidRDefault="00E07ACA" w:rsidP="00E07ACA">
      <w:pPr>
        <w:pStyle w:val="ListParagraph"/>
        <w:numPr>
          <w:ilvl w:val="0"/>
          <w:numId w:val="9"/>
        </w:numPr>
      </w:pPr>
      <w:r>
        <w:t>Impact on the TAFE community</w:t>
      </w:r>
    </w:p>
    <w:p w:rsidR="0004135A" w:rsidRDefault="00E07ACA" w:rsidP="00E07ACA">
      <w:pPr>
        <w:pStyle w:val="ListParagraph"/>
        <w:numPr>
          <w:ilvl w:val="0"/>
          <w:numId w:val="9"/>
        </w:numPr>
      </w:pPr>
      <w:r>
        <w:t xml:space="preserve">Community awareness </w:t>
      </w:r>
    </w:p>
    <w:p w:rsidR="0004135A" w:rsidRDefault="00E07ACA" w:rsidP="00E07ACA">
      <w:pPr>
        <w:pStyle w:val="ListParagraph"/>
        <w:numPr>
          <w:ilvl w:val="0"/>
          <w:numId w:val="9"/>
        </w:numPr>
      </w:pPr>
      <w:r>
        <w:t>Improved relations with employment agencies</w:t>
      </w:r>
    </w:p>
    <w:p w:rsidR="0004135A" w:rsidRDefault="00E07ACA" w:rsidP="00E07ACA">
      <w:pPr>
        <w:pStyle w:val="ListParagraph"/>
        <w:numPr>
          <w:ilvl w:val="0"/>
          <w:numId w:val="9"/>
        </w:numPr>
      </w:pPr>
      <w:r>
        <w:t xml:space="preserve">Acceptance of study groups as part of the TAFE </w:t>
      </w:r>
      <w:r w:rsidR="0004135A">
        <w:t xml:space="preserve">community. NO </w:t>
      </w:r>
      <w:proofErr w:type="gramStart"/>
      <w:r w:rsidR="0004135A">
        <w:t>STIGMA !</w:t>
      </w:r>
      <w:proofErr w:type="gramEnd"/>
      <w:r w:rsidR="0004135A">
        <w:t xml:space="preserve"> </w:t>
      </w:r>
    </w:p>
    <w:p w:rsidR="0004135A" w:rsidRDefault="00E07ACA" w:rsidP="00E07ACA">
      <w:pPr>
        <w:pStyle w:val="ListParagraph"/>
        <w:numPr>
          <w:ilvl w:val="0"/>
          <w:numId w:val="9"/>
        </w:numPr>
      </w:pPr>
      <w:r>
        <w:t xml:space="preserve">Recognition from mental health agencies of the </w:t>
      </w:r>
      <w:r w:rsidR="0004135A">
        <w:t>benefits of training.</w:t>
      </w:r>
    </w:p>
    <w:p w:rsidR="00E07ACA" w:rsidRDefault="00E07ACA" w:rsidP="00E07ACA">
      <w:pPr>
        <w:pStyle w:val="ListParagraph"/>
        <w:numPr>
          <w:ilvl w:val="0"/>
          <w:numId w:val="9"/>
        </w:numPr>
      </w:pPr>
      <w:r>
        <w:t>No incidents. Minimal need for psychiatric interventions from mental health agencies.</w:t>
      </w:r>
    </w:p>
    <w:p w:rsidR="00E07ACA" w:rsidRDefault="00E07ACA" w:rsidP="00E07ACA"/>
    <w:p w:rsidR="00E07ACA" w:rsidRDefault="0004135A" w:rsidP="00E07ACA">
      <w:r w:rsidRPr="0004135A">
        <w:rPr>
          <w:sz w:val="36"/>
          <w:szCs w:val="36"/>
        </w:rPr>
        <w:t>Slide</w:t>
      </w:r>
      <w:r>
        <w:rPr>
          <w:sz w:val="36"/>
          <w:szCs w:val="36"/>
        </w:rPr>
        <w:t xml:space="preserve"> 14</w:t>
      </w:r>
    </w:p>
    <w:p w:rsidR="0004135A" w:rsidRDefault="00E07ACA" w:rsidP="00E07ACA">
      <w:pPr>
        <w:pStyle w:val="ListParagraph"/>
        <w:numPr>
          <w:ilvl w:val="0"/>
          <w:numId w:val="10"/>
        </w:numPr>
      </w:pPr>
      <w:r>
        <w:t xml:space="preserve">Through targeted vocational </w:t>
      </w:r>
      <w:proofErr w:type="spellStart"/>
      <w:r>
        <w:t>training</w:t>
      </w:r>
      <w:proofErr w:type="gramStart"/>
      <w:r>
        <w:t>,students</w:t>
      </w:r>
      <w:proofErr w:type="spellEnd"/>
      <w:proofErr w:type="gramEnd"/>
      <w:r>
        <w:t xml:space="preserve"> with mental health difficulties can independently move through the adult education system</w:t>
      </w:r>
      <w:r w:rsidR="0004135A">
        <w:t xml:space="preserve"> </w:t>
      </w:r>
      <w:r>
        <w:t>with limited support needs. Self-management, self-determination, combined</w:t>
      </w:r>
      <w:r w:rsidR="0004135A">
        <w:t xml:space="preserve"> </w:t>
      </w:r>
      <w:r>
        <w:t>with a vocational plan and support from health services when required</w:t>
      </w:r>
      <w:r w:rsidR="0004135A">
        <w:t xml:space="preserve"> </w:t>
      </w:r>
      <w:r>
        <w:t>, provide ongoing opportunities and negate the need for educators to have a list of ‘things to watch out for</w:t>
      </w:r>
      <w:r w:rsidR="0004135A">
        <w:t xml:space="preserve"> </w:t>
      </w:r>
      <w:r>
        <w:t>’ in the classroom or feel that students with a mental illness history are some kind of burden requiring extra work or resources.</w:t>
      </w:r>
    </w:p>
    <w:p w:rsidR="00E07ACA" w:rsidRDefault="00E07ACA" w:rsidP="00E07ACA">
      <w:pPr>
        <w:pStyle w:val="ListParagraph"/>
        <w:numPr>
          <w:ilvl w:val="0"/>
          <w:numId w:val="10"/>
        </w:numPr>
      </w:pPr>
      <w:r>
        <w:t>Campus support staff integrated into student orientation and engaging in follow up class visits should be encouraged. A familiar face is far more approachable than an appointment with an unknown person behind a door.</w:t>
      </w:r>
      <w:r w:rsidR="0004135A">
        <w:t xml:space="preserve"> </w:t>
      </w:r>
    </w:p>
    <w:p w:rsidR="00E07ACA" w:rsidRDefault="00E07ACA" w:rsidP="00E07ACA"/>
    <w:p w:rsidR="00E07ACA" w:rsidRDefault="00E07ACA" w:rsidP="00E07ACA"/>
    <w:p w:rsidR="0004135A" w:rsidRDefault="0004135A" w:rsidP="00E07ACA">
      <w:r w:rsidRPr="0004135A">
        <w:rPr>
          <w:sz w:val="36"/>
          <w:szCs w:val="36"/>
        </w:rPr>
        <w:t>Slide</w:t>
      </w:r>
      <w:r>
        <w:rPr>
          <w:sz w:val="36"/>
          <w:szCs w:val="36"/>
        </w:rPr>
        <w:t xml:space="preserve"> 15</w:t>
      </w:r>
    </w:p>
    <w:p w:rsidR="00E07ACA" w:rsidRDefault="0004135A" w:rsidP="00E07ACA">
      <w:r>
        <w:t>Image: P</w:t>
      </w:r>
      <w:r w:rsidR="00E07ACA">
        <w:t>hotos of students working on the construction of a stone bridge</w:t>
      </w:r>
    </w:p>
    <w:p w:rsidR="00CA008D" w:rsidRPr="00E07ACA" w:rsidRDefault="00CA008D" w:rsidP="00E07ACA"/>
    <w:sectPr w:rsidR="00CA008D" w:rsidRPr="00E07ACA">
      <w:pgSz w:w="19200" w:h="10800" w:orient="landscape"/>
      <w:pgMar w:top="1000" w:right="28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B80"/>
    <w:multiLevelType w:val="hybridMultilevel"/>
    <w:tmpl w:val="76CC0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E3BF1"/>
    <w:multiLevelType w:val="hybridMultilevel"/>
    <w:tmpl w:val="8CFA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33075"/>
    <w:multiLevelType w:val="hybridMultilevel"/>
    <w:tmpl w:val="6C2E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6340DB"/>
    <w:multiLevelType w:val="hybridMultilevel"/>
    <w:tmpl w:val="C8F01908"/>
    <w:lvl w:ilvl="0" w:tplc="A2E6CECE">
      <w:start w:val="1"/>
      <w:numFmt w:val="bullet"/>
      <w:lvlText w:val="•"/>
      <w:lvlJc w:val="left"/>
      <w:pPr>
        <w:ind w:left="514" w:hanging="360"/>
      </w:pPr>
      <w:rPr>
        <w:rFonts w:ascii="Arial" w:eastAsia="Arial" w:hAnsi="Arial" w:hint="default"/>
        <w:w w:val="100"/>
      </w:rPr>
    </w:lvl>
    <w:lvl w:ilvl="1" w:tplc="70389542">
      <w:start w:val="1"/>
      <w:numFmt w:val="bullet"/>
      <w:lvlText w:val="•"/>
      <w:lvlJc w:val="left"/>
      <w:pPr>
        <w:ind w:left="1365" w:hanging="541"/>
      </w:pPr>
      <w:rPr>
        <w:rFonts w:ascii="Arial" w:eastAsia="Arial" w:hAnsi="Arial" w:hint="default"/>
        <w:color w:val="174E6C"/>
        <w:w w:val="100"/>
        <w:sz w:val="48"/>
        <w:szCs w:val="48"/>
      </w:rPr>
    </w:lvl>
    <w:lvl w:ilvl="2" w:tplc="8D86ED6A">
      <w:start w:val="1"/>
      <w:numFmt w:val="bullet"/>
      <w:lvlText w:val="•"/>
      <w:lvlJc w:val="left"/>
      <w:pPr>
        <w:ind w:left="2724" w:hanging="541"/>
      </w:pPr>
      <w:rPr>
        <w:rFonts w:hint="default"/>
      </w:rPr>
    </w:lvl>
    <w:lvl w:ilvl="3" w:tplc="8C5C1FB2">
      <w:start w:val="1"/>
      <w:numFmt w:val="bullet"/>
      <w:lvlText w:val="•"/>
      <w:lvlJc w:val="left"/>
      <w:pPr>
        <w:ind w:left="4088" w:hanging="541"/>
      </w:pPr>
      <w:rPr>
        <w:rFonts w:hint="default"/>
      </w:rPr>
    </w:lvl>
    <w:lvl w:ilvl="4" w:tplc="75CC84D8">
      <w:start w:val="1"/>
      <w:numFmt w:val="bullet"/>
      <w:lvlText w:val="•"/>
      <w:lvlJc w:val="left"/>
      <w:pPr>
        <w:ind w:left="5453" w:hanging="541"/>
      </w:pPr>
      <w:rPr>
        <w:rFonts w:hint="default"/>
      </w:rPr>
    </w:lvl>
    <w:lvl w:ilvl="5" w:tplc="C5F61470">
      <w:start w:val="1"/>
      <w:numFmt w:val="bullet"/>
      <w:lvlText w:val="•"/>
      <w:lvlJc w:val="left"/>
      <w:pPr>
        <w:ind w:left="6817" w:hanging="541"/>
      </w:pPr>
      <w:rPr>
        <w:rFonts w:hint="default"/>
      </w:rPr>
    </w:lvl>
    <w:lvl w:ilvl="6" w:tplc="70A61C0C">
      <w:start w:val="1"/>
      <w:numFmt w:val="bullet"/>
      <w:lvlText w:val="•"/>
      <w:lvlJc w:val="left"/>
      <w:pPr>
        <w:ind w:left="8182" w:hanging="541"/>
      </w:pPr>
      <w:rPr>
        <w:rFonts w:hint="default"/>
      </w:rPr>
    </w:lvl>
    <w:lvl w:ilvl="7" w:tplc="3F3EB9E6">
      <w:start w:val="1"/>
      <w:numFmt w:val="bullet"/>
      <w:lvlText w:val="•"/>
      <w:lvlJc w:val="left"/>
      <w:pPr>
        <w:ind w:left="9546" w:hanging="541"/>
      </w:pPr>
      <w:rPr>
        <w:rFonts w:hint="default"/>
      </w:rPr>
    </w:lvl>
    <w:lvl w:ilvl="8" w:tplc="37BED2F8">
      <w:start w:val="1"/>
      <w:numFmt w:val="bullet"/>
      <w:lvlText w:val="•"/>
      <w:lvlJc w:val="left"/>
      <w:pPr>
        <w:ind w:left="10911" w:hanging="541"/>
      </w:pPr>
      <w:rPr>
        <w:rFonts w:hint="default"/>
      </w:rPr>
    </w:lvl>
  </w:abstractNum>
  <w:abstractNum w:abstractNumId="4" w15:restartNumberingAfterBreak="0">
    <w:nsid w:val="4C9D781D"/>
    <w:multiLevelType w:val="hybridMultilevel"/>
    <w:tmpl w:val="78CCA3D0"/>
    <w:lvl w:ilvl="0" w:tplc="FCC473A8">
      <w:start w:val="1"/>
      <w:numFmt w:val="bullet"/>
      <w:lvlText w:val="-"/>
      <w:lvlJc w:val="left"/>
      <w:pPr>
        <w:ind w:left="3367" w:hanging="540"/>
      </w:pPr>
      <w:rPr>
        <w:rFonts w:ascii="Calibri" w:eastAsia="Calibri" w:hAnsi="Calibri" w:hint="default"/>
        <w:color w:val="174E6C"/>
        <w:w w:val="99"/>
        <w:sz w:val="56"/>
        <w:szCs w:val="56"/>
      </w:rPr>
    </w:lvl>
    <w:lvl w:ilvl="1" w:tplc="73921740">
      <w:start w:val="1"/>
      <w:numFmt w:val="bullet"/>
      <w:lvlText w:val="•"/>
      <w:lvlJc w:val="left"/>
      <w:pPr>
        <w:ind w:left="4706" w:hanging="540"/>
      </w:pPr>
      <w:rPr>
        <w:rFonts w:hint="default"/>
      </w:rPr>
    </w:lvl>
    <w:lvl w:ilvl="2" w:tplc="72EE738E">
      <w:start w:val="1"/>
      <w:numFmt w:val="bullet"/>
      <w:lvlText w:val="•"/>
      <w:lvlJc w:val="left"/>
      <w:pPr>
        <w:ind w:left="6052" w:hanging="540"/>
      </w:pPr>
      <w:rPr>
        <w:rFonts w:hint="default"/>
      </w:rPr>
    </w:lvl>
    <w:lvl w:ilvl="3" w:tplc="98429040">
      <w:start w:val="1"/>
      <w:numFmt w:val="bullet"/>
      <w:lvlText w:val="•"/>
      <w:lvlJc w:val="left"/>
      <w:pPr>
        <w:ind w:left="7398" w:hanging="540"/>
      </w:pPr>
      <w:rPr>
        <w:rFonts w:hint="default"/>
      </w:rPr>
    </w:lvl>
    <w:lvl w:ilvl="4" w:tplc="564C235C">
      <w:start w:val="1"/>
      <w:numFmt w:val="bullet"/>
      <w:lvlText w:val="•"/>
      <w:lvlJc w:val="left"/>
      <w:pPr>
        <w:ind w:left="8744" w:hanging="540"/>
      </w:pPr>
      <w:rPr>
        <w:rFonts w:hint="default"/>
      </w:rPr>
    </w:lvl>
    <w:lvl w:ilvl="5" w:tplc="D3C48A58">
      <w:start w:val="1"/>
      <w:numFmt w:val="bullet"/>
      <w:lvlText w:val="•"/>
      <w:lvlJc w:val="left"/>
      <w:pPr>
        <w:ind w:left="10090" w:hanging="540"/>
      </w:pPr>
      <w:rPr>
        <w:rFonts w:hint="default"/>
      </w:rPr>
    </w:lvl>
    <w:lvl w:ilvl="6" w:tplc="F7D2F026">
      <w:start w:val="1"/>
      <w:numFmt w:val="bullet"/>
      <w:lvlText w:val="•"/>
      <w:lvlJc w:val="left"/>
      <w:pPr>
        <w:ind w:left="11436" w:hanging="540"/>
      </w:pPr>
      <w:rPr>
        <w:rFonts w:hint="default"/>
      </w:rPr>
    </w:lvl>
    <w:lvl w:ilvl="7" w:tplc="99E2125C">
      <w:start w:val="1"/>
      <w:numFmt w:val="bullet"/>
      <w:lvlText w:val="•"/>
      <w:lvlJc w:val="left"/>
      <w:pPr>
        <w:ind w:left="12782" w:hanging="540"/>
      </w:pPr>
      <w:rPr>
        <w:rFonts w:hint="default"/>
      </w:rPr>
    </w:lvl>
    <w:lvl w:ilvl="8" w:tplc="A5681066">
      <w:start w:val="1"/>
      <w:numFmt w:val="bullet"/>
      <w:lvlText w:val="•"/>
      <w:lvlJc w:val="left"/>
      <w:pPr>
        <w:ind w:left="14128" w:hanging="540"/>
      </w:pPr>
      <w:rPr>
        <w:rFonts w:hint="default"/>
      </w:rPr>
    </w:lvl>
  </w:abstractNum>
  <w:abstractNum w:abstractNumId="5" w15:restartNumberingAfterBreak="0">
    <w:nsid w:val="5DE8563E"/>
    <w:multiLevelType w:val="hybridMultilevel"/>
    <w:tmpl w:val="97F04578"/>
    <w:lvl w:ilvl="0" w:tplc="66AC5056">
      <w:start w:val="1"/>
      <w:numFmt w:val="bullet"/>
      <w:lvlText w:val=""/>
      <w:lvlJc w:val="left"/>
      <w:pPr>
        <w:ind w:left="553" w:hanging="452"/>
      </w:pPr>
      <w:rPr>
        <w:rFonts w:ascii="Wingdings" w:eastAsia="Wingdings" w:hAnsi="Wingdings" w:hint="default"/>
        <w:w w:val="100"/>
      </w:rPr>
    </w:lvl>
    <w:lvl w:ilvl="1" w:tplc="431263EA">
      <w:start w:val="1"/>
      <w:numFmt w:val="bullet"/>
      <w:lvlText w:val="•"/>
      <w:lvlJc w:val="left"/>
      <w:pPr>
        <w:ind w:left="2058" w:hanging="452"/>
      </w:pPr>
      <w:rPr>
        <w:rFonts w:hint="default"/>
      </w:rPr>
    </w:lvl>
    <w:lvl w:ilvl="2" w:tplc="A53A416A">
      <w:start w:val="1"/>
      <w:numFmt w:val="bullet"/>
      <w:lvlText w:val="•"/>
      <w:lvlJc w:val="left"/>
      <w:pPr>
        <w:ind w:left="3556" w:hanging="452"/>
      </w:pPr>
      <w:rPr>
        <w:rFonts w:hint="default"/>
      </w:rPr>
    </w:lvl>
    <w:lvl w:ilvl="3" w:tplc="F5849222">
      <w:start w:val="1"/>
      <w:numFmt w:val="bullet"/>
      <w:lvlText w:val="•"/>
      <w:lvlJc w:val="left"/>
      <w:pPr>
        <w:ind w:left="5054" w:hanging="452"/>
      </w:pPr>
      <w:rPr>
        <w:rFonts w:hint="default"/>
      </w:rPr>
    </w:lvl>
    <w:lvl w:ilvl="4" w:tplc="C4D0DF7E">
      <w:start w:val="1"/>
      <w:numFmt w:val="bullet"/>
      <w:lvlText w:val="•"/>
      <w:lvlJc w:val="left"/>
      <w:pPr>
        <w:ind w:left="6552" w:hanging="452"/>
      </w:pPr>
      <w:rPr>
        <w:rFonts w:hint="default"/>
      </w:rPr>
    </w:lvl>
    <w:lvl w:ilvl="5" w:tplc="5FB04204">
      <w:start w:val="1"/>
      <w:numFmt w:val="bullet"/>
      <w:lvlText w:val="•"/>
      <w:lvlJc w:val="left"/>
      <w:pPr>
        <w:ind w:left="8050" w:hanging="452"/>
      </w:pPr>
      <w:rPr>
        <w:rFonts w:hint="default"/>
      </w:rPr>
    </w:lvl>
    <w:lvl w:ilvl="6" w:tplc="E6481DCE">
      <w:start w:val="1"/>
      <w:numFmt w:val="bullet"/>
      <w:lvlText w:val="•"/>
      <w:lvlJc w:val="left"/>
      <w:pPr>
        <w:ind w:left="9548" w:hanging="452"/>
      </w:pPr>
      <w:rPr>
        <w:rFonts w:hint="default"/>
      </w:rPr>
    </w:lvl>
    <w:lvl w:ilvl="7" w:tplc="B2F28044">
      <w:start w:val="1"/>
      <w:numFmt w:val="bullet"/>
      <w:lvlText w:val="•"/>
      <w:lvlJc w:val="left"/>
      <w:pPr>
        <w:ind w:left="11046" w:hanging="452"/>
      </w:pPr>
      <w:rPr>
        <w:rFonts w:hint="default"/>
      </w:rPr>
    </w:lvl>
    <w:lvl w:ilvl="8" w:tplc="4D504940">
      <w:start w:val="1"/>
      <w:numFmt w:val="bullet"/>
      <w:lvlText w:val="•"/>
      <w:lvlJc w:val="left"/>
      <w:pPr>
        <w:ind w:left="12544" w:hanging="452"/>
      </w:pPr>
      <w:rPr>
        <w:rFonts w:hint="default"/>
      </w:rPr>
    </w:lvl>
  </w:abstractNum>
  <w:abstractNum w:abstractNumId="6" w15:restartNumberingAfterBreak="0">
    <w:nsid w:val="661C7E30"/>
    <w:multiLevelType w:val="hybridMultilevel"/>
    <w:tmpl w:val="BA4ED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0B18BC"/>
    <w:multiLevelType w:val="hybridMultilevel"/>
    <w:tmpl w:val="4B58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0A300B"/>
    <w:multiLevelType w:val="hybridMultilevel"/>
    <w:tmpl w:val="9D02E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333B5C"/>
    <w:multiLevelType w:val="hybridMultilevel"/>
    <w:tmpl w:val="DFD0D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8"/>
  </w:num>
  <w:num w:numId="6">
    <w:abstractNumId w:val="7"/>
  </w:num>
  <w:num w:numId="7">
    <w:abstractNumId w:val="1"/>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8D"/>
    <w:rsid w:val="0004135A"/>
    <w:rsid w:val="00281F29"/>
    <w:rsid w:val="00336854"/>
    <w:rsid w:val="004751CF"/>
    <w:rsid w:val="00784EEA"/>
    <w:rsid w:val="008F03EA"/>
    <w:rsid w:val="00AD3093"/>
    <w:rsid w:val="00B842E1"/>
    <w:rsid w:val="00CA008D"/>
    <w:rsid w:val="00DF538D"/>
    <w:rsid w:val="00E07ACA"/>
    <w:rsid w:val="00FD574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5405C-197B-47BD-8213-89E604AA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
      <w:ind w:left="102"/>
      <w:outlineLvl w:val="0"/>
    </w:pPr>
    <w:rPr>
      <w:rFonts w:ascii="Arial" w:eastAsia="Arial" w:hAnsi="Arial"/>
      <w:sz w:val="72"/>
      <w:szCs w:val="72"/>
    </w:rPr>
  </w:style>
  <w:style w:type="paragraph" w:styleId="Heading2">
    <w:name w:val="heading 2"/>
    <w:basedOn w:val="Normal"/>
    <w:link w:val="Heading2Char"/>
    <w:uiPriority w:val="1"/>
    <w:qFormat/>
    <w:pPr>
      <w:ind w:left="104" w:hanging="1110"/>
      <w:outlineLvl w:val="1"/>
    </w:pPr>
    <w:rPr>
      <w:rFonts w:ascii="Arial" w:eastAsia="Arial" w:hAnsi="Arial"/>
      <w:sz w:val="64"/>
      <w:szCs w:val="64"/>
    </w:rPr>
  </w:style>
  <w:style w:type="paragraph" w:styleId="Heading3">
    <w:name w:val="heading 3"/>
    <w:basedOn w:val="Normal"/>
    <w:uiPriority w:val="1"/>
    <w:qFormat/>
    <w:pPr>
      <w:ind w:left="888"/>
      <w:outlineLvl w:val="2"/>
    </w:pPr>
    <w:rPr>
      <w:rFonts w:ascii="Calibri" w:eastAsia="Calibri" w:hAnsi="Calibri"/>
      <w:sz w:val="56"/>
      <w:szCs w:val="56"/>
    </w:rPr>
  </w:style>
  <w:style w:type="paragraph" w:styleId="Heading4">
    <w:name w:val="heading 4"/>
    <w:basedOn w:val="Normal"/>
    <w:uiPriority w:val="1"/>
    <w:qFormat/>
    <w:pPr>
      <w:ind w:left="3367" w:hanging="540"/>
      <w:outlineLvl w:val="3"/>
    </w:pPr>
    <w:rPr>
      <w:rFonts w:ascii="Calibri" w:eastAsia="Calibri" w:hAnsi="Calibri"/>
      <w:i/>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822" w:hanging="721"/>
    </w:pPr>
    <w:rPr>
      <w:rFonts w:ascii="Arial" w:eastAsia="Arial" w:hAnsi="Arial"/>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E07A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AC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336854"/>
    <w:rPr>
      <w:rFonts w:ascii="Arial" w:eastAsia="Arial" w:hAnsi="Arial"/>
      <w:sz w:val="64"/>
      <w:szCs w:val="64"/>
    </w:rPr>
  </w:style>
  <w:style w:type="character" w:styleId="Hyperlink">
    <w:name w:val="Hyperlink"/>
    <w:basedOn w:val="DefaultParagraphFont"/>
    <w:uiPriority w:val="99"/>
    <w:unhideWhenUsed/>
    <w:rsid w:val="00784EEA"/>
    <w:rPr>
      <w:color w:val="0000FF" w:themeColor="hyperlink"/>
      <w:u w:val="single"/>
    </w:rPr>
  </w:style>
  <w:style w:type="character" w:customStyle="1" w:styleId="UnresolvedMention">
    <w:name w:val="Unresolved Mention"/>
    <w:basedOn w:val="DefaultParagraphFont"/>
    <w:uiPriority w:val="99"/>
    <w:semiHidden/>
    <w:unhideWhenUsed/>
    <w:rsid w:val="00784EEA"/>
    <w:rPr>
      <w:color w:val="808080"/>
      <w:shd w:val="clear" w:color="auto" w:fill="E6E6E6"/>
    </w:rPr>
  </w:style>
  <w:style w:type="table" w:styleId="TableGrid">
    <w:name w:val="Table Grid"/>
    <w:basedOn w:val="TableNormal"/>
    <w:uiPriority w:val="39"/>
    <w:rsid w:val="0078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5W1exmz1w0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Equity in VET and mental ill health</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in VET and mental ill health</dc:title>
  <dc:creator>Bryan Winnett</dc:creator>
  <cp:lastModifiedBy>Jane Hawkeswood</cp:lastModifiedBy>
  <cp:revision>2</cp:revision>
  <dcterms:created xsi:type="dcterms:W3CDTF">2017-10-23T09:30:00Z</dcterms:created>
  <dcterms:modified xsi:type="dcterms:W3CDTF">2017-10-23T09:30:00Z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PowerPoint® 2016</vt:lpwstr>
  </property>
  <property fmtid="{D5CDD505-2E9C-101B-9397-08002B2CF9AE}" pid="4" name="LastSaved">
    <vt:filetime>2017-10-17T00:00:00Z</vt:filetime>
  </property>
</Properties>
</file>