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55F43B" w14:textId="77777777" w:rsidR="00427DC9" w:rsidRDefault="00427DC9" w:rsidP="00427DC9">
      <w:pPr>
        <w:pStyle w:val="Heading1"/>
      </w:pPr>
      <w:r>
        <w:t xml:space="preserve">Power point presentation for Sharon Kerr </w:t>
      </w:r>
    </w:p>
    <w:p w14:paraId="7587557F" w14:textId="77777777" w:rsidR="00CE0AAF" w:rsidRDefault="00427DC9" w:rsidP="00427DC9">
      <w:pPr>
        <w:pStyle w:val="Heading1"/>
        <w:rPr>
          <w:rFonts w:cs="Arial"/>
        </w:rPr>
      </w:pPr>
      <w:r>
        <w:t xml:space="preserve">Global Access Project </w:t>
      </w:r>
      <w:r w:rsidRPr="001303D6">
        <w:rPr>
          <w:rFonts w:cs="Arial"/>
        </w:rPr>
        <w:t>Access to higher education for stu</w:t>
      </w:r>
      <w:r>
        <w:rPr>
          <w:rFonts w:cs="Arial"/>
        </w:rPr>
        <w:t xml:space="preserve">dents with print </w:t>
      </w:r>
      <w:r>
        <w:rPr>
          <w:rFonts w:cs="Arial"/>
        </w:rPr>
        <w:tab/>
        <w:t>disabilities</w:t>
      </w:r>
    </w:p>
    <w:p w14:paraId="63E7CFB6" w14:textId="77777777" w:rsidR="00427DC9" w:rsidRDefault="00427DC9" w:rsidP="00427DC9"/>
    <w:p w14:paraId="4F186C95" w14:textId="0314FF37" w:rsidR="00427DC9" w:rsidRDefault="00D81DFB" w:rsidP="00427DC9">
      <w:r>
        <w:t>Presentation first given at the 2016</w:t>
      </w:r>
      <w:r w:rsidRPr="00D81DFB">
        <w:rPr>
          <w:rFonts w:ascii="Arial" w:hAnsi="Arial" w:cs="Arial"/>
          <w:color w:val="1A1A1A"/>
          <w:sz w:val="26"/>
          <w:szCs w:val="26"/>
        </w:rPr>
        <w:t xml:space="preserve"> </w:t>
      </w:r>
      <w:r w:rsidRPr="00D81DFB">
        <w:t>Conference of the Round Table on Information Access for People with Print Disabilities [Round Table</w:t>
      </w:r>
      <w:r w:rsidR="006D6651">
        <w:t>]</w:t>
      </w:r>
      <w:bookmarkStart w:id="0" w:name="_GoBack"/>
      <w:bookmarkEnd w:id="0"/>
    </w:p>
    <w:p w14:paraId="770A6671" w14:textId="77777777" w:rsidR="00427DC9" w:rsidRDefault="00427DC9" w:rsidP="00427DC9"/>
    <w:p w14:paraId="650906D8" w14:textId="77777777" w:rsidR="00427DC9" w:rsidRDefault="00427DC9" w:rsidP="00427DC9">
      <w:pPr>
        <w:pStyle w:val="Heading2"/>
      </w:pPr>
      <w:r>
        <w:t>Slide 1</w:t>
      </w:r>
    </w:p>
    <w:p w14:paraId="323679B7" w14:textId="77777777" w:rsidR="00427DC9" w:rsidRDefault="00427DC9" w:rsidP="00427DC9"/>
    <w:p w14:paraId="6EE83732" w14:textId="77777777" w:rsidR="00427DC9" w:rsidRDefault="00427DC9" w:rsidP="00427DC9"/>
    <w:p w14:paraId="5D9A7193" w14:textId="0025468E" w:rsidR="00427DC9" w:rsidRDefault="009C068B" w:rsidP="00427DC9">
      <w:r>
        <w:t xml:space="preserve">Image description: Global Access Project </w:t>
      </w:r>
      <w:r w:rsidR="00427DC9">
        <w:t>logo letters GAP with a slice out of the “P”</w:t>
      </w:r>
    </w:p>
    <w:p w14:paraId="0903EA59" w14:textId="77777777" w:rsidR="00427DC9" w:rsidRDefault="00427DC9" w:rsidP="00427DC9"/>
    <w:p w14:paraId="764218EB" w14:textId="77777777" w:rsidR="00427DC9" w:rsidRDefault="00427DC9" w:rsidP="00427DC9">
      <w:r>
        <w:t>Title: Sharon Kerr</w:t>
      </w:r>
    </w:p>
    <w:p w14:paraId="60C2DF3D" w14:textId="77777777" w:rsidR="00427DC9" w:rsidRDefault="00427DC9" w:rsidP="00427DC9">
      <w:r>
        <w:t>Global Access Project to higher education for students with print disabilities</w:t>
      </w:r>
    </w:p>
    <w:p w14:paraId="2EFB0858" w14:textId="77777777" w:rsidR="00427DC9" w:rsidRDefault="00427DC9" w:rsidP="00427DC9"/>
    <w:p w14:paraId="6F7BE1FF" w14:textId="77777777" w:rsidR="00427DC9" w:rsidRDefault="00427DC9" w:rsidP="00427DC9"/>
    <w:p w14:paraId="7E99DF28" w14:textId="77777777" w:rsidR="00427DC9" w:rsidRDefault="00427DC9" w:rsidP="00427DC9"/>
    <w:p w14:paraId="7012F48B" w14:textId="77777777" w:rsidR="00427DC9" w:rsidRDefault="00427DC9" w:rsidP="00427DC9">
      <w:r>
        <w:t>Footer: Global Access Project is an initiative of the Higher Education Consulting Group</w:t>
      </w:r>
    </w:p>
    <w:p w14:paraId="223C71CF" w14:textId="77777777" w:rsidR="00427DC9" w:rsidRDefault="00427DC9" w:rsidP="00427DC9"/>
    <w:p w14:paraId="03E6C8AD" w14:textId="77777777" w:rsidR="00427DC9" w:rsidRDefault="00427DC9" w:rsidP="00427DC9">
      <w:r>
        <w:t>www.globalaccessproject.com</w:t>
      </w:r>
    </w:p>
    <w:p w14:paraId="47AD4A59" w14:textId="77777777" w:rsidR="00427DC9" w:rsidRDefault="00427DC9" w:rsidP="00427DC9"/>
    <w:p w14:paraId="5E0A0655" w14:textId="77777777" w:rsidR="00427DC9" w:rsidRDefault="00427DC9" w:rsidP="00427DC9"/>
    <w:p w14:paraId="41A1C817" w14:textId="77777777" w:rsidR="00427DC9" w:rsidRDefault="00427DC9" w:rsidP="00427DC9"/>
    <w:p w14:paraId="7685F2B1" w14:textId="77777777" w:rsidR="00427DC9" w:rsidRDefault="00427DC9" w:rsidP="00427DC9">
      <w:pPr>
        <w:pStyle w:val="Heading2"/>
      </w:pPr>
      <w:r w:rsidRPr="00427DC9">
        <w:t>Slide 2</w:t>
      </w:r>
    </w:p>
    <w:p w14:paraId="0BBC766D" w14:textId="77777777" w:rsidR="00427DC9" w:rsidRDefault="00427DC9" w:rsidP="00427DC9"/>
    <w:p w14:paraId="5817EC78" w14:textId="77777777" w:rsidR="00427DC9" w:rsidRDefault="00427DC9" w:rsidP="00427DC9">
      <w:r>
        <w:t>Today’s presentation will:</w:t>
      </w:r>
    </w:p>
    <w:p w14:paraId="28D78C44" w14:textId="77777777" w:rsidR="00427DC9" w:rsidRDefault="00427DC9" w:rsidP="00427DC9"/>
    <w:p w14:paraId="702CC9EB" w14:textId="77777777" w:rsidR="00427DC9" w:rsidRDefault="00427DC9" w:rsidP="00427DC9">
      <w:pPr>
        <w:pStyle w:val="ListParagraph"/>
        <w:numPr>
          <w:ilvl w:val="0"/>
          <w:numId w:val="1"/>
        </w:numPr>
      </w:pPr>
      <w:r>
        <w:t xml:space="preserve">Provide an introduction to Global Access Project outlining who we are and what we are doing. </w:t>
      </w:r>
    </w:p>
    <w:p w14:paraId="014B2593" w14:textId="77777777" w:rsidR="00427DC9" w:rsidRDefault="00427DC9" w:rsidP="00427DC9">
      <w:pPr>
        <w:pStyle w:val="ListParagraph"/>
        <w:numPr>
          <w:ilvl w:val="0"/>
          <w:numId w:val="1"/>
        </w:numPr>
      </w:pPr>
      <w:r>
        <w:t>Report on what we are finding in the higher education sector with regard to the support of students with a print disability.</w:t>
      </w:r>
    </w:p>
    <w:p w14:paraId="3AED2CC7" w14:textId="77777777" w:rsidR="00427DC9" w:rsidRDefault="00427DC9" w:rsidP="00427DC9">
      <w:pPr>
        <w:pStyle w:val="ListParagraph"/>
        <w:numPr>
          <w:ilvl w:val="0"/>
          <w:numId w:val="1"/>
        </w:numPr>
      </w:pPr>
      <w:r>
        <w:t xml:space="preserve">Highlight </w:t>
      </w:r>
      <w:r w:rsidR="00B37524">
        <w:t xml:space="preserve">opportunities </w:t>
      </w:r>
      <w:r>
        <w:t>that the Round Table may be interested in addressing.</w:t>
      </w:r>
    </w:p>
    <w:p w14:paraId="37DBA6DC" w14:textId="77777777" w:rsidR="00427DC9" w:rsidRDefault="00427DC9" w:rsidP="00427DC9"/>
    <w:p w14:paraId="009D1FB1" w14:textId="77777777" w:rsidR="00427DC9" w:rsidRDefault="00427DC9" w:rsidP="00427DC9">
      <w:pPr>
        <w:pStyle w:val="Heading2"/>
      </w:pPr>
      <w:r>
        <w:t>Slide 3</w:t>
      </w:r>
    </w:p>
    <w:p w14:paraId="26D56DA5" w14:textId="77777777" w:rsidR="00427DC9" w:rsidRDefault="00427DC9" w:rsidP="00427DC9"/>
    <w:p w14:paraId="64DC0A16" w14:textId="77777777" w:rsidR="00427DC9" w:rsidRDefault="00427DC9" w:rsidP="00427DC9">
      <w:pPr>
        <w:rPr>
          <w:bCs/>
        </w:rPr>
      </w:pPr>
      <w:r w:rsidRPr="00427DC9">
        <w:rPr>
          <w:bCs/>
        </w:rPr>
        <w:t>GAP is located in Sydney Australia</w:t>
      </w:r>
      <w:r>
        <w:rPr>
          <w:bCs/>
        </w:rPr>
        <w:t>.</w:t>
      </w:r>
      <w:r w:rsidRPr="00427DC9">
        <w:rPr>
          <w:bCs/>
        </w:rPr>
        <w:br/>
        <w:t xml:space="preserve">Our </w:t>
      </w:r>
      <w:r w:rsidRPr="00427DC9">
        <w:t xml:space="preserve">senior team have extensive global experience in </w:t>
      </w:r>
      <w:r w:rsidRPr="00427DC9">
        <w:br/>
        <w:t xml:space="preserve">the Higher Education Sector with </w:t>
      </w:r>
      <w:r w:rsidRPr="00427DC9">
        <w:rPr>
          <w:bCs/>
        </w:rPr>
        <w:t>over 50 years combined experience working in Universities, TAFE’s and Schools</w:t>
      </w:r>
      <w:r>
        <w:rPr>
          <w:bCs/>
        </w:rPr>
        <w:t>.</w:t>
      </w:r>
    </w:p>
    <w:p w14:paraId="687BEDB5" w14:textId="77777777" w:rsidR="00427DC9" w:rsidRDefault="00427DC9" w:rsidP="00427DC9">
      <w:pPr>
        <w:rPr>
          <w:bCs/>
        </w:rPr>
      </w:pPr>
      <w:r>
        <w:rPr>
          <w:bCs/>
        </w:rPr>
        <w:lastRenderedPageBreak/>
        <w:t>Image description: Photo of the building address plate: 10 Bridge Street</w:t>
      </w:r>
    </w:p>
    <w:p w14:paraId="755B16B6" w14:textId="77777777" w:rsidR="00427DC9" w:rsidRPr="00427DC9" w:rsidRDefault="00427DC9" w:rsidP="00427DC9"/>
    <w:p w14:paraId="42833BC7" w14:textId="77777777" w:rsidR="00427DC9" w:rsidRDefault="00427DC9" w:rsidP="00427DC9">
      <w:pPr>
        <w:pStyle w:val="Heading2"/>
      </w:pPr>
      <w:r>
        <w:t>Slide 4</w:t>
      </w:r>
    </w:p>
    <w:p w14:paraId="3F991E48" w14:textId="77777777" w:rsidR="00427DC9" w:rsidRDefault="00427DC9" w:rsidP="00427DC9">
      <w:pPr>
        <w:rPr>
          <w:bCs/>
        </w:rPr>
      </w:pPr>
      <w:r w:rsidRPr="00427DC9">
        <w:rPr>
          <w:bCs/>
        </w:rPr>
        <w:t>David Wright –</w:t>
      </w:r>
      <w:r>
        <w:rPr>
          <w:bCs/>
        </w:rPr>
        <w:t xml:space="preserve"> Executive Chair</w:t>
      </w:r>
    </w:p>
    <w:p w14:paraId="702B7397" w14:textId="77777777" w:rsidR="00427DC9" w:rsidRPr="00427DC9" w:rsidRDefault="00427DC9" w:rsidP="00427DC9">
      <w:pPr>
        <w:rPr>
          <w:bCs/>
        </w:rPr>
      </w:pPr>
      <w:r w:rsidRPr="00427DC9">
        <w:rPr>
          <w:bCs/>
        </w:rPr>
        <w:t>Previous Vice President Macquarie University – Business background - Founding CE0 of One.Tel Networks, T3, Slice Wireless, Monitoring Division Inc &amp; HECG</w:t>
      </w:r>
    </w:p>
    <w:p w14:paraId="4DFE53FA" w14:textId="77777777" w:rsidR="00427DC9" w:rsidRDefault="00427DC9" w:rsidP="00427DC9">
      <w:pPr>
        <w:rPr>
          <w:bCs/>
        </w:rPr>
      </w:pPr>
      <w:r w:rsidRPr="00427DC9">
        <w:rPr>
          <w:bCs/>
        </w:rPr>
        <w:t>Image description: Head shot of David Wright</w:t>
      </w:r>
    </w:p>
    <w:p w14:paraId="30E87BDB" w14:textId="77777777" w:rsidR="00692CA0" w:rsidRDefault="00692CA0" w:rsidP="00427DC9">
      <w:pPr>
        <w:rPr>
          <w:bCs/>
        </w:rPr>
      </w:pPr>
    </w:p>
    <w:p w14:paraId="61E458D3" w14:textId="77777777" w:rsidR="00692CA0" w:rsidRDefault="00692CA0" w:rsidP="00427DC9">
      <w:pPr>
        <w:rPr>
          <w:bCs/>
        </w:rPr>
      </w:pPr>
      <w:r>
        <w:rPr>
          <w:bCs/>
        </w:rPr>
        <w:t>Sharon Kerr – C.E.O</w:t>
      </w:r>
    </w:p>
    <w:p w14:paraId="10306F72" w14:textId="77777777" w:rsidR="00692CA0" w:rsidRDefault="00692CA0" w:rsidP="00692CA0">
      <w:pPr>
        <w:rPr>
          <w:bCs/>
        </w:rPr>
      </w:pPr>
      <w:r w:rsidRPr="00692CA0">
        <w:rPr>
          <w:bCs/>
        </w:rPr>
        <w:t>Previous Manager Macquarie University Accessibility Service – Education background – online education, curriculum development, teacher training, lecturing, school teaching.</w:t>
      </w:r>
    </w:p>
    <w:p w14:paraId="2D302542" w14:textId="77777777" w:rsidR="00692CA0" w:rsidRDefault="00692CA0" w:rsidP="00692CA0">
      <w:pPr>
        <w:rPr>
          <w:bCs/>
        </w:rPr>
      </w:pPr>
      <w:r w:rsidRPr="00427DC9">
        <w:rPr>
          <w:bCs/>
        </w:rPr>
        <w:t>Image descrip</w:t>
      </w:r>
      <w:r>
        <w:rPr>
          <w:bCs/>
        </w:rPr>
        <w:t>tion: Head shot of Sharon Kerr</w:t>
      </w:r>
    </w:p>
    <w:p w14:paraId="2B121B56" w14:textId="77777777" w:rsidR="00692CA0" w:rsidRPr="00692CA0" w:rsidRDefault="00692CA0" w:rsidP="00692CA0">
      <w:pPr>
        <w:rPr>
          <w:bCs/>
        </w:rPr>
      </w:pPr>
    </w:p>
    <w:p w14:paraId="70AF7B38" w14:textId="77777777" w:rsidR="00692CA0" w:rsidRDefault="00692CA0" w:rsidP="00692CA0">
      <w:pPr>
        <w:rPr>
          <w:bCs/>
        </w:rPr>
      </w:pPr>
      <w:r w:rsidRPr="00692CA0">
        <w:rPr>
          <w:bCs/>
        </w:rPr>
        <w:t xml:space="preserve">Kylie Colvin - </w:t>
      </w:r>
      <w:r>
        <w:rPr>
          <w:bCs/>
        </w:rPr>
        <w:t xml:space="preserve"> C.O.O</w:t>
      </w:r>
    </w:p>
    <w:p w14:paraId="17171067" w14:textId="77777777" w:rsidR="00692CA0" w:rsidRPr="00692CA0" w:rsidRDefault="00692CA0" w:rsidP="00692CA0">
      <w:pPr>
        <w:rPr>
          <w:bCs/>
          <w:lang w:val="en-AU"/>
        </w:rPr>
      </w:pPr>
      <w:r w:rsidRPr="00692CA0">
        <w:rPr>
          <w:bCs/>
        </w:rPr>
        <w:t>Previous Chief of Staff to three VC’s at Macquarie University – Analytics and Operations background – strategic planning, policy and governance, communications.</w:t>
      </w:r>
    </w:p>
    <w:p w14:paraId="6ADCF909" w14:textId="77777777" w:rsidR="00692CA0" w:rsidRDefault="00692CA0" w:rsidP="00692CA0">
      <w:pPr>
        <w:rPr>
          <w:bCs/>
        </w:rPr>
      </w:pPr>
      <w:r w:rsidRPr="00427DC9">
        <w:rPr>
          <w:bCs/>
        </w:rPr>
        <w:t>Image descrip</w:t>
      </w:r>
      <w:r>
        <w:rPr>
          <w:bCs/>
        </w:rPr>
        <w:t>tion: Head shot of Kylie Colvin</w:t>
      </w:r>
    </w:p>
    <w:p w14:paraId="3A4AC242" w14:textId="77777777" w:rsidR="00427DC9" w:rsidRPr="00427DC9" w:rsidRDefault="00427DC9" w:rsidP="00427DC9"/>
    <w:p w14:paraId="610B3EB5" w14:textId="77777777" w:rsidR="00427DC9" w:rsidRPr="00427DC9" w:rsidRDefault="00427DC9" w:rsidP="00427DC9">
      <w:pPr>
        <w:pStyle w:val="Heading2"/>
      </w:pPr>
      <w:r>
        <w:t>Slide 5</w:t>
      </w:r>
    </w:p>
    <w:p w14:paraId="077192B4" w14:textId="77777777" w:rsidR="00692CA0" w:rsidRDefault="00961EAF" w:rsidP="00692CA0">
      <w:pPr>
        <w:rPr>
          <w:bCs/>
        </w:rPr>
      </w:pPr>
      <w:r>
        <w:rPr>
          <w:bCs/>
        </w:rPr>
        <w:t>GAP provides</w:t>
      </w:r>
      <w:r w:rsidR="00692CA0" w:rsidRPr="00692CA0">
        <w:rPr>
          <w:bCs/>
        </w:rPr>
        <w:t>:</w:t>
      </w:r>
    </w:p>
    <w:p w14:paraId="2B15BAEA" w14:textId="10DCC14A" w:rsidR="00692CA0" w:rsidRDefault="00692CA0" w:rsidP="00692CA0">
      <w:pPr>
        <w:rPr>
          <w:bCs/>
        </w:rPr>
      </w:pPr>
      <w:r>
        <w:rPr>
          <w:bCs/>
        </w:rPr>
        <w:t>Consultan</w:t>
      </w:r>
      <w:r w:rsidR="00961EAF">
        <w:rPr>
          <w:bCs/>
        </w:rPr>
        <w:t>cy to universities, TAFE’s and p</w:t>
      </w:r>
      <w:r>
        <w:rPr>
          <w:bCs/>
        </w:rPr>
        <w:t>rivate colleges</w:t>
      </w:r>
      <w:r w:rsidR="000F5C52">
        <w:rPr>
          <w:bCs/>
        </w:rPr>
        <w:t>;</w:t>
      </w:r>
    </w:p>
    <w:p w14:paraId="7BB06D55" w14:textId="342F07B4" w:rsidR="00692CA0" w:rsidRDefault="00692CA0" w:rsidP="00692CA0">
      <w:pPr>
        <w:rPr>
          <w:bCs/>
        </w:rPr>
      </w:pPr>
      <w:r>
        <w:rPr>
          <w:bCs/>
        </w:rPr>
        <w:t>Customised conversion services</w:t>
      </w:r>
      <w:r w:rsidR="000F5C52">
        <w:rPr>
          <w:bCs/>
        </w:rPr>
        <w:t>;</w:t>
      </w:r>
      <w:r w:rsidRPr="00692CA0">
        <w:rPr>
          <w:bCs/>
        </w:rPr>
        <w:br/>
        <w:t>Information and toolkits</w:t>
      </w:r>
      <w:r w:rsidR="000F5C52">
        <w:rPr>
          <w:bCs/>
        </w:rPr>
        <w:t>; and</w:t>
      </w:r>
      <w:r w:rsidRPr="00692CA0">
        <w:rPr>
          <w:bCs/>
        </w:rPr>
        <w:t xml:space="preserve"> </w:t>
      </w:r>
    </w:p>
    <w:p w14:paraId="3A5F5D46" w14:textId="77777777" w:rsidR="00961EAF" w:rsidRDefault="00961EAF" w:rsidP="00692CA0">
      <w:pPr>
        <w:rPr>
          <w:bCs/>
        </w:rPr>
      </w:pPr>
      <w:r>
        <w:rPr>
          <w:bCs/>
        </w:rPr>
        <w:t>Conducts reviews, planning and developing playbooks.</w:t>
      </w:r>
    </w:p>
    <w:p w14:paraId="778A28F5" w14:textId="77777777" w:rsidR="00961EAF" w:rsidRPr="00427DC9" w:rsidRDefault="00961EAF" w:rsidP="00961EAF">
      <w:pPr>
        <w:pStyle w:val="Heading2"/>
      </w:pPr>
      <w:r>
        <w:t>Slide 6</w:t>
      </w:r>
    </w:p>
    <w:p w14:paraId="0A5239BD" w14:textId="77777777" w:rsidR="00961EAF" w:rsidRDefault="00961EAF" w:rsidP="00692CA0">
      <w:pPr>
        <w:rPr>
          <w:bCs/>
        </w:rPr>
      </w:pPr>
    </w:p>
    <w:p w14:paraId="0F7DCF85" w14:textId="7ACD8BC9" w:rsidR="00692CA0" w:rsidRDefault="00692CA0" w:rsidP="00692CA0">
      <w:pPr>
        <w:rPr>
          <w:bCs/>
        </w:rPr>
      </w:pPr>
      <w:r>
        <w:rPr>
          <w:bCs/>
        </w:rPr>
        <w:t>Professio</w:t>
      </w:r>
      <w:r w:rsidR="000F5C52">
        <w:rPr>
          <w:bCs/>
        </w:rPr>
        <w:t xml:space="preserve">nal development to teaching , </w:t>
      </w:r>
      <w:r>
        <w:rPr>
          <w:bCs/>
        </w:rPr>
        <w:t>support and administrative staff.  Subjects include universal design of curriculum, teaching and supporting a diverse student cohort</w:t>
      </w:r>
      <w:r w:rsidR="000F5C52">
        <w:rPr>
          <w:bCs/>
        </w:rPr>
        <w:t xml:space="preserve">. We  deliver training either in seminars </w:t>
      </w:r>
      <w:r>
        <w:rPr>
          <w:bCs/>
        </w:rPr>
        <w:t>and/or through our online learning management system.  All PD is customised to meet organisational requirements</w:t>
      </w:r>
      <w:r w:rsidR="000F5C52">
        <w:rPr>
          <w:bCs/>
        </w:rPr>
        <w:t>.</w:t>
      </w:r>
    </w:p>
    <w:p w14:paraId="688EDC35" w14:textId="77777777" w:rsidR="00427DC9" w:rsidRDefault="00427DC9" w:rsidP="00427DC9">
      <w:pPr>
        <w:pStyle w:val="Heading2"/>
      </w:pPr>
      <w:r>
        <w:t>Slide 7</w:t>
      </w:r>
    </w:p>
    <w:p w14:paraId="4BA2D49D" w14:textId="77777777" w:rsidR="00961EAF" w:rsidRDefault="00961EAF" w:rsidP="00961EAF"/>
    <w:p w14:paraId="40C37270" w14:textId="77777777" w:rsidR="00961EAF" w:rsidRPr="00961EAF" w:rsidRDefault="00961EAF" w:rsidP="00961EAF">
      <w:r>
        <w:t>What are we finding in the higher education sector with regard to supporting students with a print disability?</w:t>
      </w:r>
    </w:p>
    <w:p w14:paraId="2509FFA4" w14:textId="77777777" w:rsidR="00961EAF" w:rsidRDefault="00427DC9" w:rsidP="00961EAF">
      <w:pPr>
        <w:pStyle w:val="Heading2"/>
      </w:pPr>
      <w:r>
        <w:t>Slide 8</w:t>
      </w:r>
    </w:p>
    <w:p w14:paraId="0BA0FEF6" w14:textId="77777777" w:rsidR="00961EAF" w:rsidRDefault="00961EAF" w:rsidP="00961EAF"/>
    <w:p w14:paraId="3A61E8AD" w14:textId="77777777" w:rsidR="00961EAF" w:rsidRDefault="00961EAF" w:rsidP="00961EAF">
      <w:r>
        <w:t>Let’s first look at Universities:</w:t>
      </w:r>
    </w:p>
    <w:p w14:paraId="59280F5C" w14:textId="77777777" w:rsidR="00961EAF" w:rsidRDefault="00961EAF" w:rsidP="00961EAF"/>
    <w:p w14:paraId="70E22671" w14:textId="77777777" w:rsidR="00961EAF" w:rsidRDefault="00961EAF" w:rsidP="0075392A">
      <w:r>
        <w:t xml:space="preserve">Major shift away from a focus on supporting students with a sensory or physical disability </w:t>
      </w:r>
      <w:r w:rsidR="0075392A">
        <w:t>to supporting students with mental health issues, resulting in:</w:t>
      </w:r>
    </w:p>
    <w:p w14:paraId="2EE9BE14" w14:textId="77777777" w:rsidR="0075392A" w:rsidRDefault="0075392A" w:rsidP="0075392A">
      <w:pPr>
        <w:pStyle w:val="ListParagraph"/>
        <w:numPr>
          <w:ilvl w:val="0"/>
          <w:numId w:val="2"/>
        </w:numPr>
      </w:pPr>
      <w:r>
        <w:t>A change in the profile of disability support staff in universities – (more likely to be psychologists or health workers than accessibility specialists);</w:t>
      </w:r>
    </w:p>
    <w:p w14:paraId="582DD703" w14:textId="77777777" w:rsidR="0075392A" w:rsidRPr="00427DC9" w:rsidRDefault="0075392A" w:rsidP="0075392A">
      <w:pPr>
        <w:pStyle w:val="Heading2"/>
      </w:pPr>
      <w:r>
        <w:t>Slide 9</w:t>
      </w:r>
    </w:p>
    <w:p w14:paraId="719E6E72" w14:textId="77777777" w:rsidR="0075392A" w:rsidRDefault="0075392A" w:rsidP="0075392A"/>
    <w:p w14:paraId="65FFFBE1" w14:textId="245BF393" w:rsidR="0075392A" w:rsidRDefault="0075392A" w:rsidP="0075392A">
      <w:pPr>
        <w:pStyle w:val="ListParagraph"/>
        <w:numPr>
          <w:ilvl w:val="0"/>
          <w:numId w:val="2"/>
        </w:numPr>
      </w:pPr>
      <w:r>
        <w:t xml:space="preserve">A shift away from resourcing for alternative formats towards </w:t>
      </w:r>
      <w:r w:rsidR="000F5C52">
        <w:t>counseling; and</w:t>
      </w:r>
    </w:p>
    <w:p w14:paraId="286ED94E" w14:textId="769C0F70" w:rsidR="0075392A" w:rsidRDefault="0075392A" w:rsidP="0075392A">
      <w:pPr>
        <w:pStyle w:val="ListParagraph"/>
        <w:numPr>
          <w:ilvl w:val="0"/>
          <w:numId w:val="2"/>
        </w:numPr>
      </w:pPr>
      <w:r>
        <w:t>Little institutional awareness of accessibility – (e.g.</w:t>
      </w:r>
      <w:r w:rsidR="000F5C52">
        <w:t xml:space="preserve"> </w:t>
      </w:r>
      <w:r>
        <w:t>widely held view that all ebooks are accessible.)</w:t>
      </w:r>
    </w:p>
    <w:p w14:paraId="3F9354C3" w14:textId="77777777" w:rsidR="0075392A" w:rsidRDefault="0075392A" w:rsidP="0075392A">
      <w:pPr>
        <w:pStyle w:val="ListParagraph"/>
      </w:pPr>
    </w:p>
    <w:p w14:paraId="12278500" w14:textId="77777777" w:rsidR="00961EAF" w:rsidRPr="00961EAF" w:rsidRDefault="00961EAF" w:rsidP="00961EAF"/>
    <w:p w14:paraId="11260168" w14:textId="77777777" w:rsidR="00427DC9" w:rsidRDefault="00427DC9" w:rsidP="00427DC9">
      <w:pPr>
        <w:pStyle w:val="Heading2"/>
      </w:pPr>
      <w:r>
        <w:t>Slide 10</w:t>
      </w:r>
    </w:p>
    <w:p w14:paraId="7A10B34B" w14:textId="675D01D1" w:rsidR="0075392A" w:rsidRDefault="0075392A" w:rsidP="0075392A">
      <w:pPr>
        <w:pStyle w:val="ListParagraph"/>
        <w:numPr>
          <w:ilvl w:val="0"/>
          <w:numId w:val="2"/>
        </w:numPr>
      </w:pPr>
      <w:r>
        <w:t>Students are more often than not told what formats they can request, r</w:t>
      </w:r>
      <w:r w:rsidR="000F5C52">
        <w:t>ather than asked what they need;</w:t>
      </w:r>
    </w:p>
    <w:p w14:paraId="6DBB2D25" w14:textId="1D120E12" w:rsidR="0075392A" w:rsidRDefault="0075392A" w:rsidP="0075392A">
      <w:pPr>
        <w:pStyle w:val="ListParagraph"/>
        <w:numPr>
          <w:ilvl w:val="0"/>
          <w:numId w:val="2"/>
        </w:numPr>
      </w:pPr>
      <w:r>
        <w:t>Large Print is in the mai</w:t>
      </w:r>
      <w:r w:rsidR="000F5C52">
        <w:t>n no longer needed or requested and</w:t>
      </w:r>
    </w:p>
    <w:p w14:paraId="40BFC9AB" w14:textId="77777777" w:rsidR="0075392A" w:rsidRPr="0075392A" w:rsidRDefault="0075392A" w:rsidP="0075392A">
      <w:pPr>
        <w:pStyle w:val="ListParagraph"/>
        <w:numPr>
          <w:ilvl w:val="0"/>
          <w:numId w:val="2"/>
        </w:numPr>
      </w:pPr>
      <w:r>
        <w:t>Braille is rarely offered.</w:t>
      </w:r>
    </w:p>
    <w:p w14:paraId="18A88E40" w14:textId="77777777" w:rsidR="00427DC9" w:rsidRDefault="00427DC9" w:rsidP="00427DC9">
      <w:pPr>
        <w:pStyle w:val="Heading2"/>
      </w:pPr>
      <w:r>
        <w:t>Slide 11</w:t>
      </w:r>
    </w:p>
    <w:p w14:paraId="1565DAA9" w14:textId="77777777" w:rsidR="0075392A" w:rsidRDefault="0075392A" w:rsidP="0075392A">
      <w:pPr>
        <w:pStyle w:val="ListParagraph"/>
        <w:numPr>
          <w:ilvl w:val="0"/>
          <w:numId w:val="2"/>
        </w:numPr>
      </w:pPr>
      <w:r>
        <w:t>While technologies are being relied on as the access solution for inaccessible learning environments, few universi</w:t>
      </w:r>
      <w:r w:rsidR="004746A2">
        <w:t>ties provide these for students or have any expertise in advising students about what is available.</w:t>
      </w:r>
    </w:p>
    <w:p w14:paraId="7F823BB7" w14:textId="77777777" w:rsidR="0075392A" w:rsidRPr="0075392A" w:rsidRDefault="0075392A" w:rsidP="004746A2">
      <w:pPr>
        <w:pStyle w:val="ListParagraph"/>
      </w:pPr>
    </w:p>
    <w:p w14:paraId="4239CFC5" w14:textId="77777777" w:rsidR="00427DC9" w:rsidRDefault="00427DC9" w:rsidP="00427DC9">
      <w:pPr>
        <w:pStyle w:val="Heading2"/>
      </w:pPr>
      <w:r>
        <w:t>Slide 12</w:t>
      </w:r>
    </w:p>
    <w:p w14:paraId="3EE48ECF" w14:textId="77777777" w:rsidR="004746A2" w:rsidRDefault="004746A2" w:rsidP="004746A2">
      <w:r>
        <w:t>Now for TAFE’s:</w:t>
      </w:r>
    </w:p>
    <w:p w14:paraId="614777A9" w14:textId="77777777" w:rsidR="004746A2" w:rsidRPr="004746A2" w:rsidRDefault="004746A2" w:rsidP="004746A2">
      <w:r>
        <w:t>With the introduction of Smart and Skilled to the TAFE system, there have been major changes impacting on students with a print disability.</w:t>
      </w:r>
    </w:p>
    <w:p w14:paraId="0DC66DC8" w14:textId="77777777" w:rsidR="00427DC9" w:rsidRDefault="00427DC9" w:rsidP="00427DC9">
      <w:pPr>
        <w:pStyle w:val="Heading2"/>
      </w:pPr>
      <w:r>
        <w:t>Slide 13</w:t>
      </w:r>
    </w:p>
    <w:p w14:paraId="106E4DE7" w14:textId="77777777" w:rsidR="004746A2" w:rsidRDefault="004746A2" w:rsidP="004746A2"/>
    <w:p w14:paraId="72AF4BE4" w14:textId="77777777" w:rsidR="004746A2" w:rsidRDefault="004746A2" w:rsidP="004746A2">
      <w:r>
        <w:t>We are seeing that with the introduction of high course costs many institutes have :</w:t>
      </w:r>
    </w:p>
    <w:p w14:paraId="49FF53C7" w14:textId="77777777" w:rsidR="004746A2" w:rsidRDefault="004746A2" w:rsidP="004746A2">
      <w:pPr>
        <w:pStyle w:val="ListParagraph"/>
        <w:numPr>
          <w:ilvl w:val="0"/>
          <w:numId w:val="3"/>
        </w:numPr>
      </w:pPr>
      <w:r>
        <w:t>Experienced large declines in the numbers of students with a disability enrolling;</w:t>
      </w:r>
    </w:p>
    <w:p w14:paraId="633DCD23" w14:textId="77777777" w:rsidR="004746A2" w:rsidRPr="004746A2" w:rsidRDefault="004746A2" w:rsidP="004746A2">
      <w:pPr>
        <w:pStyle w:val="ListParagraph"/>
        <w:numPr>
          <w:ilvl w:val="0"/>
          <w:numId w:val="3"/>
        </w:numPr>
      </w:pPr>
      <w:r>
        <w:t>Decline in enrollments has triggered cycles of change management , resulting in the loss of key support workers with accessibility and alternative format expertise;</w:t>
      </w:r>
    </w:p>
    <w:p w14:paraId="54F39B5E" w14:textId="77777777" w:rsidR="00427DC9" w:rsidRDefault="00427DC9" w:rsidP="00427DC9">
      <w:pPr>
        <w:pStyle w:val="Heading2"/>
      </w:pPr>
      <w:r>
        <w:t>Slide 14</w:t>
      </w:r>
    </w:p>
    <w:p w14:paraId="209C5551" w14:textId="77777777" w:rsidR="004746A2" w:rsidRDefault="004746A2" w:rsidP="004746A2">
      <w:pPr>
        <w:pStyle w:val="ListParagraph"/>
        <w:numPr>
          <w:ilvl w:val="0"/>
          <w:numId w:val="3"/>
        </w:numPr>
      </w:pPr>
      <w:r>
        <w:t>Some states such as NSW have now responded by removing all charges for students with a disability – resulting in increased enrollments of students with a disability in institutes with lower capacity to meet student needs.</w:t>
      </w:r>
    </w:p>
    <w:p w14:paraId="2881DB0B" w14:textId="77777777" w:rsidR="004746A2" w:rsidRPr="004746A2" w:rsidRDefault="004746A2" w:rsidP="004746A2">
      <w:pPr>
        <w:pStyle w:val="ListParagraph"/>
      </w:pPr>
    </w:p>
    <w:p w14:paraId="18BD0DF0" w14:textId="77777777" w:rsidR="00427DC9" w:rsidRDefault="00427DC9" w:rsidP="00427DC9">
      <w:pPr>
        <w:pStyle w:val="Heading2"/>
      </w:pPr>
      <w:r>
        <w:t>Slide 15</w:t>
      </w:r>
    </w:p>
    <w:p w14:paraId="27CC7AF8" w14:textId="77777777" w:rsidR="004746A2" w:rsidRDefault="00557B5F" w:rsidP="00557B5F">
      <w:pPr>
        <w:pStyle w:val="ListParagraph"/>
        <w:numPr>
          <w:ilvl w:val="0"/>
          <w:numId w:val="3"/>
        </w:numPr>
      </w:pPr>
      <w:r>
        <w:t>TAFE’s are increasingly moving into the space that was traditionally the domain of universities offering degrees, attracting international students, developing and delivering courses online.</w:t>
      </w:r>
    </w:p>
    <w:p w14:paraId="6A963A35" w14:textId="77777777" w:rsidR="00557B5F" w:rsidRDefault="00557B5F" w:rsidP="004746A2"/>
    <w:p w14:paraId="2043F359" w14:textId="77777777" w:rsidR="00557B5F" w:rsidRPr="004746A2" w:rsidRDefault="00557B5F" w:rsidP="004746A2"/>
    <w:p w14:paraId="69DB6CFB" w14:textId="77777777" w:rsidR="00427DC9" w:rsidRPr="00427DC9" w:rsidRDefault="00427DC9" w:rsidP="00427DC9">
      <w:pPr>
        <w:pStyle w:val="Heading2"/>
      </w:pPr>
      <w:r>
        <w:t>Slide 16</w:t>
      </w:r>
    </w:p>
    <w:p w14:paraId="21F0B63F" w14:textId="77777777" w:rsidR="00427DC9" w:rsidRDefault="00557B5F" w:rsidP="00427DC9">
      <w:r>
        <w:t>Finally, private colleges.</w:t>
      </w:r>
    </w:p>
    <w:p w14:paraId="2A8C594B" w14:textId="77777777" w:rsidR="00557B5F" w:rsidRDefault="00557B5F" w:rsidP="00427DC9"/>
    <w:p w14:paraId="654A53E2" w14:textId="77777777" w:rsidR="00557B5F" w:rsidRDefault="00557B5F" w:rsidP="00427DC9">
      <w:r>
        <w:t>There are now over 4,500 private colleges in Australia.</w:t>
      </w:r>
    </w:p>
    <w:p w14:paraId="6F80E36F" w14:textId="77777777" w:rsidR="00557B5F" w:rsidRDefault="00557B5F" w:rsidP="00427DC9">
      <w:r>
        <w:t>These Registered Training organisations (RTO’s) are offering qualifications ranging from Certificate I to Post Graduate Qualifications.</w:t>
      </w:r>
    </w:p>
    <w:p w14:paraId="3EA20D77" w14:textId="77777777" w:rsidR="00B37524" w:rsidRDefault="00B37524" w:rsidP="00427DC9"/>
    <w:p w14:paraId="69EB56AF" w14:textId="77777777" w:rsidR="00B37524" w:rsidRDefault="00B37524" w:rsidP="00B37524">
      <w:pPr>
        <w:pStyle w:val="Heading2"/>
      </w:pPr>
      <w:r>
        <w:t>Slide 17</w:t>
      </w:r>
    </w:p>
    <w:p w14:paraId="04696A38" w14:textId="77777777" w:rsidR="00B37524" w:rsidRDefault="00B37524" w:rsidP="00B37524">
      <w:r>
        <w:t>Though some of these colleges have 30,000+ students we are finding:</w:t>
      </w:r>
    </w:p>
    <w:p w14:paraId="5B1C965F" w14:textId="77777777" w:rsidR="00B37524" w:rsidRDefault="00B37524" w:rsidP="00B37524">
      <w:pPr>
        <w:pStyle w:val="ListParagraph"/>
        <w:numPr>
          <w:ilvl w:val="0"/>
          <w:numId w:val="4"/>
        </w:numPr>
      </w:pPr>
      <w:r>
        <w:t>Little to no understanding of the needs of students with a print disability.</w:t>
      </w:r>
    </w:p>
    <w:p w14:paraId="72C1A4E8" w14:textId="77777777" w:rsidR="00B37524" w:rsidRDefault="00B37524" w:rsidP="00B37524">
      <w:pPr>
        <w:pStyle w:val="ListParagraph"/>
        <w:numPr>
          <w:ilvl w:val="0"/>
          <w:numId w:val="4"/>
        </w:numPr>
      </w:pPr>
      <w:r>
        <w:t>It is not uncommon to hear that colleges have just told students to go elsewhere.</w:t>
      </w:r>
    </w:p>
    <w:p w14:paraId="09E055CA" w14:textId="77777777" w:rsidR="00B37524" w:rsidRDefault="00B37524" w:rsidP="00B37524">
      <w:pPr>
        <w:pStyle w:val="ListParagraph"/>
      </w:pPr>
    </w:p>
    <w:p w14:paraId="7E47E372" w14:textId="77777777" w:rsidR="00B37524" w:rsidRPr="00B37524" w:rsidRDefault="00B37524" w:rsidP="00B37524"/>
    <w:p w14:paraId="26ED8E0B" w14:textId="77777777" w:rsidR="00B37524" w:rsidRDefault="00B37524" w:rsidP="00B37524">
      <w:pPr>
        <w:pStyle w:val="Heading2"/>
      </w:pPr>
      <w:r>
        <w:t>Slide 18</w:t>
      </w:r>
    </w:p>
    <w:p w14:paraId="026EF8C4" w14:textId="77777777" w:rsidR="00B37524" w:rsidRDefault="00B37524" w:rsidP="000F5C52">
      <w:pPr>
        <w:ind w:left="720"/>
      </w:pPr>
      <w:r>
        <w:t xml:space="preserve">3.Heavy reliance on the “unjustifiable hardship clause” in the Disability Discrimination Act 1992 and Education Standards 2005 for not making an adjustment. </w:t>
      </w:r>
    </w:p>
    <w:p w14:paraId="764A3697" w14:textId="77777777" w:rsidR="00B37524" w:rsidRDefault="00B37524" w:rsidP="00B37524"/>
    <w:p w14:paraId="181D3253" w14:textId="77777777" w:rsidR="00B37524" w:rsidRPr="00B37524" w:rsidRDefault="00B37524" w:rsidP="00B37524"/>
    <w:p w14:paraId="3320611C" w14:textId="77777777" w:rsidR="00B37524" w:rsidRDefault="00B37524" w:rsidP="00B37524">
      <w:pPr>
        <w:pStyle w:val="Heading2"/>
      </w:pPr>
      <w:r>
        <w:t>Slide 19</w:t>
      </w:r>
    </w:p>
    <w:p w14:paraId="7C3A4988" w14:textId="77777777" w:rsidR="00B37524" w:rsidRDefault="00B37524" w:rsidP="000F5C52">
      <w:pPr>
        <w:ind w:firstLine="720"/>
      </w:pPr>
      <w:r>
        <w:t>4.Adjustments often do not include alternative formats</w:t>
      </w:r>
    </w:p>
    <w:p w14:paraId="6323E8DB" w14:textId="77777777" w:rsidR="00B37524" w:rsidRPr="00B37524" w:rsidRDefault="00B37524" w:rsidP="000F5C52">
      <w:pPr>
        <w:ind w:left="720"/>
      </w:pPr>
      <w:r>
        <w:t>5.Teaching staff are subject specialists often without formal education qualifications.</w:t>
      </w:r>
    </w:p>
    <w:p w14:paraId="73A8FC89" w14:textId="77777777" w:rsidR="00B37524" w:rsidRDefault="00B37524" w:rsidP="00B37524">
      <w:pPr>
        <w:pStyle w:val="Heading2"/>
      </w:pPr>
      <w:r>
        <w:t>Slide 20</w:t>
      </w:r>
    </w:p>
    <w:p w14:paraId="34ED11F3" w14:textId="77777777" w:rsidR="00B37524" w:rsidRDefault="00B37524" w:rsidP="00B37524">
      <w:r>
        <w:t>Now for the opportunities for Round Table:</w:t>
      </w:r>
    </w:p>
    <w:p w14:paraId="05D66CA0" w14:textId="77777777" w:rsidR="00B37524" w:rsidRDefault="00B37524" w:rsidP="00B37524"/>
    <w:p w14:paraId="0E11E555" w14:textId="77777777" w:rsidR="00B37524" w:rsidRDefault="00B37524" w:rsidP="00B37524">
      <w:pPr>
        <w:pStyle w:val="ListParagraph"/>
        <w:numPr>
          <w:ilvl w:val="0"/>
          <w:numId w:val="5"/>
        </w:numPr>
      </w:pPr>
      <w:r>
        <w:t>The sector is looking for standards – but is mostly unaware of the standards developed by the Round Table.</w:t>
      </w:r>
    </w:p>
    <w:p w14:paraId="5F97B1FD" w14:textId="44B88D10" w:rsidR="00B37524" w:rsidRDefault="00BA598C" w:rsidP="00B37524">
      <w:pPr>
        <w:pStyle w:val="ListParagraph"/>
        <w:numPr>
          <w:ilvl w:val="0"/>
          <w:numId w:val="5"/>
        </w:numPr>
      </w:pPr>
      <w:r>
        <w:t>We are no longer dealing with an environment where there are specialist support workers.  For this reason standards need to be presented in a format that will be easy for people who have no knowledge of print disabilities to understand.</w:t>
      </w:r>
    </w:p>
    <w:p w14:paraId="59941505" w14:textId="77777777" w:rsidR="00B37524" w:rsidRPr="00B37524" w:rsidRDefault="00B37524" w:rsidP="00B37524"/>
    <w:p w14:paraId="20F7400D" w14:textId="0E67D1BC" w:rsidR="00B37524" w:rsidRDefault="00BA598C" w:rsidP="00B37524">
      <w:pPr>
        <w:pStyle w:val="Heading2"/>
      </w:pPr>
      <w:r>
        <w:t>Slide 21</w:t>
      </w:r>
    </w:p>
    <w:p w14:paraId="7708883C" w14:textId="77777777" w:rsidR="00BA598C" w:rsidRDefault="00BA598C" w:rsidP="00BA598C"/>
    <w:p w14:paraId="1D5F5571" w14:textId="56F366AF" w:rsidR="00BA598C" w:rsidRDefault="00BA598C" w:rsidP="00BA598C">
      <w:pPr>
        <w:pStyle w:val="ListParagraph"/>
        <w:numPr>
          <w:ilvl w:val="0"/>
          <w:numId w:val="5"/>
        </w:numPr>
      </w:pPr>
      <w:r>
        <w:t>While the legal compliance imperative has worked overseas</w:t>
      </w:r>
      <w:r w:rsidR="006F4AF2">
        <w:t>, it has not worked in Australia</w:t>
      </w:r>
      <w:r>
        <w:t>.  There is a need for advocacy in this area especially with the appointment of the new Disability Discrimination Commissioner.</w:t>
      </w:r>
    </w:p>
    <w:p w14:paraId="6D5D9C66" w14:textId="77777777" w:rsidR="00BA598C" w:rsidRPr="00BA598C" w:rsidRDefault="00BA598C" w:rsidP="00BA598C">
      <w:pPr>
        <w:pStyle w:val="ListParagraph"/>
      </w:pPr>
    </w:p>
    <w:p w14:paraId="48610764" w14:textId="74104E9B" w:rsidR="00B37524" w:rsidRDefault="00BA598C" w:rsidP="00B37524">
      <w:pPr>
        <w:pStyle w:val="Heading2"/>
      </w:pPr>
      <w:r>
        <w:t>Slide 22</w:t>
      </w:r>
    </w:p>
    <w:p w14:paraId="0A45E0FC" w14:textId="707BB880" w:rsidR="003E6481" w:rsidRDefault="00BA598C" w:rsidP="006F4AF2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b/>
          <w:bCs/>
          <w:color w:val="6D6D6D"/>
          <w:sz w:val="22"/>
          <w:szCs w:val="22"/>
        </w:rPr>
      </w:pPr>
      <w:r>
        <w:t xml:space="preserve">4. It is important in this environment that those advocating for access to education for students with a disability who require adjustments work together. We need to collaborate with other groups and feed information into bodies such as ADCET. </w:t>
      </w:r>
      <w:r w:rsidR="003E6481">
        <w:t xml:space="preserve"> </w:t>
      </w:r>
      <w:hyperlink r:id="rId8" w:history="1">
        <w:r w:rsidR="006F4AF2" w:rsidRPr="00A02656">
          <w:rPr>
            <w:rStyle w:val="Hyperlink"/>
            <w:rFonts w:ascii="Arial" w:hAnsi="Arial" w:cs="Arial"/>
            <w:sz w:val="28"/>
            <w:szCs w:val="28"/>
          </w:rPr>
          <w:t>www.</w:t>
        </w:r>
        <w:r w:rsidR="006F4AF2" w:rsidRPr="00A02656">
          <w:rPr>
            <w:rStyle w:val="Hyperlink"/>
            <w:rFonts w:ascii="Arial" w:hAnsi="Arial" w:cs="Arial"/>
            <w:b/>
            <w:bCs/>
            <w:sz w:val="28"/>
            <w:szCs w:val="28"/>
          </w:rPr>
          <w:t>adcet</w:t>
        </w:r>
        <w:r w:rsidR="006F4AF2" w:rsidRPr="00A02656">
          <w:rPr>
            <w:rStyle w:val="Hyperlink"/>
            <w:rFonts w:ascii="Arial" w:hAnsi="Arial" w:cs="Arial"/>
            <w:sz w:val="28"/>
            <w:szCs w:val="28"/>
          </w:rPr>
          <w:t>.edu.au/</w:t>
        </w:r>
      </w:hyperlink>
      <w:r w:rsidR="006F4AF2">
        <w:rPr>
          <w:rFonts w:ascii="Arial" w:hAnsi="Arial" w:cs="Arial"/>
          <w:color w:val="0B5519"/>
          <w:sz w:val="28"/>
          <w:szCs w:val="28"/>
        </w:rPr>
        <w:t xml:space="preserve">  </w:t>
      </w:r>
    </w:p>
    <w:p w14:paraId="35D4D3E0" w14:textId="77777777" w:rsidR="003E6481" w:rsidRDefault="003E6481" w:rsidP="003E648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6D6D6D"/>
          <w:sz w:val="22"/>
          <w:szCs w:val="22"/>
        </w:rPr>
      </w:pPr>
    </w:p>
    <w:p w14:paraId="12F7EF1A" w14:textId="29076159" w:rsidR="003E6481" w:rsidRDefault="003E6481" w:rsidP="003E6481">
      <w:pPr>
        <w:pStyle w:val="Heading2"/>
      </w:pPr>
      <w:r>
        <w:t>Slide 23</w:t>
      </w:r>
    </w:p>
    <w:p w14:paraId="1464A4BB" w14:textId="38A3883E" w:rsidR="00BA598C" w:rsidRDefault="003E6481" w:rsidP="003E6481">
      <w:pPr>
        <w:pStyle w:val="ListParagraph"/>
        <w:numPr>
          <w:ilvl w:val="0"/>
          <w:numId w:val="5"/>
        </w:numPr>
      </w:pPr>
      <w:r>
        <w:t>We need to be creative in how we approach community education and awareness  of the needs of students with a print disability– perhaps by giving awards for education providers who are providing accessible education and good support for students. Remembering that with life-long learning – we are all potentially students.</w:t>
      </w:r>
    </w:p>
    <w:p w14:paraId="47421500" w14:textId="77777777" w:rsidR="003E6481" w:rsidRPr="00BA598C" w:rsidRDefault="003E6481" w:rsidP="003E6481">
      <w:pPr>
        <w:pStyle w:val="ListParagraph"/>
      </w:pPr>
    </w:p>
    <w:p w14:paraId="5F82296D" w14:textId="75741C97" w:rsidR="003E6481" w:rsidRDefault="003E6481" w:rsidP="003E6481">
      <w:pPr>
        <w:pStyle w:val="Heading2"/>
      </w:pPr>
      <w:r>
        <w:t>Slide 24</w:t>
      </w:r>
    </w:p>
    <w:p w14:paraId="7572F044" w14:textId="04EB6450" w:rsidR="003E6481" w:rsidRDefault="003E6481" w:rsidP="003E6481">
      <w:pPr>
        <w:pStyle w:val="ListParagraph"/>
        <w:numPr>
          <w:ilvl w:val="0"/>
          <w:numId w:val="5"/>
        </w:numPr>
      </w:pPr>
      <w:r>
        <w:t xml:space="preserve">We need to ensure that our membership has up-to-date information on assistive technologies and is aware of what is available.  This is especially important as people start receiving their personal plans through the NDIS. </w:t>
      </w:r>
    </w:p>
    <w:p w14:paraId="762E9E19" w14:textId="55785896" w:rsidR="003E6481" w:rsidRDefault="003E6481" w:rsidP="003E6481">
      <w:pPr>
        <w:pStyle w:val="ListParagraph"/>
      </w:pPr>
      <w:r>
        <w:t>NDIS does not support employment or education, however if people need these technologies for daily communication and functioning they are covered.</w:t>
      </w:r>
    </w:p>
    <w:p w14:paraId="6BB7EA0D" w14:textId="77777777" w:rsidR="003E6481" w:rsidRDefault="003E6481" w:rsidP="003E6481">
      <w:pPr>
        <w:pStyle w:val="ListParagraph"/>
      </w:pPr>
    </w:p>
    <w:p w14:paraId="1FCD7F16" w14:textId="4422B661" w:rsidR="003E6481" w:rsidRDefault="003E6481" w:rsidP="003E6481">
      <w:pPr>
        <w:pStyle w:val="Heading2"/>
      </w:pPr>
      <w:r>
        <w:t>Slide 25</w:t>
      </w:r>
    </w:p>
    <w:p w14:paraId="02BB8FC4" w14:textId="54CA9A6A" w:rsidR="003E6481" w:rsidRPr="003E6481" w:rsidRDefault="003E6481" w:rsidP="006F4AF2">
      <w:pPr>
        <w:ind w:left="720"/>
      </w:pPr>
      <w:r>
        <w:t xml:space="preserve">6. For those working in universities, TAFE’s and colleges, it is important to advocate for </w:t>
      </w:r>
      <w:r w:rsidR="006F4AF2">
        <w:t>strategies such as universal design of curriculum to minimise</w:t>
      </w:r>
      <w:r w:rsidR="000F5C52">
        <w:t xml:space="preserve"> the demand for adjustments </w:t>
      </w:r>
      <w:r w:rsidR="006F4AF2">
        <w:t>and again have creative solutions such as employing students with a print disability to do end user checking.</w:t>
      </w:r>
    </w:p>
    <w:p w14:paraId="099ADE3A" w14:textId="77777777" w:rsidR="003E6481" w:rsidRPr="003E6481" w:rsidRDefault="003E6481" w:rsidP="003E6481">
      <w:pPr>
        <w:pStyle w:val="ListParagraph"/>
      </w:pPr>
    </w:p>
    <w:p w14:paraId="5517884B" w14:textId="2F04EAAE" w:rsidR="006F4AF2" w:rsidRDefault="006F4AF2" w:rsidP="006F4AF2">
      <w:pPr>
        <w:pStyle w:val="Heading2"/>
      </w:pPr>
      <w:r>
        <w:t>Slide 26</w:t>
      </w:r>
    </w:p>
    <w:p w14:paraId="7B92B3BD" w14:textId="77777777" w:rsidR="000F5C52" w:rsidRDefault="000F5C52" w:rsidP="000F5C52"/>
    <w:p w14:paraId="460654B1" w14:textId="72AFEC93" w:rsidR="000F5C52" w:rsidRDefault="000F5C52" w:rsidP="000F5C52">
      <w:r>
        <w:t>Questions … discussion</w:t>
      </w:r>
    </w:p>
    <w:p w14:paraId="790FEACE" w14:textId="77777777" w:rsidR="000F5C52" w:rsidRDefault="000F5C52" w:rsidP="000F5C52"/>
    <w:p w14:paraId="6213BA76" w14:textId="77777777" w:rsidR="000F5C52" w:rsidRPr="000F5C52" w:rsidRDefault="000F5C52" w:rsidP="000F5C52"/>
    <w:p w14:paraId="0A0A56C9" w14:textId="018CD44A" w:rsidR="000F5C52" w:rsidRDefault="000F5C52" w:rsidP="000F5C52">
      <w:pPr>
        <w:pStyle w:val="Heading2"/>
      </w:pPr>
      <w:r>
        <w:t>Slide 27</w:t>
      </w:r>
    </w:p>
    <w:p w14:paraId="29DF1936" w14:textId="77777777" w:rsidR="006F4AF2" w:rsidRDefault="006F4AF2" w:rsidP="006F4AF2"/>
    <w:p w14:paraId="18E3DDF7" w14:textId="77777777" w:rsidR="006F4AF2" w:rsidRDefault="006F4AF2" w:rsidP="006F4AF2">
      <w:r>
        <w:t xml:space="preserve">Final thought: </w:t>
      </w:r>
    </w:p>
    <w:p w14:paraId="6ED6FF30" w14:textId="78C702E7" w:rsidR="006F4AF2" w:rsidRDefault="006F4AF2" w:rsidP="006F4AF2">
      <w:r w:rsidRPr="006F4AF2">
        <w:t>Assistive technologies, universal design of curriculum and conversions of inaccessible materials are the three pillars for access. It is up to us to ensure that all three are implemented.</w:t>
      </w:r>
    </w:p>
    <w:p w14:paraId="3E695BED" w14:textId="77777777" w:rsidR="006F4AF2" w:rsidRPr="006F4AF2" w:rsidRDefault="006F4AF2" w:rsidP="006F4AF2"/>
    <w:p w14:paraId="501DC556" w14:textId="550865A8" w:rsidR="006F4AF2" w:rsidRDefault="000F5C52" w:rsidP="006F4AF2">
      <w:pPr>
        <w:pStyle w:val="Heading2"/>
      </w:pPr>
      <w:r>
        <w:t>Slide 28</w:t>
      </w:r>
    </w:p>
    <w:p w14:paraId="5561F41E" w14:textId="6C5E1AB1" w:rsidR="006F4AF2" w:rsidRDefault="006F4AF2" w:rsidP="006F4AF2">
      <w:r>
        <w:t>Thank you</w:t>
      </w:r>
    </w:p>
    <w:p w14:paraId="34884F7C" w14:textId="77777777" w:rsidR="006F4AF2" w:rsidRDefault="006F4AF2" w:rsidP="006F4AF2"/>
    <w:p w14:paraId="7132DF8D" w14:textId="53FDE962" w:rsidR="006F4AF2" w:rsidRDefault="006F4AF2" w:rsidP="006F4AF2">
      <w:r>
        <w:t>Sharon Kerr</w:t>
      </w:r>
    </w:p>
    <w:p w14:paraId="47B709C0" w14:textId="711E069C" w:rsidR="006F4AF2" w:rsidRDefault="006D6651" w:rsidP="006F4AF2">
      <w:hyperlink r:id="rId9" w:history="1">
        <w:r w:rsidR="006F4AF2" w:rsidRPr="00A02656">
          <w:rPr>
            <w:rStyle w:val="Hyperlink"/>
          </w:rPr>
          <w:t>Sharon.kerr@he-cg.com</w:t>
        </w:r>
      </w:hyperlink>
    </w:p>
    <w:p w14:paraId="082A8698" w14:textId="1844C433" w:rsidR="006F4AF2" w:rsidRDefault="006D6651" w:rsidP="006F4AF2">
      <w:hyperlink r:id="rId10" w:history="1">
        <w:r w:rsidR="006F4AF2" w:rsidRPr="00A02656">
          <w:rPr>
            <w:rStyle w:val="Hyperlink"/>
          </w:rPr>
          <w:t>www.globalaccessproject.com</w:t>
        </w:r>
      </w:hyperlink>
    </w:p>
    <w:p w14:paraId="27F07F4A" w14:textId="2EEAF8F8" w:rsidR="006F4AF2" w:rsidRDefault="006D6651" w:rsidP="006F4AF2">
      <w:pPr>
        <w:rPr>
          <w:rFonts w:ascii="Helvetica" w:hAnsi="Helvetica" w:cs="Helvetica"/>
          <w:color w:val="262626"/>
          <w:sz w:val="22"/>
          <w:szCs w:val="22"/>
        </w:rPr>
      </w:pPr>
      <w:hyperlink r:id="rId11" w:history="1">
        <w:r w:rsidR="006F4AF2" w:rsidRPr="00A02656">
          <w:rPr>
            <w:rStyle w:val="Hyperlink"/>
            <w:rFonts w:ascii="Helvetica" w:hAnsi="Helvetica" w:cs="Helvetica"/>
            <w:sz w:val="22"/>
            <w:szCs w:val="22"/>
          </w:rPr>
          <w:t>https://au.linkedin.com/in/sharon-kerr-9713286</w:t>
        </w:r>
      </w:hyperlink>
    </w:p>
    <w:p w14:paraId="0920E6C6" w14:textId="77777777" w:rsidR="006F4AF2" w:rsidRPr="006F4AF2" w:rsidRDefault="006F4AF2" w:rsidP="006F4AF2"/>
    <w:p w14:paraId="4D656AE8" w14:textId="77777777" w:rsidR="00B37524" w:rsidRPr="00427DC9" w:rsidRDefault="00B37524" w:rsidP="00427DC9"/>
    <w:sectPr w:rsidR="00B37524" w:rsidRPr="00427DC9" w:rsidSect="00C31BF4">
      <w:footerReference w:type="even" r:id="rId12"/>
      <w:footerReference w:type="default" r:id="rId13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79344F" w14:textId="77777777" w:rsidR="000C1421" w:rsidRDefault="000C1421" w:rsidP="000C1421">
      <w:r>
        <w:separator/>
      </w:r>
    </w:p>
  </w:endnote>
  <w:endnote w:type="continuationSeparator" w:id="0">
    <w:p w14:paraId="1D1BC0E1" w14:textId="77777777" w:rsidR="000C1421" w:rsidRDefault="000C1421" w:rsidP="000C1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1D386A" w14:textId="77777777" w:rsidR="000C1421" w:rsidRDefault="000C1421" w:rsidP="00A0265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CA68A4" w14:textId="77777777" w:rsidR="000C1421" w:rsidRDefault="000C1421" w:rsidP="000C1421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9866CD" w14:textId="77777777" w:rsidR="000C1421" w:rsidRDefault="000C1421" w:rsidP="00A0265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D6651">
      <w:rPr>
        <w:rStyle w:val="PageNumber"/>
        <w:noProof/>
      </w:rPr>
      <w:t>1</w:t>
    </w:r>
    <w:r>
      <w:rPr>
        <w:rStyle w:val="PageNumber"/>
      </w:rPr>
      <w:fldChar w:fldCharType="end"/>
    </w:r>
  </w:p>
  <w:p w14:paraId="55090883" w14:textId="77777777" w:rsidR="000C1421" w:rsidRDefault="000C1421" w:rsidP="000C142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DCD796" w14:textId="77777777" w:rsidR="000C1421" w:rsidRDefault="000C1421" w:rsidP="000C1421">
      <w:r>
        <w:separator/>
      </w:r>
    </w:p>
  </w:footnote>
  <w:footnote w:type="continuationSeparator" w:id="0">
    <w:p w14:paraId="3FF65534" w14:textId="77777777" w:rsidR="000C1421" w:rsidRDefault="000C1421" w:rsidP="000C1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AB1574C"/>
    <w:multiLevelType w:val="hybridMultilevel"/>
    <w:tmpl w:val="26D2B3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A74C29"/>
    <w:multiLevelType w:val="hybridMultilevel"/>
    <w:tmpl w:val="805E0B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281E00"/>
    <w:multiLevelType w:val="hybridMultilevel"/>
    <w:tmpl w:val="CE726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424B9E"/>
    <w:multiLevelType w:val="hybridMultilevel"/>
    <w:tmpl w:val="F84AF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7B1CC8"/>
    <w:multiLevelType w:val="hybridMultilevel"/>
    <w:tmpl w:val="97EE0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DC9"/>
    <w:rsid w:val="000C1421"/>
    <w:rsid w:val="000F5C52"/>
    <w:rsid w:val="003E6481"/>
    <w:rsid w:val="00427DC9"/>
    <w:rsid w:val="004746A2"/>
    <w:rsid w:val="00557B5F"/>
    <w:rsid w:val="00692CA0"/>
    <w:rsid w:val="006D6651"/>
    <w:rsid w:val="006F4AF2"/>
    <w:rsid w:val="0075392A"/>
    <w:rsid w:val="00961EAF"/>
    <w:rsid w:val="009C068B"/>
    <w:rsid w:val="00B37524"/>
    <w:rsid w:val="00BA598C"/>
    <w:rsid w:val="00C31BF4"/>
    <w:rsid w:val="00CE0AAF"/>
    <w:rsid w:val="00D81DFB"/>
    <w:rsid w:val="00F63BFB"/>
    <w:rsid w:val="00F8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9015C6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7D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7DC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7DC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27D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427DC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4AF2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0C142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1421"/>
  </w:style>
  <w:style w:type="character" w:styleId="PageNumber">
    <w:name w:val="page number"/>
    <w:basedOn w:val="DefaultParagraphFont"/>
    <w:uiPriority w:val="99"/>
    <w:semiHidden/>
    <w:unhideWhenUsed/>
    <w:rsid w:val="000C142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7D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7DC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7DC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27D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427DC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4AF2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0C142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1421"/>
  </w:style>
  <w:style w:type="character" w:styleId="PageNumber">
    <w:name w:val="page number"/>
    <w:basedOn w:val="DefaultParagraphFont"/>
    <w:uiPriority w:val="99"/>
    <w:semiHidden/>
    <w:unhideWhenUsed/>
    <w:rsid w:val="000C1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au.linkedin.com/in/sharon-kerr-9713286" TargetMode="Externa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adcet.edu.au/" TargetMode="External"/><Relationship Id="rId9" Type="http://schemas.openxmlformats.org/officeDocument/2006/relationships/hyperlink" Target="mailto:Sharon.kerr@he-cg.com" TargetMode="External"/><Relationship Id="rId10" Type="http://schemas.openxmlformats.org/officeDocument/2006/relationships/hyperlink" Target="http://www.globalaccessprojec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1157</Words>
  <Characters>6601</Characters>
  <Application>Microsoft Macintosh Word</Application>
  <DocSecurity>0</DocSecurity>
  <Lines>55</Lines>
  <Paragraphs>15</Paragraphs>
  <ScaleCrop>false</ScaleCrop>
  <Company/>
  <LinksUpToDate>false</LinksUpToDate>
  <CharactersWithSpaces>7743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Kerr</dc:creator>
  <cp:keywords/>
  <dc:description/>
  <cp:lastModifiedBy>Sharon Kerr</cp:lastModifiedBy>
  <cp:revision>3</cp:revision>
  <dcterms:created xsi:type="dcterms:W3CDTF">2016-05-26T01:04:00Z</dcterms:created>
  <dcterms:modified xsi:type="dcterms:W3CDTF">2016-05-26T01:05:00Z</dcterms:modified>
</cp:coreProperties>
</file>