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57504" w14:textId="2CA81EDA" w:rsidR="001414F3" w:rsidRPr="00776009" w:rsidRDefault="0068490D" w:rsidP="00130923">
      <w:pPr>
        <w:pStyle w:val="BodyText"/>
      </w:pPr>
      <w:bookmarkStart w:id="0" w:name="_GoBack"/>
      <w:bookmarkEnd w:id="0"/>
      <w:r w:rsidRPr="00F25990">
        <w:rPr>
          <w:noProof/>
        </w:rPr>
        <w:drawing>
          <wp:inline distT="0" distB="0" distL="0" distR="0" wp14:anchorId="48B44A37" wp14:editId="7AC00FD4">
            <wp:extent cx="2880360" cy="560832"/>
            <wp:effectExtent l="0" t="0" r="0" b="0"/>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360" cy="560832"/>
                    </a:xfrm>
                    <a:prstGeom prst="rect">
                      <a:avLst/>
                    </a:prstGeom>
                  </pic:spPr>
                </pic:pic>
              </a:graphicData>
            </a:graphic>
          </wp:inline>
        </w:drawing>
      </w:r>
    </w:p>
    <w:p w14:paraId="06670AC6" w14:textId="0586FEE8" w:rsidR="00BA282D" w:rsidRPr="00776009" w:rsidRDefault="002D54A6" w:rsidP="009542FF">
      <w:pPr>
        <w:pStyle w:val="Title"/>
        <w:spacing w:before="1920"/>
        <w:ind w:left="1276" w:right="-23"/>
      </w:pPr>
      <w:r w:rsidRPr="00776009">
        <w:t>Disability Support Program</w:t>
      </w:r>
    </w:p>
    <w:p w14:paraId="63C6B6FA" w14:textId="77777777" w:rsidR="0004797B" w:rsidRPr="00776009" w:rsidRDefault="002D54A6" w:rsidP="00F80CFC">
      <w:pPr>
        <w:pStyle w:val="Subtitle"/>
        <w:ind w:left="1276" w:right="-22"/>
      </w:pPr>
      <w:r w:rsidRPr="00776009">
        <w:t xml:space="preserve">Consultation </w:t>
      </w:r>
      <w:r w:rsidR="00D87ED6" w:rsidRPr="00776009">
        <w:t>following p</w:t>
      </w:r>
      <w:r w:rsidR="005309EC" w:rsidRPr="00776009">
        <w:t xml:space="preserve">rogram </w:t>
      </w:r>
      <w:r w:rsidR="00D87ED6" w:rsidRPr="00776009">
        <w:t>e</w:t>
      </w:r>
      <w:r w:rsidR="005309EC" w:rsidRPr="00776009">
        <w:t>valuation</w:t>
      </w:r>
    </w:p>
    <w:p w14:paraId="3A150C1F" w14:textId="6C7D0A66" w:rsidR="00BA282D" w:rsidRPr="00776009" w:rsidRDefault="00A7097F" w:rsidP="00F80CFC">
      <w:pPr>
        <w:pStyle w:val="Subtitle"/>
        <w:ind w:left="1276" w:right="-22"/>
      </w:pPr>
      <w:r w:rsidRPr="00776009">
        <w:t>October</w:t>
      </w:r>
      <w:r w:rsidR="0004797B" w:rsidRPr="00776009">
        <w:t xml:space="preserve"> 2016</w:t>
      </w:r>
    </w:p>
    <w:p w14:paraId="204995E6" w14:textId="55CCFE6B" w:rsidR="00130923" w:rsidRPr="00776009" w:rsidRDefault="00F47193" w:rsidP="002D54A6">
      <w:pPr>
        <w:sectPr w:rsidR="00130923" w:rsidRPr="00776009" w:rsidSect="00AD09E4">
          <w:headerReference w:type="even" r:id="rId10"/>
          <w:headerReference w:type="default" r:id="rId11"/>
          <w:footerReference w:type="even" r:id="rId12"/>
          <w:footerReference w:type="default" r:id="rId13"/>
          <w:headerReference w:type="first" r:id="rId14"/>
          <w:footerReference w:type="first" r:id="rId15"/>
          <w:pgSz w:w="11906" w:h="16838"/>
          <w:pgMar w:top="1418" w:right="1558" w:bottom="567" w:left="1440" w:header="708" w:footer="283" w:gutter="0"/>
          <w:cols w:space="708"/>
          <w:docGrid w:linePitch="360"/>
        </w:sectPr>
      </w:pPr>
      <w:r w:rsidRPr="00F25990">
        <w:rPr>
          <w:noProof/>
          <w:lang w:eastAsia="en-AU"/>
        </w:rPr>
        <w:drawing>
          <wp:anchor distT="0" distB="0" distL="114300" distR="114300" simplePos="0" relativeHeight="251658240" behindDoc="1" locked="0" layoutInCell="1" allowOverlap="1" wp14:anchorId="7412392F" wp14:editId="7A28B988">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6">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r w:rsidRPr="00776009">
        <w:rPr>
          <w:rStyle w:val="Emphasis"/>
          <w:color w:val="FFFFFF" w:themeColor="background2"/>
        </w:rPr>
        <w:t>Opportunity through learning</w:t>
      </w:r>
      <w:r w:rsidR="00130923" w:rsidRPr="00776009">
        <w:br w:type="page"/>
      </w:r>
    </w:p>
    <w:sdt>
      <w:sdtPr>
        <w:rPr>
          <w:rFonts w:asciiTheme="minorHAnsi" w:eastAsiaTheme="minorEastAsia" w:hAnsiTheme="minorHAnsi" w:cstheme="minorBidi"/>
          <w:b w:val="0"/>
          <w:bCs w:val="0"/>
          <w:color w:val="auto"/>
          <w:sz w:val="22"/>
          <w:szCs w:val="22"/>
          <w:lang w:bidi="ar-SA"/>
        </w:rPr>
        <w:id w:val="-139263470"/>
        <w:docPartObj>
          <w:docPartGallery w:val="Table of Contents"/>
          <w:docPartUnique/>
        </w:docPartObj>
      </w:sdtPr>
      <w:sdtEndPr/>
      <w:sdtContent>
        <w:p w14:paraId="24DE8B67" w14:textId="77777777" w:rsidR="00EF4A38" w:rsidRPr="00776009" w:rsidRDefault="00EF4A38">
          <w:pPr>
            <w:pStyle w:val="TOCHeading"/>
          </w:pPr>
          <w:r w:rsidRPr="00776009">
            <w:t>Contents</w:t>
          </w:r>
        </w:p>
        <w:p w14:paraId="2FDAB8C1" w14:textId="77777777" w:rsidR="006C6AFC" w:rsidRDefault="00EF4A38">
          <w:pPr>
            <w:pStyle w:val="TOC1"/>
            <w:tabs>
              <w:tab w:val="right" w:leader="dot" w:pos="9016"/>
            </w:tabs>
            <w:rPr>
              <w:noProof/>
              <w:lang w:eastAsia="en-AU"/>
            </w:rPr>
          </w:pPr>
          <w:r w:rsidRPr="00776009">
            <w:fldChar w:fldCharType="begin"/>
          </w:r>
          <w:r w:rsidRPr="00776009">
            <w:instrText xml:space="preserve"> TOC \o "1-3" \h \z \u </w:instrText>
          </w:r>
          <w:r w:rsidRPr="00776009">
            <w:fldChar w:fldCharType="separate"/>
          </w:r>
          <w:hyperlink w:anchor="_Toc465412617" w:history="1">
            <w:r w:rsidR="006C6AFC" w:rsidRPr="00B44D60">
              <w:rPr>
                <w:rStyle w:val="Hyperlink"/>
                <w:noProof/>
              </w:rPr>
              <w:t>Summary</w:t>
            </w:r>
            <w:r w:rsidR="006C6AFC">
              <w:rPr>
                <w:noProof/>
                <w:webHidden/>
              </w:rPr>
              <w:tab/>
            </w:r>
            <w:r w:rsidR="006C6AFC">
              <w:rPr>
                <w:noProof/>
                <w:webHidden/>
              </w:rPr>
              <w:fldChar w:fldCharType="begin"/>
            </w:r>
            <w:r w:rsidR="006C6AFC">
              <w:rPr>
                <w:noProof/>
                <w:webHidden/>
              </w:rPr>
              <w:instrText xml:space="preserve"> PAGEREF _Toc465412617 \h </w:instrText>
            </w:r>
            <w:r w:rsidR="006C6AFC">
              <w:rPr>
                <w:noProof/>
                <w:webHidden/>
              </w:rPr>
            </w:r>
            <w:r w:rsidR="006C6AFC">
              <w:rPr>
                <w:noProof/>
                <w:webHidden/>
              </w:rPr>
              <w:fldChar w:fldCharType="separate"/>
            </w:r>
            <w:r w:rsidR="009909B0">
              <w:rPr>
                <w:noProof/>
                <w:webHidden/>
              </w:rPr>
              <w:t>3</w:t>
            </w:r>
            <w:r w:rsidR="006C6AFC">
              <w:rPr>
                <w:noProof/>
                <w:webHidden/>
              </w:rPr>
              <w:fldChar w:fldCharType="end"/>
            </w:r>
          </w:hyperlink>
        </w:p>
        <w:p w14:paraId="74EE8DD7" w14:textId="77777777" w:rsidR="006C6AFC" w:rsidRDefault="002B311E">
          <w:pPr>
            <w:pStyle w:val="TOC1"/>
            <w:tabs>
              <w:tab w:val="right" w:leader="dot" w:pos="9016"/>
            </w:tabs>
            <w:rPr>
              <w:noProof/>
              <w:lang w:eastAsia="en-AU"/>
            </w:rPr>
          </w:pPr>
          <w:hyperlink w:anchor="_Toc465412618" w:history="1">
            <w:r w:rsidR="006C6AFC" w:rsidRPr="00B44D60">
              <w:rPr>
                <w:rStyle w:val="Hyperlink"/>
                <w:noProof/>
              </w:rPr>
              <w:t>Introduction</w:t>
            </w:r>
            <w:r w:rsidR="006C6AFC">
              <w:rPr>
                <w:noProof/>
                <w:webHidden/>
              </w:rPr>
              <w:tab/>
            </w:r>
            <w:r w:rsidR="006C6AFC">
              <w:rPr>
                <w:noProof/>
                <w:webHidden/>
              </w:rPr>
              <w:fldChar w:fldCharType="begin"/>
            </w:r>
            <w:r w:rsidR="006C6AFC">
              <w:rPr>
                <w:noProof/>
                <w:webHidden/>
              </w:rPr>
              <w:instrText xml:space="preserve"> PAGEREF _Toc465412618 \h </w:instrText>
            </w:r>
            <w:r w:rsidR="006C6AFC">
              <w:rPr>
                <w:noProof/>
                <w:webHidden/>
              </w:rPr>
            </w:r>
            <w:r w:rsidR="006C6AFC">
              <w:rPr>
                <w:noProof/>
                <w:webHidden/>
              </w:rPr>
              <w:fldChar w:fldCharType="separate"/>
            </w:r>
            <w:r w:rsidR="009909B0">
              <w:rPr>
                <w:noProof/>
                <w:webHidden/>
              </w:rPr>
              <w:t>5</w:t>
            </w:r>
            <w:r w:rsidR="006C6AFC">
              <w:rPr>
                <w:noProof/>
                <w:webHidden/>
              </w:rPr>
              <w:fldChar w:fldCharType="end"/>
            </w:r>
          </w:hyperlink>
        </w:p>
        <w:p w14:paraId="7EC4671D" w14:textId="77777777" w:rsidR="006C6AFC" w:rsidRDefault="002B311E">
          <w:pPr>
            <w:pStyle w:val="TOC1"/>
            <w:tabs>
              <w:tab w:val="right" w:leader="dot" w:pos="9016"/>
            </w:tabs>
            <w:rPr>
              <w:noProof/>
              <w:lang w:eastAsia="en-AU"/>
            </w:rPr>
          </w:pPr>
          <w:hyperlink w:anchor="_Toc465412619" w:history="1">
            <w:r w:rsidR="006C6AFC" w:rsidRPr="00B44D60">
              <w:rPr>
                <w:rStyle w:val="Hyperlink"/>
                <w:noProof/>
              </w:rPr>
              <w:t>Findings</w:t>
            </w:r>
            <w:r w:rsidR="006C6AFC">
              <w:rPr>
                <w:noProof/>
                <w:webHidden/>
              </w:rPr>
              <w:tab/>
            </w:r>
            <w:r w:rsidR="006C6AFC">
              <w:rPr>
                <w:noProof/>
                <w:webHidden/>
              </w:rPr>
              <w:fldChar w:fldCharType="begin"/>
            </w:r>
            <w:r w:rsidR="006C6AFC">
              <w:rPr>
                <w:noProof/>
                <w:webHidden/>
              </w:rPr>
              <w:instrText xml:space="preserve"> PAGEREF _Toc465412619 \h </w:instrText>
            </w:r>
            <w:r w:rsidR="006C6AFC">
              <w:rPr>
                <w:noProof/>
                <w:webHidden/>
              </w:rPr>
            </w:r>
            <w:r w:rsidR="006C6AFC">
              <w:rPr>
                <w:noProof/>
                <w:webHidden/>
              </w:rPr>
              <w:fldChar w:fldCharType="separate"/>
            </w:r>
            <w:r w:rsidR="009909B0">
              <w:rPr>
                <w:noProof/>
                <w:webHidden/>
              </w:rPr>
              <w:t>6</w:t>
            </w:r>
            <w:r w:rsidR="006C6AFC">
              <w:rPr>
                <w:noProof/>
                <w:webHidden/>
              </w:rPr>
              <w:fldChar w:fldCharType="end"/>
            </w:r>
          </w:hyperlink>
        </w:p>
        <w:p w14:paraId="4FB4C709" w14:textId="77777777" w:rsidR="006C6AFC" w:rsidRDefault="002B311E">
          <w:pPr>
            <w:pStyle w:val="TOC1"/>
            <w:tabs>
              <w:tab w:val="right" w:leader="dot" w:pos="9016"/>
            </w:tabs>
            <w:rPr>
              <w:noProof/>
              <w:lang w:eastAsia="en-AU"/>
            </w:rPr>
          </w:pPr>
          <w:hyperlink w:anchor="_Toc465412620" w:history="1">
            <w:r w:rsidR="006C6AFC" w:rsidRPr="00B44D60">
              <w:rPr>
                <w:rStyle w:val="Hyperlink"/>
                <w:noProof/>
              </w:rPr>
              <w:t>Response to the Evaluation Findings</w:t>
            </w:r>
            <w:r w:rsidR="006C6AFC">
              <w:rPr>
                <w:noProof/>
                <w:webHidden/>
              </w:rPr>
              <w:tab/>
            </w:r>
            <w:r w:rsidR="006C6AFC">
              <w:rPr>
                <w:noProof/>
                <w:webHidden/>
              </w:rPr>
              <w:fldChar w:fldCharType="begin"/>
            </w:r>
            <w:r w:rsidR="006C6AFC">
              <w:rPr>
                <w:noProof/>
                <w:webHidden/>
              </w:rPr>
              <w:instrText xml:space="preserve"> PAGEREF _Toc465412620 \h </w:instrText>
            </w:r>
            <w:r w:rsidR="006C6AFC">
              <w:rPr>
                <w:noProof/>
                <w:webHidden/>
              </w:rPr>
            </w:r>
            <w:r w:rsidR="006C6AFC">
              <w:rPr>
                <w:noProof/>
                <w:webHidden/>
              </w:rPr>
              <w:fldChar w:fldCharType="separate"/>
            </w:r>
            <w:r w:rsidR="009909B0">
              <w:rPr>
                <w:noProof/>
                <w:webHidden/>
              </w:rPr>
              <w:t>8</w:t>
            </w:r>
            <w:r w:rsidR="006C6AFC">
              <w:rPr>
                <w:noProof/>
                <w:webHidden/>
              </w:rPr>
              <w:fldChar w:fldCharType="end"/>
            </w:r>
          </w:hyperlink>
        </w:p>
        <w:p w14:paraId="654475B7" w14:textId="77777777" w:rsidR="006C6AFC" w:rsidRDefault="002B311E">
          <w:pPr>
            <w:pStyle w:val="TOC2"/>
            <w:tabs>
              <w:tab w:val="right" w:leader="dot" w:pos="9016"/>
            </w:tabs>
            <w:rPr>
              <w:noProof/>
              <w:lang w:eastAsia="en-AU"/>
            </w:rPr>
          </w:pPr>
          <w:hyperlink w:anchor="_Toc465412621" w:history="1">
            <w:r w:rsidR="006C6AFC" w:rsidRPr="00B44D60">
              <w:rPr>
                <w:rStyle w:val="Hyperlink"/>
                <w:noProof/>
              </w:rPr>
              <w:t>Improving efficiency - Distribute all funding by formula</w:t>
            </w:r>
            <w:r w:rsidR="006C6AFC">
              <w:rPr>
                <w:noProof/>
                <w:webHidden/>
              </w:rPr>
              <w:tab/>
            </w:r>
            <w:r w:rsidR="006C6AFC">
              <w:rPr>
                <w:noProof/>
                <w:webHidden/>
              </w:rPr>
              <w:fldChar w:fldCharType="begin"/>
            </w:r>
            <w:r w:rsidR="006C6AFC">
              <w:rPr>
                <w:noProof/>
                <w:webHidden/>
              </w:rPr>
              <w:instrText xml:space="preserve"> PAGEREF _Toc465412621 \h </w:instrText>
            </w:r>
            <w:r w:rsidR="006C6AFC">
              <w:rPr>
                <w:noProof/>
                <w:webHidden/>
              </w:rPr>
            </w:r>
            <w:r w:rsidR="006C6AFC">
              <w:rPr>
                <w:noProof/>
                <w:webHidden/>
              </w:rPr>
              <w:fldChar w:fldCharType="separate"/>
            </w:r>
            <w:r w:rsidR="009909B0">
              <w:rPr>
                <w:noProof/>
                <w:webHidden/>
              </w:rPr>
              <w:t>8</w:t>
            </w:r>
            <w:r w:rsidR="006C6AFC">
              <w:rPr>
                <w:noProof/>
                <w:webHidden/>
              </w:rPr>
              <w:fldChar w:fldCharType="end"/>
            </w:r>
          </w:hyperlink>
        </w:p>
        <w:p w14:paraId="0E64D855" w14:textId="77777777" w:rsidR="006C6AFC" w:rsidRDefault="002B311E">
          <w:pPr>
            <w:pStyle w:val="TOC3"/>
            <w:tabs>
              <w:tab w:val="right" w:leader="dot" w:pos="9016"/>
            </w:tabs>
            <w:rPr>
              <w:noProof/>
              <w:lang w:eastAsia="en-AU"/>
            </w:rPr>
          </w:pPr>
          <w:hyperlink w:anchor="_Toc465412622" w:history="1">
            <w:r w:rsidR="006C6AFC" w:rsidRPr="00B44D60">
              <w:rPr>
                <w:rStyle w:val="Hyperlink"/>
                <w:noProof/>
              </w:rPr>
              <w:t>Proposed formula</w:t>
            </w:r>
            <w:r w:rsidR="006C6AFC">
              <w:rPr>
                <w:noProof/>
                <w:webHidden/>
              </w:rPr>
              <w:tab/>
            </w:r>
            <w:r w:rsidR="006C6AFC">
              <w:rPr>
                <w:noProof/>
                <w:webHidden/>
              </w:rPr>
              <w:fldChar w:fldCharType="begin"/>
            </w:r>
            <w:r w:rsidR="006C6AFC">
              <w:rPr>
                <w:noProof/>
                <w:webHidden/>
              </w:rPr>
              <w:instrText xml:space="preserve"> PAGEREF _Toc465412622 \h </w:instrText>
            </w:r>
            <w:r w:rsidR="006C6AFC">
              <w:rPr>
                <w:noProof/>
                <w:webHidden/>
              </w:rPr>
            </w:r>
            <w:r w:rsidR="006C6AFC">
              <w:rPr>
                <w:noProof/>
                <w:webHidden/>
              </w:rPr>
              <w:fldChar w:fldCharType="separate"/>
            </w:r>
            <w:r w:rsidR="009909B0">
              <w:rPr>
                <w:noProof/>
                <w:webHidden/>
              </w:rPr>
              <w:t>9</w:t>
            </w:r>
            <w:r w:rsidR="006C6AFC">
              <w:rPr>
                <w:noProof/>
                <w:webHidden/>
              </w:rPr>
              <w:fldChar w:fldCharType="end"/>
            </w:r>
          </w:hyperlink>
        </w:p>
        <w:p w14:paraId="4DCBE91A" w14:textId="77777777" w:rsidR="006C6AFC" w:rsidRDefault="002B311E">
          <w:pPr>
            <w:pStyle w:val="TOC3"/>
            <w:tabs>
              <w:tab w:val="right" w:leader="dot" w:pos="9016"/>
            </w:tabs>
            <w:rPr>
              <w:noProof/>
              <w:lang w:eastAsia="en-AU"/>
            </w:rPr>
          </w:pPr>
          <w:hyperlink w:anchor="_Toc465412623" w:history="1">
            <w:r w:rsidR="006C6AFC" w:rsidRPr="00B44D60">
              <w:rPr>
                <w:rStyle w:val="Hyperlink"/>
                <w:noProof/>
              </w:rPr>
              <w:t>Transition timing</w:t>
            </w:r>
            <w:r w:rsidR="006C6AFC">
              <w:rPr>
                <w:noProof/>
                <w:webHidden/>
              </w:rPr>
              <w:tab/>
            </w:r>
            <w:r w:rsidR="006C6AFC">
              <w:rPr>
                <w:noProof/>
                <w:webHidden/>
              </w:rPr>
              <w:fldChar w:fldCharType="begin"/>
            </w:r>
            <w:r w:rsidR="006C6AFC">
              <w:rPr>
                <w:noProof/>
                <w:webHidden/>
              </w:rPr>
              <w:instrText xml:space="preserve"> PAGEREF _Toc465412623 \h </w:instrText>
            </w:r>
            <w:r w:rsidR="006C6AFC">
              <w:rPr>
                <w:noProof/>
                <w:webHidden/>
              </w:rPr>
            </w:r>
            <w:r w:rsidR="006C6AFC">
              <w:rPr>
                <w:noProof/>
                <w:webHidden/>
              </w:rPr>
              <w:fldChar w:fldCharType="separate"/>
            </w:r>
            <w:r w:rsidR="009909B0">
              <w:rPr>
                <w:noProof/>
                <w:webHidden/>
              </w:rPr>
              <w:t>9</w:t>
            </w:r>
            <w:r w:rsidR="006C6AFC">
              <w:rPr>
                <w:noProof/>
                <w:webHidden/>
              </w:rPr>
              <w:fldChar w:fldCharType="end"/>
            </w:r>
          </w:hyperlink>
        </w:p>
        <w:p w14:paraId="22BA7B70" w14:textId="77777777" w:rsidR="006C6AFC" w:rsidRDefault="002B311E">
          <w:pPr>
            <w:pStyle w:val="TOC3"/>
            <w:tabs>
              <w:tab w:val="right" w:leader="dot" w:pos="9016"/>
            </w:tabs>
            <w:rPr>
              <w:noProof/>
              <w:lang w:eastAsia="en-AU"/>
            </w:rPr>
          </w:pPr>
          <w:hyperlink w:anchor="_Toc465412624" w:history="1">
            <w:r w:rsidR="006C6AFC" w:rsidRPr="00B44D60">
              <w:rPr>
                <w:rStyle w:val="Hyperlink"/>
                <w:noProof/>
              </w:rPr>
              <w:t>Payment timing</w:t>
            </w:r>
            <w:r w:rsidR="006C6AFC">
              <w:rPr>
                <w:noProof/>
                <w:webHidden/>
              </w:rPr>
              <w:tab/>
            </w:r>
            <w:r w:rsidR="006C6AFC">
              <w:rPr>
                <w:noProof/>
                <w:webHidden/>
              </w:rPr>
              <w:fldChar w:fldCharType="begin"/>
            </w:r>
            <w:r w:rsidR="006C6AFC">
              <w:rPr>
                <w:noProof/>
                <w:webHidden/>
              </w:rPr>
              <w:instrText xml:space="preserve"> PAGEREF _Toc465412624 \h </w:instrText>
            </w:r>
            <w:r w:rsidR="006C6AFC">
              <w:rPr>
                <w:noProof/>
                <w:webHidden/>
              </w:rPr>
            </w:r>
            <w:r w:rsidR="006C6AFC">
              <w:rPr>
                <w:noProof/>
                <w:webHidden/>
              </w:rPr>
              <w:fldChar w:fldCharType="separate"/>
            </w:r>
            <w:r w:rsidR="009909B0">
              <w:rPr>
                <w:noProof/>
                <w:webHidden/>
              </w:rPr>
              <w:t>10</w:t>
            </w:r>
            <w:r w:rsidR="006C6AFC">
              <w:rPr>
                <w:noProof/>
                <w:webHidden/>
              </w:rPr>
              <w:fldChar w:fldCharType="end"/>
            </w:r>
          </w:hyperlink>
        </w:p>
        <w:p w14:paraId="671E4E3A" w14:textId="77777777" w:rsidR="006C6AFC" w:rsidRDefault="002B311E">
          <w:pPr>
            <w:pStyle w:val="TOC2"/>
            <w:tabs>
              <w:tab w:val="right" w:leader="dot" w:pos="9016"/>
            </w:tabs>
            <w:rPr>
              <w:noProof/>
              <w:lang w:eastAsia="en-AU"/>
            </w:rPr>
          </w:pPr>
          <w:hyperlink w:anchor="_Toc465412625" w:history="1">
            <w:r w:rsidR="006C6AFC" w:rsidRPr="00B44D60">
              <w:rPr>
                <w:rStyle w:val="Hyperlink"/>
                <w:noProof/>
              </w:rPr>
              <w:t>Improving efficiency and effectiveness - Reporting requirements</w:t>
            </w:r>
            <w:r w:rsidR="006C6AFC">
              <w:rPr>
                <w:noProof/>
                <w:webHidden/>
              </w:rPr>
              <w:tab/>
            </w:r>
            <w:r w:rsidR="006C6AFC">
              <w:rPr>
                <w:noProof/>
                <w:webHidden/>
              </w:rPr>
              <w:fldChar w:fldCharType="begin"/>
            </w:r>
            <w:r w:rsidR="006C6AFC">
              <w:rPr>
                <w:noProof/>
                <w:webHidden/>
              </w:rPr>
              <w:instrText xml:space="preserve"> PAGEREF _Toc465412625 \h </w:instrText>
            </w:r>
            <w:r w:rsidR="006C6AFC">
              <w:rPr>
                <w:noProof/>
                <w:webHidden/>
              </w:rPr>
            </w:r>
            <w:r w:rsidR="006C6AFC">
              <w:rPr>
                <w:noProof/>
                <w:webHidden/>
              </w:rPr>
              <w:fldChar w:fldCharType="separate"/>
            </w:r>
            <w:r w:rsidR="009909B0">
              <w:rPr>
                <w:noProof/>
                <w:webHidden/>
              </w:rPr>
              <w:t>10</w:t>
            </w:r>
            <w:r w:rsidR="006C6AFC">
              <w:rPr>
                <w:noProof/>
                <w:webHidden/>
              </w:rPr>
              <w:fldChar w:fldCharType="end"/>
            </w:r>
          </w:hyperlink>
        </w:p>
        <w:p w14:paraId="10ABFF69" w14:textId="77777777" w:rsidR="006C6AFC" w:rsidRDefault="002B311E">
          <w:pPr>
            <w:pStyle w:val="TOC2"/>
            <w:tabs>
              <w:tab w:val="right" w:leader="dot" w:pos="9016"/>
            </w:tabs>
            <w:rPr>
              <w:noProof/>
              <w:lang w:eastAsia="en-AU"/>
            </w:rPr>
          </w:pPr>
          <w:hyperlink w:anchor="_Toc465412626" w:history="1">
            <w:r w:rsidR="006C6AFC" w:rsidRPr="00B44D60">
              <w:rPr>
                <w:rStyle w:val="Hyperlink"/>
                <w:noProof/>
              </w:rPr>
              <w:t>Improving appropriateness - Broaden the scope of eligible activities</w:t>
            </w:r>
            <w:r w:rsidR="006C6AFC">
              <w:rPr>
                <w:noProof/>
                <w:webHidden/>
              </w:rPr>
              <w:tab/>
            </w:r>
            <w:r w:rsidR="006C6AFC">
              <w:rPr>
                <w:noProof/>
                <w:webHidden/>
              </w:rPr>
              <w:fldChar w:fldCharType="begin"/>
            </w:r>
            <w:r w:rsidR="006C6AFC">
              <w:rPr>
                <w:noProof/>
                <w:webHidden/>
              </w:rPr>
              <w:instrText xml:space="preserve"> PAGEREF _Toc465412626 \h </w:instrText>
            </w:r>
            <w:r w:rsidR="006C6AFC">
              <w:rPr>
                <w:noProof/>
                <w:webHidden/>
              </w:rPr>
            </w:r>
            <w:r w:rsidR="006C6AFC">
              <w:rPr>
                <w:noProof/>
                <w:webHidden/>
              </w:rPr>
              <w:fldChar w:fldCharType="separate"/>
            </w:r>
            <w:r w:rsidR="009909B0">
              <w:rPr>
                <w:noProof/>
                <w:webHidden/>
              </w:rPr>
              <w:t>10</w:t>
            </w:r>
            <w:r w:rsidR="006C6AFC">
              <w:rPr>
                <w:noProof/>
                <w:webHidden/>
              </w:rPr>
              <w:fldChar w:fldCharType="end"/>
            </w:r>
          </w:hyperlink>
        </w:p>
        <w:p w14:paraId="317207AF" w14:textId="77777777" w:rsidR="006C6AFC" w:rsidRDefault="002B311E">
          <w:pPr>
            <w:pStyle w:val="TOC2"/>
            <w:tabs>
              <w:tab w:val="right" w:leader="dot" w:pos="9016"/>
            </w:tabs>
            <w:rPr>
              <w:noProof/>
              <w:lang w:eastAsia="en-AU"/>
            </w:rPr>
          </w:pPr>
          <w:hyperlink w:anchor="_Toc465412627" w:history="1">
            <w:r w:rsidR="006C6AFC" w:rsidRPr="00B44D60">
              <w:rPr>
                <w:rStyle w:val="Hyperlink"/>
                <w:noProof/>
              </w:rPr>
              <w:t>Improving effectiveness - Expanded role for ADCET</w:t>
            </w:r>
            <w:r w:rsidR="006C6AFC">
              <w:rPr>
                <w:noProof/>
                <w:webHidden/>
              </w:rPr>
              <w:tab/>
            </w:r>
            <w:r w:rsidR="006C6AFC">
              <w:rPr>
                <w:noProof/>
                <w:webHidden/>
              </w:rPr>
              <w:fldChar w:fldCharType="begin"/>
            </w:r>
            <w:r w:rsidR="006C6AFC">
              <w:rPr>
                <w:noProof/>
                <w:webHidden/>
              </w:rPr>
              <w:instrText xml:space="preserve"> PAGEREF _Toc465412627 \h </w:instrText>
            </w:r>
            <w:r w:rsidR="006C6AFC">
              <w:rPr>
                <w:noProof/>
                <w:webHidden/>
              </w:rPr>
            </w:r>
            <w:r w:rsidR="006C6AFC">
              <w:rPr>
                <w:noProof/>
                <w:webHidden/>
              </w:rPr>
              <w:fldChar w:fldCharType="separate"/>
            </w:r>
            <w:r w:rsidR="009909B0">
              <w:rPr>
                <w:noProof/>
                <w:webHidden/>
              </w:rPr>
              <w:t>11</w:t>
            </w:r>
            <w:r w:rsidR="006C6AFC">
              <w:rPr>
                <w:noProof/>
                <w:webHidden/>
              </w:rPr>
              <w:fldChar w:fldCharType="end"/>
            </w:r>
          </w:hyperlink>
        </w:p>
        <w:p w14:paraId="7E9D8250" w14:textId="77777777" w:rsidR="006C6AFC" w:rsidRDefault="002B311E">
          <w:pPr>
            <w:pStyle w:val="TOC2"/>
            <w:tabs>
              <w:tab w:val="right" w:leader="dot" w:pos="9016"/>
            </w:tabs>
            <w:rPr>
              <w:noProof/>
              <w:lang w:eastAsia="en-AU"/>
            </w:rPr>
          </w:pPr>
          <w:hyperlink w:anchor="_Toc465412628" w:history="1">
            <w:r w:rsidR="006C6AFC" w:rsidRPr="00B44D60">
              <w:rPr>
                <w:rStyle w:val="Hyperlink"/>
                <w:noProof/>
              </w:rPr>
              <w:t>Response to opportunities for improvement</w:t>
            </w:r>
            <w:r w:rsidR="006C6AFC">
              <w:rPr>
                <w:noProof/>
                <w:webHidden/>
              </w:rPr>
              <w:tab/>
            </w:r>
            <w:r w:rsidR="006C6AFC">
              <w:rPr>
                <w:noProof/>
                <w:webHidden/>
              </w:rPr>
              <w:fldChar w:fldCharType="begin"/>
            </w:r>
            <w:r w:rsidR="006C6AFC">
              <w:rPr>
                <w:noProof/>
                <w:webHidden/>
              </w:rPr>
              <w:instrText xml:space="preserve"> PAGEREF _Toc465412628 \h </w:instrText>
            </w:r>
            <w:r w:rsidR="006C6AFC">
              <w:rPr>
                <w:noProof/>
                <w:webHidden/>
              </w:rPr>
            </w:r>
            <w:r w:rsidR="006C6AFC">
              <w:rPr>
                <w:noProof/>
                <w:webHidden/>
              </w:rPr>
              <w:fldChar w:fldCharType="separate"/>
            </w:r>
            <w:r w:rsidR="009909B0">
              <w:rPr>
                <w:noProof/>
                <w:webHidden/>
              </w:rPr>
              <w:t>12</w:t>
            </w:r>
            <w:r w:rsidR="006C6AFC">
              <w:rPr>
                <w:noProof/>
                <w:webHidden/>
              </w:rPr>
              <w:fldChar w:fldCharType="end"/>
            </w:r>
          </w:hyperlink>
        </w:p>
        <w:p w14:paraId="7B9D2AAC" w14:textId="77777777" w:rsidR="006C6AFC" w:rsidRDefault="002B311E">
          <w:pPr>
            <w:pStyle w:val="TOC1"/>
            <w:tabs>
              <w:tab w:val="right" w:leader="dot" w:pos="9016"/>
            </w:tabs>
            <w:rPr>
              <w:noProof/>
              <w:lang w:eastAsia="en-AU"/>
            </w:rPr>
          </w:pPr>
          <w:hyperlink w:anchor="_Toc465412629" w:history="1">
            <w:r w:rsidR="006C6AFC" w:rsidRPr="00B44D60">
              <w:rPr>
                <w:rStyle w:val="Hyperlink"/>
                <w:noProof/>
              </w:rPr>
              <w:t>Feedback on Consultation Paper Issues</w:t>
            </w:r>
            <w:r w:rsidR="006C6AFC">
              <w:rPr>
                <w:noProof/>
                <w:webHidden/>
              </w:rPr>
              <w:tab/>
            </w:r>
            <w:r w:rsidR="006C6AFC">
              <w:rPr>
                <w:noProof/>
                <w:webHidden/>
              </w:rPr>
              <w:fldChar w:fldCharType="begin"/>
            </w:r>
            <w:r w:rsidR="006C6AFC">
              <w:rPr>
                <w:noProof/>
                <w:webHidden/>
              </w:rPr>
              <w:instrText xml:space="preserve"> PAGEREF _Toc465412629 \h </w:instrText>
            </w:r>
            <w:r w:rsidR="006C6AFC">
              <w:rPr>
                <w:noProof/>
                <w:webHidden/>
              </w:rPr>
            </w:r>
            <w:r w:rsidR="006C6AFC">
              <w:rPr>
                <w:noProof/>
                <w:webHidden/>
              </w:rPr>
              <w:fldChar w:fldCharType="separate"/>
            </w:r>
            <w:r w:rsidR="009909B0">
              <w:rPr>
                <w:noProof/>
                <w:webHidden/>
              </w:rPr>
              <w:t>14</w:t>
            </w:r>
            <w:r w:rsidR="006C6AFC">
              <w:rPr>
                <w:noProof/>
                <w:webHidden/>
              </w:rPr>
              <w:fldChar w:fldCharType="end"/>
            </w:r>
          </w:hyperlink>
        </w:p>
        <w:p w14:paraId="577B132D" w14:textId="77777777" w:rsidR="006C6AFC" w:rsidRDefault="002B311E">
          <w:pPr>
            <w:pStyle w:val="TOC1"/>
            <w:tabs>
              <w:tab w:val="right" w:leader="dot" w:pos="9016"/>
            </w:tabs>
            <w:rPr>
              <w:noProof/>
              <w:lang w:eastAsia="en-AU"/>
            </w:rPr>
          </w:pPr>
          <w:hyperlink w:anchor="_Toc465412630" w:history="1">
            <w:r w:rsidR="006C6AFC" w:rsidRPr="00B44D60">
              <w:rPr>
                <w:rStyle w:val="Hyperlink"/>
                <w:noProof/>
              </w:rPr>
              <w:t>Appendix A</w:t>
            </w:r>
            <w:r w:rsidR="006C6AFC">
              <w:rPr>
                <w:noProof/>
                <w:webHidden/>
              </w:rPr>
              <w:tab/>
            </w:r>
            <w:r w:rsidR="006C6AFC">
              <w:rPr>
                <w:noProof/>
                <w:webHidden/>
              </w:rPr>
              <w:fldChar w:fldCharType="begin"/>
            </w:r>
            <w:r w:rsidR="006C6AFC">
              <w:rPr>
                <w:noProof/>
                <w:webHidden/>
              </w:rPr>
              <w:instrText xml:space="preserve"> PAGEREF _Toc465412630 \h </w:instrText>
            </w:r>
            <w:r w:rsidR="006C6AFC">
              <w:rPr>
                <w:noProof/>
                <w:webHidden/>
              </w:rPr>
            </w:r>
            <w:r w:rsidR="006C6AFC">
              <w:rPr>
                <w:noProof/>
                <w:webHidden/>
              </w:rPr>
              <w:fldChar w:fldCharType="separate"/>
            </w:r>
            <w:r w:rsidR="009909B0">
              <w:rPr>
                <w:noProof/>
                <w:webHidden/>
              </w:rPr>
              <w:t>15</w:t>
            </w:r>
            <w:r w:rsidR="006C6AFC">
              <w:rPr>
                <w:noProof/>
                <w:webHidden/>
              </w:rPr>
              <w:fldChar w:fldCharType="end"/>
            </w:r>
          </w:hyperlink>
        </w:p>
        <w:p w14:paraId="279B8795" w14:textId="77777777" w:rsidR="006C6AFC" w:rsidRDefault="002B311E">
          <w:pPr>
            <w:pStyle w:val="TOC1"/>
            <w:tabs>
              <w:tab w:val="right" w:leader="dot" w:pos="9016"/>
            </w:tabs>
            <w:rPr>
              <w:noProof/>
              <w:lang w:eastAsia="en-AU"/>
            </w:rPr>
          </w:pPr>
          <w:hyperlink w:anchor="_Toc465412631" w:history="1">
            <w:r w:rsidR="006C6AFC" w:rsidRPr="00B44D60">
              <w:rPr>
                <w:rStyle w:val="Hyperlink"/>
                <w:noProof/>
              </w:rPr>
              <w:t>Proposed Parameters for the Disability Support Program</w:t>
            </w:r>
            <w:r w:rsidR="006C6AFC">
              <w:rPr>
                <w:noProof/>
                <w:webHidden/>
              </w:rPr>
              <w:tab/>
            </w:r>
            <w:r w:rsidR="006C6AFC">
              <w:rPr>
                <w:noProof/>
                <w:webHidden/>
              </w:rPr>
              <w:fldChar w:fldCharType="begin"/>
            </w:r>
            <w:r w:rsidR="006C6AFC">
              <w:rPr>
                <w:noProof/>
                <w:webHidden/>
              </w:rPr>
              <w:instrText xml:space="preserve"> PAGEREF _Toc465412631 \h </w:instrText>
            </w:r>
            <w:r w:rsidR="006C6AFC">
              <w:rPr>
                <w:noProof/>
                <w:webHidden/>
              </w:rPr>
            </w:r>
            <w:r w:rsidR="006C6AFC">
              <w:rPr>
                <w:noProof/>
                <w:webHidden/>
              </w:rPr>
              <w:fldChar w:fldCharType="separate"/>
            </w:r>
            <w:r w:rsidR="009909B0">
              <w:rPr>
                <w:noProof/>
                <w:webHidden/>
              </w:rPr>
              <w:t>15</w:t>
            </w:r>
            <w:r w:rsidR="006C6AFC">
              <w:rPr>
                <w:noProof/>
                <w:webHidden/>
              </w:rPr>
              <w:fldChar w:fldCharType="end"/>
            </w:r>
          </w:hyperlink>
        </w:p>
        <w:p w14:paraId="14AD17A1" w14:textId="77777777" w:rsidR="006C6AFC" w:rsidRDefault="002B311E">
          <w:pPr>
            <w:pStyle w:val="TOC1"/>
            <w:tabs>
              <w:tab w:val="right" w:leader="dot" w:pos="9016"/>
            </w:tabs>
            <w:rPr>
              <w:noProof/>
              <w:lang w:eastAsia="en-AU"/>
            </w:rPr>
          </w:pPr>
          <w:hyperlink w:anchor="_Toc465412632" w:history="1">
            <w:r w:rsidR="006C6AFC" w:rsidRPr="00B44D60">
              <w:rPr>
                <w:rStyle w:val="Hyperlink"/>
                <w:noProof/>
              </w:rPr>
              <w:t>Appendix B</w:t>
            </w:r>
            <w:r w:rsidR="006C6AFC">
              <w:rPr>
                <w:noProof/>
                <w:webHidden/>
              </w:rPr>
              <w:tab/>
            </w:r>
            <w:r w:rsidR="006C6AFC">
              <w:rPr>
                <w:noProof/>
                <w:webHidden/>
              </w:rPr>
              <w:fldChar w:fldCharType="begin"/>
            </w:r>
            <w:r w:rsidR="006C6AFC">
              <w:rPr>
                <w:noProof/>
                <w:webHidden/>
              </w:rPr>
              <w:instrText xml:space="preserve"> PAGEREF _Toc465412632 \h </w:instrText>
            </w:r>
            <w:r w:rsidR="006C6AFC">
              <w:rPr>
                <w:noProof/>
                <w:webHidden/>
              </w:rPr>
            </w:r>
            <w:r w:rsidR="006C6AFC">
              <w:rPr>
                <w:noProof/>
                <w:webHidden/>
              </w:rPr>
              <w:fldChar w:fldCharType="separate"/>
            </w:r>
            <w:r w:rsidR="009909B0">
              <w:rPr>
                <w:noProof/>
                <w:webHidden/>
              </w:rPr>
              <w:t>19</w:t>
            </w:r>
            <w:r w:rsidR="006C6AFC">
              <w:rPr>
                <w:noProof/>
                <w:webHidden/>
              </w:rPr>
              <w:fldChar w:fldCharType="end"/>
            </w:r>
          </w:hyperlink>
        </w:p>
        <w:p w14:paraId="4F702D51" w14:textId="77777777" w:rsidR="006C6AFC" w:rsidRDefault="002B311E">
          <w:pPr>
            <w:pStyle w:val="TOC1"/>
            <w:tabs>
              <w:tab w:val="right" w:leader="dot" w:pos="9016"/>
            </w:tabs>
            <w:rPr>
              <w:noProof/>
              <w:lang w:eastAsia="en-AU"/>
            </w:rPr>
          </w:pPr>
          <w:hyperlink w:anchor="_Toc465412633" w:history="1">
            <w:r w:rsidR="006C6AFC" w:rsidRPr="00B44D60">
              <w:rPr>
                <w:rStyle w:val="Hyperlink"/>
                <w:noProof/>
              </w:rPr>
              <w:t>Evaluation Findings</w:t>
            </w:r>
            <w:r w:rsidR="006C6AFC">
              <w:rPr>
                <w:noProof/>
                <w:webHidden/>
              </w:rPr>
              <w:tab/>
            </w:r>
            <w:r w:rsidR="006C6AFC">
              <w:rPr>
                <w:noProof/>
                <w:webHidden/>
              </w:rPr>
              <w:fldChar w:fldCharType="begin"/>
            </w:r>
            <w:r w:rsidR="006C6AFC">
              <w:rPr>
                <w:noProof/>
                <w:webHidden/>
              </w:rPr>
              <w:instrText xml:space="preserve"> PAGEREF _Toc465412633 \h </w:instrText>
            </w:r>
            <w:r w:rsidR="006C6AFC">
              <w:rPr>
                <w:noProof/>
                <w:webHidden/>
              </w:rPr>
            </w:r>
            <w:r w:rsidR="006C6AFC">
              <w:rPr>
                <w:noProof/>
                <w:webHidden/>
              </w:rPr>
              <w:fldChar w:fldCharType="separate"/>
            </w:r>
            <w:r w:rsidR="009909B0">
              <w:rPr>
                <w:noProof/>
                <w:webHidden/>
              </w:rPr>
              <w:t>19</w:t>
            </w:r>
            <w:r w:rsidR="006C6AFC">
              <w:rPr>
                <w:noProof/>
                <w:webHidden/>
              </w:rPr>
              <w:fldChar w:fldCharType="end"/>
            </w:r>
          </w:hyperlink>
        </w:p>
        <w:p w14:paraId="1D874E40" w14:textId="77777777" w:rsidR="006C6AFC" w:rsidRDefault="002B311E">
          <w:pPr>
            <w:pStyle w:val="TOC2"/>
            <w:tabs>
              <w:tab w:val="right" w:leader="dot" w:pos="9016"/>
            </w:tabs>
            <w:rPr>
              <w:noProof/>
              <w:lang w:eastAsia="en-AU"/>
            </w:rPr>
          </w:pPr>
          <w:hyperlink w:anchor="_Toc465412634" w:history="1">
            <w:r w:rsidR="006C6AFC" w:rsidRPr="00B44D60">
              <w:rPr>
                <w:rStyle w:val="Hyperlink"/>
                <w:noProof/>
              </w:rPr>
              <w:t>Appropriateness</w:t>
            </w:r>
            <w:r w:rsidR="006C6AFC">
              <w:rPr>
                <w:noProof/>
                <w:webHidden/>
              </w:rPr>
              <w:tab/>
            </w:r>
            <w:r w:rsidR="006C6AFC">
              <w:rPr>
                <w:noProof/>
                <w:webHidden/>
              </w:rPr>
              <w:fldChar w:fldCharType="begin"/>
            </w:r>
            <w:r w:rsidR="006C6AFC">
              <w:rPr>
                <w:noProof/>
                <w:webHidden/>
              </w:rPr>
              <w:instrText xml:space="preserve"> PAGEREF _Toc465412634 \h </w:instrText>
            </w:r>
            <w:r w:rsidR="006C6AFC">
              <w:rPr>
                <w:noProof/>
                <w:webHidden/>
              </w:rPr>
            </w:r>
            <w:r w:rsidR="006C6AFC">
              <w:rPr>
                <w:noProof/>
                <w:webHidden/>
              </w:rPr>
              <w:fldChar w:fldCharType="separate"/>
            </w:r>
            <w:r w:rsidR="009909B0">
              <w:rPr>
                <w:noProof/>
                <w:webHidden/>
              </w:rPr>
              <w:t>19</w:t>
            </w:r>
            <w:r w:rsidR="006C6AFC">
              <w:rPr>
                <w:noProof/>
                <w:webHidden/>
              </w:rPr>
              <w:fldChar w:fldCharType="end"/>
            </w:r>
          </w:hyperlink>
        </w:p>
        <w:p w14:paraId="6AD1AE36" w14:textId="77777777" w:rsidR="006C6AFC" w:rsidRDefault="002B311E">
          <w:pPr>
            <w:pStyle w:val="TOC2"/>
            <w:tabs>
              <w:tab w:val="right" w:leader="dot" w:pos="9016"/>
            </w:tabs>
            <w:rPr>
              <w:noProof/>
              <w:lang w:eastAsia="en-AU"/>
            </w:rPr>
          </w:pPr>
          <w:hyperlink w:anchor="_Toc465412635" w:history="1">
            <w:r w:rsidR="006C6AFC" w:rsidRPr="00B44D60">
              <w:rPr>
                <w:rStyle w:val="Hyperlink"/>
                <w:noProof/>
              </w:rPr>
              <w:t>Effectiveness</w:t>
            </w:r>
            <w:r w:rsidR="006C6AFC">
              <w:rPr>
                <w:noProof/>
                <w:webHidden/>
              </w:rPr>
              <w:tab/>
            </w:r>
            <w:r w:rsidR="006C6AFC">
              <w:rPr>
                <w:noProof/>
                <w:webHidden/>
              </w:rPr>
              <w:fldChar w:fldCharType="begin"/>
            </w:r>
            <w:r w:rsidR="006C6AFC">
              <w:rPr>
                <w:noProof/>
                <w:webHidden/>
              </w:rPr>
              <w:instrText xml:space="preserve"> PAGEREF _Toc465412635 \h </w:instrText>
            </w:r>
            <w:r w:rsidR="006C6AFC">
              <w:rPr>
                <w:noProof/>
                <w:webHidden/>
              </w:rPr>
            </w:r>
            <w:r w:rsidR="006C6AFC">
              <w:rPr>
                <w:noProof/>
                <w:webHidden/>
              </w:rPr>
              <w:fldChar w:fldCharType="separate"/>
            </w:r>
            <w:r w:rsidR="009909B0">
              <w:rPr>
                <w:noProof/>
                <w:webHidden/>
              </w:rPr>
              <w:t>19</w:t>
            </w:r>
            <w:r w:rsidR="006C6AFC">
              <w:rPr>
                <w:noProof/>
                <w:webHidden/>
              </w:rPr>
              <w:fldChar w:fldCharType="end"/>
            </w:r>
          </w:hyperlink>
        </w:p>
        <w:p w14:paraId="091539F8" w14:textId="77777777" w:rsidR="006C6AFC" w:rsidRDefault="002B311E">
          <w:pPr>
            <w:pStyle w:val="TOC2"/>
            <w:tabs>
              <w:tab w:val="right" w:leader="dot" w:pos="9016"/>
            </w:tabs>
            <w:rPr>
              <w:noProof/>
              <w:lang w:eastAsia="en-AU"/>
            </w:rPr>
          </w:pPr>
          <w:hyperlink w:anchor="_Toc465412636" w:history="1">
            <w:r w:rsidR="006C6AFC" w:rsidRPr="00B44D60">
              <w:rPr>
                <w:rStyle w:val="Hyperlink"/>
                <w:noProof/>
              </w:rPr>
              <w:t>Administration and Operational Efficiency</w:t>
            </w:r>
            <w:r w:rsidR="006C6AFC">
              <w:rPr>
                <w:noProof/>
                <w:webHidden/>
              </w:rPr>
              <w:tab/>
            </w:r>
            <w:r w:rsidR="006C6AFC">
              <w:rPr>
                <w:noProof/>
                <w:webHidden/>
              </w:rPr>
              <w:fldChar w:fldCharType="begin"/>
            </w:r>
            <w:r w:rsidR="006C6AFC">
              <w:rPr>
                <w:noProof/>
                <w:webHidden/>
              </w:rPr>
              <w:instrText xml:space="preserve"> PAGEREF _Toc465412636 \h </w:instrText>
            </w:r>
            <w:r w:rsidR="006C6AFC">
              <w:rPr>
                <w:noProof/>
                <w:webHidden/>
              </w:rPr>
            </w:r>
            <w:r w:rsidR="006C6AFC">
              <w:rPr>
                <w:noProof/>
                <w:webHidden/>
              </w:rPr>
              <w:fldChar w:fldCharType="separate"/>
            </w:r>
            <w:r w:rsidR="009909B0">
              <w:rPr>
                <w:noProof/>
                <w:webHidden/>
              </w:rPr>
              <w:t>20</w:t>
            </w:r>
            <w:r w:rsidR="006C6AFC">
              <w:rPr>
                <w:noProof/>
                <w:webHidden/>
              </w:rPr>
              <w:fldChar w:fldCharType="end"/>
            </w:r>
          </w:hyperlink>
        </w:p>
        <w:p w14:paraId="0E5D853C" w14:textId="77777777" w:rsidR="006C6AFC" w:rsidRDefault="002B311E">
          <w:pPr>
            <w:pStyle w:val="TOC1"/>
            <w:tabs>
              <w:tab w:val="right" w:leader="dot" w:pos="9016"/>
            </w:tabs>
            <w:rPr>
              <w:noProof/>
              <w:lang w:eastAsia="en-AU"/>
            </w:rPr>
          </w:pPr>
          <w:hyperlink w:anchor="_Toc465412637" w:history="1">
            <w:r w:rsidR="006C6AFC" w:rsidRPr="00B44D60">
              <w:rPr>
                <w:rStyle w:val="Hyperlink"/>
                <w:noProof/>
              </w:rPr>
              <w:t>Appendix C</w:t>
            </w:r>
            <w:r w:rsidR="006C6AFC">
              <w:rPr>
                <w:noProof/>
                <w:webHidden/>
              </w:rPr>
              <w:tab/>
            </w:r>
            <w:r w:rsidR="006C6AFC">
              <w:rPr>
                <w:noProof/>
                <w:webHidden/>
              </w:rPr>
              <w:fldChar w:fldCharType="begin"/>
            </w:r>
            <w:r w:rsidR="006C6AFC">
              <w:rPr>
                <w:noProof/>
                <w:webHidden/>
              </w:rPr>
              <w:instrText xml:space="preserve"> PAGEREF _Toc465412637 \h </w:instrText>
            </w:r>
            <w:r w:rsidR="006C6AFC">
              <w:rPr>
                <w:noProof/>
                <w:webHidden/>
              </w:rPr>
            </w:r>
            <w:r w:rsidR="006C6AFC">
              <w:rPr>
                <w:noProof/>
                <w:webHidden/>
              </w:rPr>
              <w:fldChar w:fldCharType="separate"/>
            </w:r>
            <w:r w:rsidR="009909B0">
              <w:rPr>
                <w:noProof/>
                <w:webHidden/>
              </w:rPr>
              <w:t>21</w:t>
            </w:r>
            <w:r w:rsidR="006C6AFC">
              <w:rPr>
                <w:noProof/>
                <w:webHidden/>
              </w:rPr>
              <w:fldChar w:fldCharType="end"/>
            </w:r>
          </w:hyperlink>
        </w:p>
        <w:p w14:paraId="34CD13BB" w14:textId="77777777" w:rsidR="006C6AFC" w:rsidRDefault="002B311E">
          <w:pPr>
            <w:pStyle w:val="TOC1"/>
            <w:tabs>
              <w:tab w:val="right" w:leader="dot" w:pos="9016"/>
            </w:tabs>
            <w:rPr>
              <w:noProof/>
              <w:lang w:eastAsia="en-AU"/>
            </w:rPr>
          </w:pPr>
          <w:hyperlink w:anchor="_Toc465412638" w:history="1">
            <w:r w:rsidR="006C6AFC" w:rsidRPr="00B44D60">
              <w:rPr>
                <w:rStyle w:val="Hyperlink"/>
                <w:noProof/>
              </w:rPr>
              <w:t>DSP Funding Model Comparison</w:t>
            </w:r>
            <w:r w:rsidR="006C6AFC">
              <w:rPr>
                <w:noProof/>
                <w:webHidden/>
              </w:rPr>
              <w:tab/>
            </w:r>
            <w:r w:rsidR="006C6AFC">
              <w:rPr>
                <w:noProof/>
                <w:webHidden/>
              </w:rPr>
              <w:fldChar w:fldCharType="begin"/>
            </w:r>
            <w:r w:rsidR="006C6AFC">
              <w:rPr>
                <w:noProof/>
                <w:webHidden/>
              </w:rPr>
              <w:instrText xml:space="preserve"> PAGEREF _Toc465412638 \h </w:instrText>
            </w:r>
            <w:r w:rsidR="006C6AFC">
              <w:rPr>
                <w:noProof/>
                <w:webHidden/>
              </w:rPr>
            </w:r>
            <w:r w:rsidR="006C6AFC">
              <w:rPr>
                <w:noProof/>
                <w:webHidden/>
              </w:rPr>
              <w:fldChar w:fldCharType="separate"/>
            </w:r>
            <w:r w:rsidR="009909B0">
              <w:rPr>
                <w:noProof/>
                <w:webHidden/>
              </w:rPr>
              <w:t>21</w:t>
            </w:r>
            <w:r w:rsidR="006C6AFC">
              <w:rPr>
                <w:noProof/>
                <w:webHidden/>
              </w:rPr>
              <w:fldChar w:fldCharType="end"/>
            </w:r>
          </w:hyperlink>
        </w:p>
        <w:p w14:paraId="223EBBCD" w14:textId="19974D9C" w:rsidR="00EF4A38" w:rsidRPr="00776009" w:rsidRDefault="00EF4A38" w:rsidP="00CF6C5C">
          <w:pPr>
            <w:sectPr w:rsidR="00EF4A38" w:rsidRPr="00776009" w:rsidSect="00D23298">
              <w:type w:val="continuous"/>
              <w:pgSz w:w="11906" w:h="16838"/>
              <w:pgMar w:top="2104" w:right="1440" w:bottom="1440" w:left="1440" w:header="708" w:footer="708" w:gutter="0"/>
              <w:cols w:space="708"/>
              <w:docGrid w:linePitch="360"/>
            </w:sectPr>
          </w:pPr>
          <w:r w:rsidRPr="00776009">
            <w:rPr>
              <w:b/>
              <w:bCs/>
            </w:rPr>
            <w:fldChar w:fldCharType="end"/>
          </w:r>
        </w:p>
      </w:sdtContent>
    </w:sdt>
    <w:p w14:paraId="1A3E90A8" w14:textId="4D26A185" w:rsidR="00123C25" w:rsidRPr="00776009" w:rsidRDefault="00123C25">
      <w:pPr>
        <w:pStyle w:val="Heading1"/>
      </w:pPr>
      <w:bookmarkStart w:id="1" w:name="_Toc465412617"/>
      <w:r w:rsidRPr="00776009">
        <w:lastRenderedPageBreak/>
        <w:t>Summary</w:t>
      </w:r>
      <w:bookmarkEnd w:id="1"/>
    </w:p>
    <w:p w14:paraId="3E8E3D7F" w14:textId="5D16F130" w:rsidR="008C6A80" w:rsidRPr="00776009" w:rsidRDefault="009739E0" w:rsidP="00427C91">
      <w:r w:rsidRPr="00776009">
        <w:t>Higher Education p</w:t>
      </w:r>
      <w:r w:rsidR="00427C91" w:rsidRPr="00776009">
        <w:t xml:space="preserve">roviders have obligations under the </w:t>
      </w:r>
      <w:r w:rsidR="00427C91" w:rsidRPr="00776009">
        <w:rPr>
          <w:i/>
        </w:rPr>
        <w:t>Disability Discrimination Act 1992</w:t>
      </w:r>
      <w:r w:rsidR="00427C91" w:rsidRPr="00776009">
        <w:t xml:space="preserve"> and the Disability Standards for Education (2005) to make reasonable adjustments to ensure that all students with disability have the same or similar choices and opportunities </w:t>
      </w:r>
      <w:r w:rsidR="003A70C4" w:rsidRPr="00776009">
        <w:t>regarding</w:t>
      </w:r>
      <w:r w:rsidR="00427C91" w:rsidRPr="00776009">
        <w:t xml:space="preserve"> enrolment, participation, curriculum and support services </w:t>
      </w:r>
      <w:r w:rsidR="00667124" w:rsidRPr="00776009">
        <w:t xml:space="preserve">as students without disability. </w:t>
      </w:r>
      <w:r w:rsidR="008C6A80" w:rsidRPr="00776009">
        <w:t xml:space="preserve">The Australian Government provides </w:t>
      </w:r>
      <w:r w:rsidR="0025620C" w:rsidRPr="00776009">
        <w:t xml:space="preserve">supplementary </w:t>
      </w:r>
      <w:r w:rsidR="008C6A80" w:rsidRPr="00776009">
        <w:t xml:space="preserve">funding to eligible higher education providers to help them meet </w:t>
      </w:r>
      <w:r w:rsidR="004B5BA2" w:rsidRPr="00776009">
        <w:t xml:space="preserve">some of </w:t>
      </w:r>
      <w:r w:rsidR="008C6A80" w:rsidRPr="00776009">
        <w:t xml:space="preserve">these obligations through the </w:t>
      </w:r>
      <w:r w:rsidR="004B5BA2" w:rsidRPr="00776009">
        <w:t xml:space="preserve">Higher Education </w:t>
      </w:r>
      <w:r w:rsidR="008C6A80" w:rsidRPr="00776009">
        <w:t>Disability Support Program (DSP).</w:t>
      </w:r>
    </w:p>
    <w:p w14:paraId="32F4CBF8" w14:textId="71CA33DE" w:rsidR="003D35C4" w:rsidRPr="00776009" w:rsidRDefault="009739E0" w:rsidP="00427C91">
      <w:r w:rsidRPr="00776009">
        <w:t xml:space="preserve">In 2014 the DSP was evaluated by KPMG to verify the program was meeting its objectives and to </w:t>
      </w:r>
      <w:r w:rsidR="00A92C9A" w:rsidRPr="00776009">
        <w:t xml:space="preserve">identify options to improve the </w:t>
      </w:r>
      <w:r w:rsidR="004B5BA2" w:rsidRPr="00776009">
        <w:t>ongoing operation</w:t>
      </w:r>
      <w:r w:rsidR="00A92C9A" w:rsidRPr="00776009">
        <w:t xml:space="preserve"> of the program</w:t>
      </w:r>
      <w:r w:rsidR="001649AE" w:rsidRPr="00776009">
        <w:t xml:space="preserve"> within its current funding allocation.</w:t>
      </w:r>
      <w:r w:rsidR="0025620C" w:rsidRPr="00776009">
        <w:t xml:space="preserve"> </w:t>
      </w:r>
      <w:r w:rsidR="00F25990">
        <w:t xml:space="preserve">The evaluation put forward several options to improve the program’s design and the department invites stakeholders to consider those options in providing feedback. </w:t>
      </w:r>
      <w:r w:rsidR="007404A4" w:rsidRPr="00776009">
        <w:t xml:space="preserve">In </w:t>
      </w:r>
      <w:r w:rsidR="00F25990">
        <w:t>developing</w:t>
      </w:r>
      <w:r w:rsidR="007404A4" w:rsidRPr="00776009">
        <w:t xml:space="preserve"> </w:t>
      </w:r>
      <w:r w:rsidR="000F1AD0" w:rsidRPr="00776009">
        <w:t>this</w:t>
      </w:r>
      <w:r w:rsidR="007404A4" w:rsidRPr="00776009">
        <w:t xml:space="preserve"> response to the evaluation, the guiding principles were to reduce as much as possible the administrative burden on providers </w:t>
      </w:r>
      <w:r w:rsidR="000F1AD0" w:rsidRPr="00776009">
        <w:t>of</w:t>
      </w:r>
      <w:r w:rsidR="007404A4" w:rsidRPr="00776009">
        <w:t xml:space="preserve"> participating in the program, and ensur</w:t>
      </w:r>
      <w:r w:rsidR="00CD751C" w:rsidRPr="00776009">
        <w:t>e</w:t>
      </w:r>
      <w:r w:rsidR="007404A4" w:rsidRPr="00776009">
        <w:t xml:space="preserve"> </w:t>
      </w:r>
      <w:r w:rsidR="00CD751C" w:rsidRPr="00776009">
        <w:t xml:space="preserve">the program offers </w:t>
      </w:r>
      <w:r w:rsidR="007404A4" w:rsidRPr="00776009">
        <w:t>providers the flexibility to best address the needs of students with disability.</w:t>
      </w:r>
      <w:r w:rsidR="00F25990">
        <w:t xml:space="preserve"> </w:t>
      </w:r>
      <w:r w:rsidR="006E018A">
        <w:t>If</w:t>
      </w:r>
      <w:r w:rsidR="00F25990">
        <w:t xml:space="preserve"> consultation show</w:t>
      </w:r>
      <w:r w:rsidR="006E018A">
        <w:t xml:space="preserve">s justification for </w:t>
      </w:r>
      <w:r w:rsidR="008B12C5">
        <w:t xml:space="preserve">a different approach, alternatives will be considered </w:t>
      </w:r>
      <w:r w:rsidR="006E018A">
        <w:t xml:space="preserve">that best achieve </w:t>
      </w:r>
      <w:r w:rsidR="006E018A" w:rsidRPr="006E018A">
        <w:t>program objective</w:t>
      </w:r>
      <w:r w:rsidR="006E018A">
        <w:t>s.</w:t>
      </w:r>
    </w:p>
    <w:p w14:paraId="5542C639" w14:textId="364A19BD" w:rsidR="008C6A80" w:rsidRDefault="003D35C4" w:rsidP="00427C91">
      <w:r w:rsidRPr="00776009">
        <w:t>The evaluation found the DSP is successful in supporting providers to meet their obligations to students. The DSP assists in meeting student needs that are o</w:t>
      </w:r>
      <w:r w:rsidR="001649AE" w:rsidRPr="00776009">
        <w:t>f particular concern to students:</w:t>
      </w:r>
      <w:r w:rsidRPr="00776009">
        <w:t xml:space="preserve"> completing course assignments and exams, and fully participating in lectures and tutorials. The program contributes to facilitating access to support and equipment for students with disability, and minimising or removing</w:t>
      </w:r>
      <w:r w:rsidR="001649AE" w:rsidRPr="00776009">
        <w:t xml:space="preserve"> barriers to participating</w:t>
      </w:r>
      <w:r w:rsidRPr="00776009">
        <w:t xml:space="preserve"> in higher education. Through </w:t>
      </w:r>
      <w:r w:rsidR="00655F1B">
        <w:t xml:space="preserve">funding the </w:t>
      </w:r>
      <w:r w:rsidR="00655F1B" w:rsidRPr="00655F1B">
        <w:t>Australian Disability Clearinghouse on Education and Training</w:t>
      </w:r>
      <w:r w:rsidR="00655F1B">
        <w:t xml:space="preserve"> (</w:t>
      </w:r>
      <w:r w:rsidRPr="00776009">
        <w:t>ADCET</w:t>
      </w:r>
      <w:r w:rsidR="00655F1B">
        <w:t>),</w:t>
      </w:r>
      <w:r w:rsidRPr="00776009">
        <w:t xml:space="preserve"> the DSP promotes inclusive teaching and learning practises, and increases awareness of contemporary research to support students with disability.</w:t>
      </w:r>
    </w:p>
    <w:p w14:paraId="6207E4FA" w14:textId="7534C7F4" w:rsidR="00047629" w:rsidRPr="00776009" w:rsidRDefault="003D35C4" w:rsidP="00CF6C5C">
      <w:r w:rsidRPr="00776009">
        <w:t>Regarding program improvements, t</w:t>
      </w:r>
      <w:r w:rsidR="008A434E" w:rsidRPr="00776009">
        <w:t>he KPMG evaluation</w:t>
      </w:r>
      <w:r w:rsidR="00047629" w:rsidRPr="00776009">
        <w:t xml:space="preserve"> </w:t>
      </w:r>
      <w:r w:rsidR="002D72F2" w:rsidRPr="00776009">
        <w:t>supported</w:t>
      </w:r>
      <w:r w:rsidR="00047629" w:rsidRPr="00776009">
        <w:t xml:space="preserve"> the findings of the </w:t>
      </w:r>
      <w:r w:rsidR="008A434E" w:rsidRPr="00776009">
        <w:t>2013 Review of Reporting Requirements for Universities</w:t>
      </w:r>
      <w:r w:rsidR="00047629" w:rsidRPr="00776009">
        <w:t xml:space="preserve">, which </w:t>
      </w:r>
      <w:r w:rsidR="008A434E" w:rsidRPr="00776009">
        <w:t xml:space="preserve">identified DSP claim procedures as being very time intensive for providers. The </w:t>
      </w:r>
      <w:r w:rsidR="005A6F3C" w:rsidRPr="00776009">
        <w:t>proposed response seeks</w:t>
      </w:r>
      <w:r w:rsidR="008A434E" w:rsidRPr="00776009">
        <w:t xml:space="preserve"> to reduce the administrative burden for providers under the DSP</w:t>
      </w:r>
      <w:r w:rsidR="00047629" w:rsidRPr="00776009">
        <w:t xml:space="preserve"> by transitioning to a formula-based funding system. This formula would be based on the number of students with disability enrolled at each provider as a proportion of the total number of students with disability enrolled at all eligible providers. Reporting under the proposed </w:t>
      </w:r>
      <w:r w:rsidR="0083559B" w:rsidRPr="00776009">
        <w:t xml:space="preserve">program parameters </w:t>
      </w:r>
      <w:r w:rsidR="00047629" w:rsidRPr="00776009">
        <w:t>would consist of providers submitting an annual report acquitting funds received against the eligible program activities.</w:t>
      </w:r>
    </w:p>
    <w:p w14:paraId="5FBE6BEE" w14:textId="4A23EAAB" w:rsidR="00047629" w:rsidRPr="00776009" w:rsidRDefault="00047629" w:rsidP="00CF6C5C">
      <w:r w:rsidRPr="00776009">
        <w:t xml:space="preserve">The evaluation also </w:t>
      </w:r>
      <w:r w:rsidR="00E435FE" w:rsidRPr="00776009">
        <w:t>considered the appropriateness of the support provided by the DSP. Since the program</w:t>
      </w:r>
      <w:r w:rsidR="003D6AE4" w:rsidRPr="00776009">
        <w:t xml:space="preserve"> started </w:t>
      </w:r>
      <w:r w:rsidR="00E435FE" w:rsidRPr="00776009">
        <w:t xml:space="preserve">there has been a shift in the disability profile of students to include a greater number of students with mental health issues and learning disorders. Lower levels of awareness from provider staff in supporting students with these types of disability was identified as an issue not addressed by the DSP’s </w:t>
      </w:r>
      <w:r w:rsidR="003D6AE4" w:rsidRPr="00776009">
        <w:t xml:space="preserve">current </w:t>
      </w:r>
      <w:r w:rsidR="00E435FE" w:rsidRPr="00776009">
        <w:t xml:space="preserve">program design, which does not include training of provider staff. The </w:t>
      </w:r>
      <w:r w:rsidR="0083559B" w:rsidRPr="00776009">
        <w:t xml:space="preserve">proposed parameters </w:t>
      </w:r>
      <w:r w:rsidR="00E435FE" w:rsidRPr="00776009">
        <w:t xml:space="preserve">therefore include staff training as an eligible activity that a provider may fund with </w:t>
      </w:r>
      <w:r w:rsidR="001649AE" w:rsidRPr="00776009">
        <w:t>its</w:t>
      </w:r>
      <w:r w:rsidR="00E435FE" w:rsidRPr="00776009">
        <w:t xml:space="preserve"> DSP allocation.</w:t>
      </w:r>
    </w:p>
    <w:p w14:paraId="4B6EB9F9" w14:textId="72AE22C7" w:rsidR="00A92C9A" w:rsidRPr="00776009" w:rsidRDefault="003D6AE4" w:rsidP="00F161AF">
      <w:r w:rsidRPr="00776009">
        <w:lastRenderedPageBreak/>
        <w:t xml:space="preserve">Another activity that would be eligible for support under the proposed </w:t>
      </w:r>
      <w:r w:rsidR="0083559B" w:rsidRPr="00776009">
        <w:t xml:space="preserve">parameters </w:t>
      </w:r>
      <w:r w:rsidRPr="00776009">
        <w:t>is modifications to course content, teaching materials and delivery methods to better meet the needs of students with disability. The evaluation found that changes in educational practise and advances in technology allow for mainstream curricula to be universalised to a much greater extent, reducing the need for individual adjustments for students with disability.</w:t>
      </w:r>
      <w:r w:rsidR="001A1312" w:rsidRPr="00776009">
        <w:t xml:space="preserve"> The </w:t>
      </w:r>
      <w:r w:rsidR="0083559B" w:rsidRPr="00776009">
        <w:t xml:space="preserve">proposed </w:t>
      </w:r>
      <w:r w:rsidR="008C21EC" w:rsidRPr="00776009">
        <w:t>parameters</w:t>
      </w:r>
      <w:r w:rsidR="001A1312" w:rsidRPr="00776009">
        <w:t xml:space="preserve"> will support providers to make these changes while continuing support for individual adjustments.</w:t>
      </w:r>
      <w:r w:rsidR="001D0A94" w:rsidRPr="00776009">
        <w:t xml:space="preserve"> </w:t>
      </w:r>
      <w:r w:rsidR="005A6F3C" w:rsidRPr="00776009">
        <w:t>It</w:t>
      </w:r>
      <w:r w:rsidR="001A1312" w:rsidRPr="00776009">
        <w:t xml:space="preserve"> </w:t>
      </w:r>
      <w:r w:rsidR="005A6F3C" w:rsidRPr="00776009">
        <w:t xml:space="preserve">is </w:t>
      </w:r>
      <w:r w:rsidR="001A1312" w:rsidRPr="00776009">
        <w:t>propos</w:t>
      </w:r>
      <w:r w:rsidR="005A6F3C" w:rsidRPr="00776009">
        <w:t>ed</w:t>
      </w:r>
      <w:r w:rsidR="001A1312" w:rsidRPr="00776009">
        <w:t xml:space="preserve"> to increase funding to ADCET to support providers in undertaking the new activities contained in the </w:t>
      </w:r>
      <w:r w:rsidR="0083559B" w:rsidRPr="00776009">
        <w:t>proposed parameters</w:t>
      </w:r>
      <w:r w:rsidR="001A1312" w:rsidRPr="00776009">
        <w:t xml:space="preserve">. </w:t>
      </w:r>
      <w:r w:rsidR="005A6F3C" w:rsidRPr="00776009">
        <w:t xml:space="preserve">Comments are welcome </w:t>
      </w:r>
      <w:r w:rsidR="001A1312" w:rsidRPr="00776009">
        <w:t xml:space="preserve">from providers </w:t>
      </w:r>
      <w:r w:rsidR="005A6F3C" w:rsidRPr="00776009">
        <w:t xml:space="preserve">as to </w:t>
      </w:r>
      <w:r w:rsidR="001A1312" w:rsidRPr="00776009">
        <w:t xml:space="preserve">what potential roles for ADCET would </w:t>
      </w:r>
      <w:r w:rsidR="005A6F3C" w:rsidRPr="00776009">
        <w:t>be</w:t>
      </w:r>
      <w:r w:rsidR="001A1312" w:rsidRPr="00776009">
        <w:t xml:space="preserve"> most useful.</w:t>
      </w:r>
    </w:p>
    <w:p w14:paraId="18E12198" w14:textId="5ECFE6D3" w:rsidR="003D6AE4" w:rsidRPr="00776009" w:rsidRDefault="005A6F3C" w:rsidP="00CF6C5C">
      <w:r w:rsidRPr="00776009">
        <w:t>This proposal anticipates</w:t>
      </w:r>
      <w:r w:rsidR="00F161AF" w:rsidRPr="00776009">
        <w:t xml:space="preserve"> amending the DSP guidelines, contained in the Other Grant Guidelines (Education) 2012, in early 2017.</w:t>
      </w:r>
      <w:r w:rsidR="002A5445" w:rsidRPr="00776009">
        <w:t xml:space="preserve"> To allow providers sufficient time to plan for the transition to the new guidelines, </w:t>
      </w:r>
      <w:r w:rsidRPr="00776009">
        <w:t>it is proposed</w:t>
      </w:r>
      <w:r w:rsidR="002A5445" w:rsidRPr="00776009">
        <w:t xml:space="preserve"> to commence </w:t>
      </w:r>
      <w:r w:rsidRPr="00776009">
        <w:t xml:space="preserve">any </w:t>
      </w:r>
      <w:r w:rsidR="002A5445" w:rsidRPr="00776009">
        <w:t xml:space="preserve">new </w:t>
      </w:r>
      <w:r w:rsidR="00B41406" w:rsidRPr="00776009">
        <w:t xml:space="preserve">funding </w:t>
      </w:r>
      <w:r w:rsidR="002A5445" w:rsidRPr="00776009">
        <w:t>arrangement</w:t>
      </w:r>
      <w:r w:rsidR="00B41406" w:rsidRPr="00776009">
        <w:t>s</w:t>
      </w:r>
      <w:r w:rsidR="002A5445" w:rsidRPr="00776009">
        <w:t xml:space="preserve"> in 2018.</w:t>
      </w:r>
    </w:p>
    <w:p w14:paraId="7DBB5DA0" w14:textId="77777777" w:rsidR="00FE5806" w:rsidRPr="00776009" w:rsidRDefault="00FE5806">
      <w:pPr>
        <w:rPr>
          <w:rFonts w:ascii="Calibri" w:eastAsiaTheme="majorEastAsia" w:hAnsi="Calibri" w:cstheme="majorBidi"/>
          <w:b/>
          <w:bCs/>
          <w:color w:val="522761"/>
          <w:sz w:val="36"/>
          <w:szCs w:val="28"/>
        </w:rPr>
      </w:pPr>
      <w:r w:rsidRPr="00776009">
        <w:br w:type="page"/>
      </w:r>
    </w:p>
    <w:p w14:paraId="35C6F55C" w14:textId="1DC3DB28" w:rsidR="002D54A6" w:rsidRPr="00776009" w:rsidRDefault="002D54A6" w:rsidP="00CF6C5C">
      <w:pPr>
        <w:pStyle w:val="Heading1"/>
        <w:spacing w:before="120"/>
      </w:pPr>
      <w:bookmarkStart w:id="2" w:name="_Toc465412618"/>
      <w:r w:rsidRPr="00776009">
        <w:lastRenderedPageBreak/>
        <w:t>Introduction</w:t>
      </w:r>
      <w:bookmarkEnd w:id="2"/>
    </w:p>
    <w:p w14:paraId="3DF4D050" w14:textId="176D32B9" w:rsidR="002D54A6" w:rsidRPr="00776009" w:rsidRDefault="00FF4F3F" w:rsidP="00D94821">
      <w:r w:rsidRPr="00776009">
        <w:t xml:space="preserve">The Disability Support Program (DSP) was announced in the 2002-03 Budget as part of a higher education reform package called </w:t>
      </w:r>
      <w:r w:rsidR="00D94821" w:rsidRPr="00776009">
        <w:t xml:space="preserve">“Backing Australia’s </w:t>
      </w:r>
      <w:r w:rsidR="0069214E" w:rsidRPr="00776009">
        <w:t>F</w:t>
      </w:r>
      <w:r w:rsidR="00D94821" w:rsidRPr="00776009">
        <w:t>uture”</w:t>
      </w:r>
      <w:r w:rsidR="00CB1A55" w:rsidRPr="00776009">
        <w:t xml:space="preserve"> and </w:t>
      </w:r>
      <w:r w:rsidR="00593B80" w:rsidRPr="00776009">
        <w:t>started in 2004</w:t>
      </w:r>
      <w:r w:rsidR="0069214E" w:rsidRPr="00776009">
        <w:t xml:space="preserve">. Its objectives are to assist eligible </w:t>
      </w:r>
      <w:r w:rsidR="009D5F22" w:rsidRPr="00776009">
        <w:t xml:space="preserve">higher education providers </w:t>
      </w:r>
      <w:r w:rsidR="00F578CE" w:rsidRPr="00776009">
        <w:t>to provide h</w:t>
      </w:r>
      <w:r w:rsidR="0069214E" w:rsidRPr="00776009">
        <w:rPr>
          <w:color w:val="000000"/>
        </w:rPr>
        <w:t>igh cost</w:t>
      </w:r>
      <w:r w:rsidR="00F578CE" w:rsidRPr="00776009">
        <w:rPr>
          <w:color w:val="000000"/>
        </w:rPr>
        <w:t xml:space="preserve"> </w:t>
      </w:r>
      <w:r w:rsidR="0069214E" w:rsidRPr="00776009">
        <w:rPr>
          <w:color w:val="000000"/>
        </w:rPr>
        <w:t>educational support and/or equipment to domestic students with disability</w:t>
      </w:r>
      <w:r w:rsidR="00F578CE" w:rsidRPr="00776009">
        <w:rPr>
          <w:color w:val="000000"/>
        </w:rPr>
        <w:t xml:space="preserve">, encourage </w:t>
      </w:r>
      <w:r w:rsidR="009D5F22" w:rsidRPr="00776009">
        <w:rPr>
          <w:color w:val="000000"/>
        </w:rPr>
        <w:t xml:space="preserve">providers </w:t>
      </w:r>
      <w:r w:rsidR="00F578CE" w:rsidRPr="00776009">
        <w:rPr>
          <w:color w:val="000000"/>
        </w:rPr>
        <w:t xml:space="preserve">to attract and support students with disability, and provide information and resources on inclusive teaching and learning practices for students with disability. </w:t>
      </w:r>
      <w:r w:rsidR="00D94821" w:rsidRPr="00776009">
        <w:t xml:space="preserve">Funding for the program </w:t>
      </w:r>
      <w:r w:rsidR="001F6C4B" w:rsidRPr="00776009">
        <w:t>commenced in 2005</w:t>
      </w:r>
      <w:r w:rsidR="006A22B0" w:rsidRPr="00776009">
        <w:t>. It is indexed and currently</w:t>
      </w:r>
      <w:r w:rsidR="001F6C4B" w:rsidRPr="00776009">
        <w:t xml:space="preserve"> totals around $7</w:t>
      </w:r>
      <w:r w:rsidR="00FC7A9D" w:rsidRPr="00776009">
        <w:t> </w:t>
      </w:r>
      <w:r w:rsidR="001F6C4B" w:rsidRPr="00776009">
        <w:t>million each year.</w:t>
      </w:r>
    </w:p>
    <w:p w14:paraId="6E68C3DF" w14:textId="65458BE6" w:rsidR="00900A5C" w:rsidRPr="00776009" w:rsidRDefault="00EF3318" w:rsidP="00CF6C5C">
      <w:pPr>
        <w:spacing w:after="120"/>
      </w:pPr>
      <w:r w:rsidRPr="00776009">
        <w:t>The program</w:t>
      </w:r>
      <w:r w:rsidR="00900A5C" w:rsidRPr="00776009">
        <w:t xml:space="preserve"> has three components:</w:t>
      </w:r>
    </w:p>
    <w:p w14:paraId="393F8AF7" w14:textId="68B48905" w:rsidR="00900A5C" w:rsidRPr="00776009" w:rsidRDefault="00900A5C" w:rsidP="001D5005">
      <w:pPr>
        <w:pStyle w:val="ListParagraph"/>
        <w:numPr>
          <w:ilvl w:val="0"/>
          <w:numId w:val="5"/>
        </w:numPr>
      </w:pPr>
      <w:r w:rsidRPr="00776009">
        <w:rPr>
          <w:b/>
        </w:rPr>
        <w:t>Additional Support for Students with Disabilities (ASSD)</w:t>
      </w:r>
      <w:r w:rsidR="0030104E" w:rsidRPr="00776009">
        <w:rPr>
          <w:b/>
        </w:rPr>
        <w:t xml:space="preserve"> </w:t>
      </w:r>
      <w:r w:rsidRPr="00776009">
        <w:t>provides funding to assist with the high costs incurred in providing educational support and equipment to students with disability</w:t>
      </w:r>
      <w:r w:rsidR="0030104E" w:rsidRPr="00776009">
        <w:t xml:space="preserve"> ($6.</w:t>
      </w:r>
      <w:r w:rsidR="00614BB9" w:rsidRPr="00776009">
        <w:t>2</w:t>
      </w:r>
      <w:r w:rsidR="0030104E" w:rsidRPr="00776009">
        <w:t xml:space="preserve"> million in 201</w:t>
      </w:r>
      <w:r w:rsidR="0031507A" w:rsidRPr="00776009">
        <w:t>6</w:t>
      </w:r>
      <w:r w:rsidR="0030104E" w:rsidRPr="00776009">
        <w:t>)</w:t>
      </w:r>
    </w:p>
    <w:p w14:paraId="55C2F2FB" w14:textId="70F9616D" w:rsidR="00900A5C" w:rsidRPr="00776009" w:rsidRDefault="00900A5C" w:rsidP="001D5005">
      <w:pPr>
        <w:pStyle w:val="ListParagraph"/>
        <w:numPr>
          <w:ilvl w:val="0"/>
          <w:numId w:val="5"/>
        </w:numPr>
      </w:pPr>
      <w:r w:rsidRPr="00776009">
        <w:rPr>
          <w:b/>
        </w:rPr>
        <w:t>Performance-based Disability Support Funding</w:t>
      </w:r>
      <w:r w:rsidRPr="00776009">
        <w:t xml:space="preserve"> to encourage higher education providers to implement strategies to attract and support students with disability</w:t>
      </w:r>
      <w:r w:rsidR="0030104E" w:rsidRPr="00776009">
        <w:t xml:space="preserve"> ($1 million in 201</w:t>
      </w:r>
      <w:r w:rsidR="0031507A" w:rsidRPr="00776009">
        <w:t>6</w:t>
      </w:r>
      <w:r w:rsidR="0030104E" w:rsidRPr="00776009">
        <w:t>)</w:t>
      </w:r>
    </w:p>
    <w:p w14:paraId="3CB1A08B" w14:textId="7F79AD07" w:rsidR="00900A5C" w:rsidRPr="00776009" w:rsidRDefault="00900A5C" w:rsidP="00CF6C5C">
      <w:pPr>
        <w:pStyle w:val="ListParagraph"/>
        <w:numPr>
          <w:ilvl w:val="0"/>
          <w:numId w:val="5"/>
        </w:numPr>
        <w:spacing w:after="240"/>
        <w:ind w:left="714" w:hanging="357"/>
      </w:pPr>
      <w:r w:rsidRPr="00776009">
        <w:rPr>
          <w:b/>
        </w:rPr>
        <w:t>The Australian Disability Clearinghouse on Education and Training (ADCET)</w:t>
      </w:r>
      <w:r w:rsidR="005739E7" w:rsidRPr="00776009">
        <w:t>,</w:t>
      </w:r>
      <w:r w:rsidR="001F6C4B" w:rsidRPr="00776009">
        <w:t xml:space="preserve"> a website that provides information and other resources designed to promote inclusive teaching and learning practices for </w:t>
      </w:r>
      <w:r w:rsidR="00743F64" w:rsidRPr="00776009">
        <w:t>students</w:t>
      </w:r>
      <w:r w:rsidR="001F6C4B" w:rsidRPr="00776009">
        <w:t xml:space="preserve"> with disability</w:t>
      </w:r>
      <w:r w:rsidR="0030104E" w:rsidRPr="00776009">
        <w:t xml:space="preserve"> ($7</w:t>
      </w:r>
      <w:r w:rsidR="0031507A" w:rsidRPr="00776009">
        <w:t>8</w:t>
      </w:r>
      <w:r w:rsidR="0030104E" w:rsidRPr="00776009">
        <w:t>,000 funding in 201</w:t>
      </w:r>
      <w:r w:rsidR="0031507A" w:rsidRPr="00776009">
        <w:t>6</w:t>
      </w:r>
      <w:r w:rsidR="0030104E" w:rsidRPr="00776009">
        <w:t>)</w:t>
      </w:r>
      <w:r w:rsidR="001F6C4B" w:rsidRPr="00776009">
        <w:t>.</w:t>
      </w:r>
    </w:p>
    <w:p w14:paraId="6FB3B6BA" w14:textId="1D790F5A" w:rsidR="00E33C38" w:rsidRPr="00776009" w:rsidRDefault="00D94821" w:rsidP="00CF6C5C">
      <w:pPr>
        <w:spacing w:before="120"/>
      </w:pPr>
      <w:r w:rsidRPr="00776009">
        <w:t xml:space="preserve">In 2014 the Government commissioned KPMG </w:t>
      </w:r>
      <w:r w:rsidR="00E33C38" w:rsidRPr="00776009">
        <w:t>to undertake</w:t>
      </w:r>
      <w:r w:rsidRPr="00776009">
        <w:t xml:space="preserve"> an evaluation of the DSP</w:t>
      </w:r>
      <w:r w:rsidR="00E33C38" w:rsidRPr="00776009">
        <w:t>, which was completed in 2015</w:t>
      </w:r>
      <w:r w:rsidR="00F25990">
        <w:t xml:space="preserve"> and is available at </w:t>
      </w:r>
      <w:hyperlink r:id="rId17" w:history="1">
        <w:r w:rsidR="00F25990" w:rsidRPr="00164E46">
          <w:rPr>
            <w:rStyle w:val="Hyperlink"/>
          </w:rPr>
          <w:t>https://www.education.gov.au/access-and-participation</w:t>
        </w:r>
      </w:hyperlink>
      <w:r w:rsidR="00F25990">
        <w:t xml:space="preserve">. </w:t>
      </w:r>
      <w:r w:rsidR="00E33C38" w:rsidRPr="00776009">
        <w:t>The evaluation considered opera</w:t>
      </w:r>
      <w:r w:rsidR="00743F64" w:rsidRPr="00776009">
        <w:t>tion of the DSP to date</w:t>
      </w:r>
      <w:r w:rsidR="00B5428F" w:rsidRPr="00776009">
        <w:t xml:space="preserve"> by </w:t>
      </w:r>
      <w:r w:rsidR="0030104E" w:rsidRPr="00776009">
        <w:t>examining its:</w:t>
      </w:r>
    </w:p>
    <w:p w14:paraId="23D2C85C" w14:textId="2D5531F9" w:rsidR="00900A5C" w:rsidRPr="00776009" w:rsidRDefault="00A60D81" w:rsidP="001D5005">
      <w:pPr>
        <w:pStyle w:val="ListParagraph"/>
        <w:numPr>
          <w:ilvl w:val="0"/>
          <w:numId w:val="4"/>
        </w:numPr>
      </w:pPr>
      <w:r w:rsidRPr="00776009">
        <w:rPr>
          <w:b/>
        </w:rPr>
        <w:t xml:space="preserve">Administration and </w:t>
      </w:r>
      <w:r w:rsidR="00EB480F" w:rsidRPr="00776009">
        <w:rPr>
          <w:b/>
        </w:rPr>
        <w:t>o</w:t>
      </w:r>
      <w:r w:rsidR="00900A5C" w:rsidRPr="00776009">
        <w:rPr>
          <w:b/>
        </w:rPr>
        <w:t xml:space="preserve">perational </w:t>
      </w:r>
      <w:r w:rsidR="00EB480F" w:rsidRPr="00776009">
        <w:rPr>
          <w:b/>
        </w:rPr>
        <w:t>e</w:t>
      </w:r>
      <w:r w:rsidR="00900A5C" w:rsidRPr="00776009">
        <w:rPr>
          <w:b/>
        </w:rPr>
        <w:t>fficiency</w:t>
      </w:r>
      <w:r w:rsidR="005739E7" w:rsidRPr="00776009">
        <w:t>,</w:t>
      </w:r>
      <w:r w:rsidR="00900A5C" w:rsidRPr="00776009">
        <w:t xml:space="preserve"> including how the program is operating, what it is providing, and the management and administration of the program</w:t>
      </w:r>
    </w:p>
    <w:p w14:paraId="3061532C" w14:textId="72B92405" w:rsidR="00E33C38" w:rsidRPr="00776009" w:rsidRDefault="00900A5C" w:rsidP="001D5005">
      <w:pPr>
        <w:pStyle w:val="ListParagraph"/>
        <w:numPr>
          <w:ilvl w:val="0"/>
          <w:numId w:val="4"/>
        </w:numPr>
      </w:pPr>
      <w:r w:rsidRPr="00776009">
        <w:rPr>
          <w:b/>
        </w:rPr>
        <w:t>Appropriateness</w:t>
      </w:r>
      <w:r w:rsidR="00892B3F" w:rsidRPr="00776009">
        <w:rPr>
          <w:b/>
        </w:rPr>
        <w:t xml:space="preserve"> </w:t>
      </w:r>
      <w:r w:rsidR="00892B3F" w:rsidRPr="00776009">
        <w:t>-</w:t>
      </w:r>
      <w:r w:rsidRPr="00776009">
        <w:t xml:space="preserve"> whether the program, given higher education providers’ legal obligations, is addressing the right needs of students with disability and is able to meet changing student </w:t>
      </w:r>
      <w:r w:rsidR="006737BE" w:rsidRPr="00776009">
        <w:t>requirements</w:t>
      </w:r>
    </w:p>
    <w:p w14:paraId="22C24F83" w14:textId="77777777" w:rsidR="00593B80" w:rsidRPr="00776009" w:rsidRDefault="006737BE" w:rsidP="001D5005">
      <w:pPr>
        <w:pStyle w:val="ListParagraph"/>
        <w:numPr>
          <w:ilvl w:val="0"/>
          <w:numId w:val="4"/>
        </w:numPr>
      </w:pPr>
      <w:r w:rsidRPr="00776009">
        <w:rPr>
          <w:b/>
        </w:rPr>
        <w:t>Effectiveness</w:t>
      </w:r>
      <w:r w:rsidR="005739E7" w:rsidRPr="00776009">
        <w:t>,</w:t>
      </w:r>
      <w:r w:rsidRPr="00776009">
        <w:t xml:space="preserve"> including whether the program is meeting its stated objectives</w:t>
      </w:r>
      <w:r w:rsidR="00593B80" w:rsidRPr="00776009">
        <w:t>.</w:t>
      </w:r>
    </w:p>
    <w:p w14:paraId="0FF5DD80" w14:textId="20355794" w:rsidR="00C56142" w:rsidRPr="00776009" w:rsidRDefault="000D2E9B" w:rsidP="00C56142">
      <w:r w:rsidRPr="00776009">
        <w:t xml:space="preserve">This paper outlines </w:t>
      </w:r>
      <w:r w:rsidR="005A6F3C" w:rsidRPr="00776009">
        <w:t>a</w:t>
      </w:r>
      <w:r w:rsidRPr="00776009">
        <w:t xml:space="preserve"> proposed response to the evaluation findings</w:t>
      </w:r>
      <w:r w:rsidR="00C56142" w:rsidRPr="00776009">
        <w:t xml:space="preserve">. </w:t>
      </w:r>
      <w:r w:rsidR="0083559B" w:rsidRPr="00776009">
        <w:t xml:space="preserve">Proposed </w:t>
      </w:r>
      <w:r w:rsidR="00197AAB" w:rsidRPr="00776009">
        <w:t>parameters</w:t>
      </w:r>
      <w:r w:rsidR="0083559B" w:rsidRPr="00776009">
        <w:t xml:space="preserve"> </w:t>
      </w:r>
      <w:r w:rsidR="00197AAB" w:rsidRPr="00776009">
        <w:t xml:space="preserve">for the post-evaluation DSP </w:t>
      </w:r>
      <w:r w:rsidR="00C56142" w:rsidRPr="00776009">
        <w:t xml:space="preserve">are at </w:t>
      </w:r>
      <w:r w:rsidR="00C56142" w:rsidRPr="00776009">
        <w:rPr>
          <w:u w:val="single"/>
        </w:rPr>
        <w:t>A</w:t>
      </w:r>
      <w:r w:rsidR="00E671BD">
        <w:rPr>
          <w:u w:val="single"/>
        </w:rPr>
        <w:t>ppendix</w:t>
      </w:r>
      <w:r w:rsidR="00C56142" w:rsidRPr="00776009">
        <w:rPr>
          <w:u w:val="single"/>
        </w:rPr>
        <w:t xml:space="preserve"> </w:t>
      </w:r>
      <w:r w:rsidR="006A22B0" w:rsidRPr="00776009">
        <w:rPr>
          <w:u w:val="single"/>
        </w:rPr>
        <w:t>A</w:t>
      </w:r>
      <w:r w:rsidR="00C56142" w:rsidRPr="00776009">
        <w:t xml:space="preserve"> to the paper.</w:t>
      </w:r>
    </w:p>
    <w:p w14:paraId="0DF6D799" w14:textId="1D25BFFA" w:rsidR="00C56142" w:rsidRPr="00776009" w:rsidRDefault="005A6F3C" w:rsidP="00C56142">
      <w:r w:rsidRPr="00776009">
        <w:t>F</w:t>
      </w:r>
      <w:r w:rsidR="00C56142" w:rsidRPr="00776009">
        <w:t xml:space="preserve">eedback </w:t>
      </w:r>
      <w:r w:rsidRPr="00776009">
        <w:t xml:space="preserve">is welcome </w:t>
      </w:r>
      <w:r w:rsidR="00C56142" w:rsidRPr="00776009">
        <w:t xml:space="preserve">on the proposed changes to the DSP presented in this paper and the </w:t>
      </w:r>
      <w:r w:rsidR="00197AAB" w:rsidRPr="00776009">
        <w:t>proposed program parameters</w:t>
      </w:r>
      <w:r w:rsidR="00C56142" w:rsidRPr="00776009">
        <w:t xml:space="preserve">. </w:t>
      </w:r>
      <w:r w:rsidRPr="00776009">
        <w:t>A</w:t>
      </w:r>
      <w:r w:rsidR="00C56142" w:rsidRPr="00776009">
        <w:t xml:space="preserve">ll feedback </w:t>
      </w:r>
      <w:r w:rsidRPr="00776009">
        <w:t>will be considered before making</w:t>
      </w:r>
      <w:r w:rsidR="00C56142" w:rsidRPr="00776009">
        <w:t xml:space="preserve"> </w:t>
      </w:r>
      <w:r w:rsidRPr="00776009">
        <w:t xml:space="preserve">any </w:t>
      </w:r>
      <w:r w:rsidR="00C56142" w:rsidRPr="00776009">
        <w:t xml:space="preserve">changes to the program. </w:t>
      </w:r>
    </w:p>
    <w:p w14:paraId="2C5695B8" w14:textId="5391484C" w:rsidR="00427C91" w:rsidRPr="00776009" w:rsidRDefault="000D2E9B" w:rsidP="00593B80">
      <w:r w:rsidRPr="00776009">
        <w:t>Submissions are due by 5.00 pm (AE</w:t>
      </w:r>
      <w:r w:rsidR="00BF6956">
        <w:t>D</w:t>
      </w:r>
      <w:r w:rsidRPr="00776009">
        <w:t xml:space="preserve">T) on </w:t>
      </w:r>
      <w:r w:rsidR="007C56BD">
        <w:t xml:space="preserve">Friday </w:t>
      </w:r>
      <w:r w:rsidR="001457C5">
        <w:t>2</w:t>
      </w:r>
      <w:r w:rsidR="007C56BD">
        <w:t>5</w:t>
      </w:r>
      <w:r w:rsidR="00957A58" w:rsidRPr="00776009">
        <w:t xml:space="preserve"> November</w:t>
      </w:r>
      <w:r w:rsidR="00412C88" w:rsidRPr="00776009">
        <w:t xml:space="preserve"> 2016</w:t>
      </w:r>
      <w:r w:rsidRPr="00776009">
        <w:t xml:space="preserve"> and should be emailed to </w:t>
      </w:r>
      <w:hyperlink r:id="rId18" w:history="1">
        <w:r w:rsidR="00CB1A55" w:rsidRPr="00776009">
          <w:rPr>
            <w:rStyle w:val="Hyperlink"/>
          </w:rPr>
          <w:t>disability@education.gov.au</w:t>
        </w:r>
      </w:hyperlink>
      <w:r w:rsidRPr="00776009">
        <w:t>.</w:t>
      </w:r>
    </w:p>
    <w:p w14:paraId="48D3EEE7" w14:textId="52DD38A2" w:rsidR="00427C91" w:rsidRPr="00776009" w:rsidRDefault="00427C91"/>
    <w:p w14:paraId="057044BF" w14:textId="77777777" w:rsidR="009739E0" w:rsidRPr="00776009" w:rsidRDefault="009739E0">
      <w:pPr>
        <w:pStyle w:val="Heading1"/>
        <w:spacing w:before="120"/>
        <w:sectPr w:rsidR="009739E0" w:rsidRPr="00776009" w:rsidSect="004050C1">
          <w:headerReference w:type="default" r:id="rId19"/>
          <w:footerReference w:type="default" r:id="rId20"/>
          <w:pgSz w:w="11906" w:h="16838"/>
          <w:pgMar w:top="1985" w:right="1440" w:bottom="1440" w:left="1440" w:header="708" w:footer="1011" w:gutter="0"/>
          <w:cols w:space="708"/>
          <w:docGrid w:linePitch="360"/>
        </w:sectPr>
      </w:pPr>
    </w:p>
    <w:p w14:paraId="3D8FEDE0" w14:textId="704440A1" w:rsidR="008F1964" w:rsidRPr="00776009" w:rsidRDefault="00427C91" w:rsidP="00CF6C5C">
      <w:pPr>
        <w:pStyle w:val="Heading1"/>
        <w:spacing w:before="120"/>
      </w:pPr>
      <w:bookmarkStart w:id="3" w:name="_Toc465412619"/>
      <w:r w:rsidRPr="00776009">
        <w:lastRenderedPageBreak/>
        <w:t>Findings</w:t>
      </w:r>
      <w:bookmarkEnd w:id="3"/>
    </w:p>
    <w:p w14:paraId="542A04C7" w14:textId="5B3DE3E3" w:rsidR="00045B1F" w:rsidRPr="00776009" w:rsidRDefault="008A434E" w:rsidP="00045B1F">
      <w:r w:rsidRPr="00776009">
        <w:t xml:space="preserve">The evaluation found </w:t>
      </w:r>
      <w:r w:rsidR="0031507A" w:rsidRPr="00776009">
        <w:t xml:space="preserve">that </w:t>
      </w:r>
      <w:r w:rsidRPr="00776009">
        <w:t xml:space="preserve">the DSP </w:t>
      </w:r>
      <w:r w:rsidR="00EB75B5" w:rsidRPr="00776009">
        <w:t xml:space="preserve">is </w:t>
      </w:r>
      <w:r w:rsidRPr="00776009">
        <w:t xml:space="preserve">successful in supporting higher education providers to meet the needs of students with disability. It funds support to address difficulties in completing </w:t>
      </w:r>
      <w:r w:rsidR="008B2D13" w:rsidRPr="00776009">
        <w:t>assignments</w:t>
      </w:r>
      <w:r w:rsidRPr="00776009">
        <w:t xml:space="preserve"> and exams and participating in lectures and tutorials, which</w:t>
      </w:r>
      <w:r w:rsidR="008B2D13" w:rsidRPr="00776009">
        <w:t xml:space="preserve"> students with disability reported</w:t>
      </w:r>
      <w:r w:rsidRPr="00776009">
        <w:t xml:space="preserve"> as most important to overcome.</w:t>
      </w:r>
      <w:r w:rsidR="008B2D13" w:rsidRPr="00776009">
        <w:t xml:space="preserve"> The DSP assists providers to meet their obligations under the </w:t>
      </w:r>
      <w:r w:rsidR="008B2D13" w:rsidRPr="00776009">
        <w:rPr>
          <w:i/>
        </w:rPr>
        <w:t>Disability</w:t>
      </w:r>
      <w:r w:rsidR="00E95539" w:rsidRPr="00776009">
        <w:rPr>
          <w:i/>
        </w:rPr>
        <w:t> </w:t>
      </w:r>
      <w:r w:rsidR="008B2D13" w:rsidRPr="00776009">
        <w:rPr>
          <w:i/>
        </w:rPr>
        <w:t>Discrimination Act 1992</w:t>
      </w:r>
      <w:r w:rsidR="008B2D13" w:rsidRPr="00776009">
        <w:t xml:space="preserve"> and Disability Standards for Education (2005), and complements activities funded by the National Disability Insurance Scheme</w:t>
      </w:r>
      <w:r w:rsidR="00E95539" w:rsidRPr="00776009">
        <w:t xml:space="preserve"> (NDIS)</w:t>
      </w:r>
      <w:r w:rsidR="008B2D13" w:rsidRPr="00776009">
        <w:t>.</w:t>
      </w:r>
      <w:r w:rsidR="00571F4B" w:rsidRPr="00776009">
        <w:t xml:space="preserve"> </w:t>
      </w:r>
      <w:r w:rsidR="008B2D13" w:rsidRPr="00776009">
        <w:t>ADCET was rated as a valuable resource by provider staff</w:t>
      </w:r>
      <w:r w:rsidR="00BD03CB" w:rsidRPr="00776009">
        <w:t xml:space="preserve">, and the primary way in which the DSP contributes to increasing awareness of contemporary research and best practise regarding students with disability. </w:t>
      </w:r>
      <w:r w:rsidR="00045B1F" w:rsidRPr="00776009">
        <w:t xml:space="preserve">Detailed findings from the report are listed at </w:t>
      </w:r>
      <w:r w:rsidR="00045B1F" w:rsidRPr="00776009">
        <w:rPr>
          <w:u w:val="single"/>
        </w:rPr>
        <w:t>A</w:t>
      </w:r>
      <w:r w:rsidR="00E671BD">
        <w:rPr>
          <w:u w:val="single"/>
        </w:rPr>
        <w:t xml:space="preserve">ppendix </w:t>
      </w:r>
      <w:r w:rsidR="006A22B0" w:rsidRPr="00776009">
        <w:rPr>
          <w:u w:val="single"/>
        </w:rPr>
        <w:t>B</w:t>
      </w:r>
      <w:r w:rsidR="00045B1F" w:rsidRPr="00776009">
        <w:t>.</w:t>
      </w:r>
    </w:p>
    <w:p w14:paraId="211BA8E1" w14:textId="432D1C1B" w:rsidR="00571F4B" w:rsidRPr="00776009" w:rsidRDefault="006A22B0" w:rsidP="00B77BEC">
      <w:pPr>
        <w:spacing w:after="0"/>
      </w:pPr>
      <w:r w:rsidRPr="00776009">
        <w:t>T</w:t>
      </w:r>
      <w:r w:rsidR="008B2D13" w:rsidRPr="00776009">
        <w:t xml:space="preserve">he </w:t>
      </w:r>
      <w:r w:rsidR="00C85192" w:rsidRPr="00776009">
        <w:t>evaluation</w:t>
      </w:r>
      <w:r w:rsidR="008B2D13" w:rsidRPr="00776009">
        <w:t xml:space="preserve"> also identified a number of issues that could be addressed through improved program design.</w:t>
      </w:r>
    </w:p>
    <w:p w14:paraId="3BDAFABD" w14:textId="77777777" w:rsidR="00571F4B" w:rsidRPr="00776009" w:rsidRDefault="00571F4B" w:rsidP="00B77BEC">
      <w:pPr>
        <w:spacing w:after="0"/>
        <w:rPr>
          <w:b/>
        </w:rPr>
      </w:pPr>
    </w:p>
    <w:p w14:paraId="5612011C" w14:textId="349C10F9" w:rsidR="00D43ECA" w:rsidRPr="00776009" w:rsidRDefault="00D43ECA" w:rsidP="00CF6C5C">
      <w:pPr>
        <w:spacing w:after="120"/>
      </w:pPr>
      <w:r w:rsidRPr="00776009">
        <w:rPr>
          <w:b/>
        </w:rPr>
        <w:t>Administration and operational efficiency</w:t>
      </w:r>
    </w:p>
    <w:p w14:paraId="33CF9893" w14:textId="44CA4A90" w:rsidR="009B165F" w:rsidRPr="00776009" w:rsidRDefault="00D43ECA" w:rsidP="00CF6C5C">
      <w:pPr>
        <w:spacing w:after="0"/>
      </w:pPr>
      <w:r w:rsidRPr="00776009">
        <w:t>T</w:t>
      </w:r>
      <w:r w:rsidR="008B2D13" w:rsidRPr="00776009">
        <w:t xml:space="preserve">he evaluation identified </w:t>
      </w:r>
      <w:proofErr w:type="gramStart"/>
      <w:r w:rsidR="0031507A" w:rsidRPr="00776009">
        <w:t>that</w:t>
      </w:r>
      <w:r w:rsidR="008B2D13" w:rsidRPr="00776009">
        <w:t xml:space="preserve"> </w:t>
      </w:r>
      <w:r w:rsidR="00376F4E" w:rsidRPr="00776009">
        <w:t>ASSD</w:t>
      </w:r>
      <w:r w:rsidR="008B2D13" w:rsidRPr="00776009">
        <w:t xml:space="preserve"> procedures</w:t>
      </w:r>
      <w:proofErr w:type="gramEnd"/>
      <w:r w:rsidR="009A23CA" w:rsidRPr="00776009">
        <w:t>, in which providers are partially reimbursed for individual support</w:t>
      </w:r>
      <w:r w:rsidR="00E95539" w:rsidRPr="00776009">
        <w:t>/equipment</w:t>
      </w:r>
      <w:r w:rsidR="009A23CA" w:rsidRPr="00776009">
        <w:t xml:space="preserve"> claims,</w:t>
      </w:r>
      <w:r w:rsidR="008B2D13" w:rsidRPr="00776009">
        <w:t xml:space="preserve"> </w:t>
      </w:r>
      <w:r w:rsidR="0031507A" w:rsidRPr="00776009">
        <w:t>are</w:t>
      </w:r>
      <w:r w:rsidR="008B2D13" w:rsidRPr="00776009">
        <w:t xml:space="preserve"> very time intensive for providers. A large number of claims are submitted for small amounts of money</w:t>
      </w:r>
      <w:r w:rsidR="00FC4546" w:rsidRPr="00776009">
        <w:t>, with 57 per cent of claims accounting for only 6 per cent of the total amount of funds provided. N</w:t>
      </w:r>
      <w:r w:rsidR="00376F4E" w:rsidRPr="00776009">
        <w:t>early one third of providers reported spending more than 20 days preparing their claim</w:t>
      </w:r>
      <w:r w:rsidR="00FC4546" w:rsidRPr="00776009">
        <w:t xml:space="preserve"> and 83 per cent of </w:t>
      </w:r>
      <w:r w:rsidR="00521654" w:rsidRPr="00776009">
        <w:t xml:space="preserve">provider </w:t>
      </w:r>
      <w:r w:rsidR="00FC4546" w:rsidRPr="00776009">
        <w:t>staff surveyed said it took two to five people to prepare the claim.</w:t>
      </w:r>
    </w:p>
    <w:p w14:paraId="5EE68F59" w14:textId="77777777" w:rsidR="009B165F" w:rsidRPr="00776009" w:rsidRDefault="009B165F" w:rsidP="00CF6C5C">
      <w:pPr>
        <w:spacing w:after="0"/>
        <w:rPr>
          <w:b/>
        </w:rPr>
      </w:pPr>
    </w:p>
    <w:p w14:paraId="37D77F70" w14:textId="77777777" w:rsidR="009B165F" w:rsidRPr="00776009" w:rsidRDefault="00D43ECA" w:rsidP="00CF6C5C">
      <w:pPr>
        <w:spacing w:after="120"/>
        <w:rPr>
          <w:b/>
        </w:rPr>
      </w:pPr>
      <w:r w:rsidRPr="00776009">
        <w:rPr>
          <w:b/>
        </w:rPr>
        <w:t>Appropriateness</w:t>
      </w:r>
    </w:p>
    <w:p w14:paraId="1353FB3C" w14:textId="2FC4B4EF" w:rsidR="00FB7E1E" w:rsidRPr="00776009" w:rsidRDefault="00852F68" w:rsidP="00CF6C5C">
      <w:pPr>
        <w:spacing w:after="0"/>
      </w:pPr>
      <w:r w:rsidRPr="00776009">
        <w:t xml:space="preserve">The evaluation found the disability profile of university students is shifting. </w:t>
      </w:r>
      <w:r w:rsidR="0031507A" w:rsidRPr="00776009">
        <w:t>While p</w:t>
      </w:r>
      <w:r w:rsidRPr="00776009">
        <w:t xml:space="preserve">roviders are continuing to support students with physical and sensory </w:t>
      </w:r>
      <w:r w:rsidR="009A23CA" w:rsidRPr="00776009">
        <w:t>disabilities</w:t>
      </w:r>
      <w:r w:rsidRPr="00776009">
        <w:t xml:space="preserve">, more students with mental health issues and learning disorders are </w:t>
      </w:r>
      <w:r w:rsidR="009A23CA" w:rsidRPr="00776009">
        <w:t>accessing provider</w:t>
      </w:r>
      <w:r w:rsidR="00571F4B" w:rsidRPr="00776009">
        <w:t>s’</w:t>
      </w:r>
      <w:r w:rsidR="009A23CA" w:rsidRPr="00776009">
        <w:t xml:space="preserve"> disability </w:t>
      </w:r>
      <w:r w:rsidR="0031507A" w:rsidRPr="00776009">
        <w:t xml:space="preserve">support </w:t>
      </w:r>
      <w:r w:rsidR="009A23CA" w:rsidRPr="00776009">
        <w:t>services. The nature of support required by these students is different and often requires more frequent and intensive</w:t>
      </w:r>
      <w:r w:rsidR="00ED437F" w:rsidRPr="00776009">
        <w:t xml:space="preserve"> staff</w:t>
      </w:r>
      <w:r w:rsidR="0031507A" w:rsidRPr="00776009">
        <w:t xml:space="preserve"> </w:t>
      </w:r>
      <w:r w:rsidR="00ED437F" w:rsidRPr="00776009">
        <w:t>support.</w:t>
      </w:r>
      <w:r w:rsidR="00E67955" w:rsidRPr="00776009">
        <w:t xml:space="preserve"> </w:t>
      </w:r>
      <w:r w:rsidR="0026600C" w:rsidRPr="00776009">
        <w:t xml:space="preserve">Students with mental health issues and learning disorders could be better supported through </w:t>
      </w:r>
      <w:r w:rsidR="0031507A" w:rsidRPr="00776009">
        <w:t xml:space="preserve">additional </w:t>
      </w:r>
      <w:r w:rsidR="0026600C" w:rsidRPr="00776009">
        <w:t xml:space="preserve">training </w:t>
      </w:r>
      <w:r w:rsidR="0031507A" w:rsidRPr="00776009">
        <w:t xml:space="preserve">for </w:t>
      </w:r>
      <w:r w:rsidR="0026600C" w:rsidRPr="00776009">
        <w:t xml:space="preserve">support </w:t>
      </w:r>
      <w:r w:rsidR="00E95539" w:rsidRPr="00776009">
        <w:t xml:space="preserve">staff </w:t>
      </w:r>
      <w:r w:rsidR="0026600C" w:rsidRPr="00776009">
        <w:t>and academic staff at higher education providers, but DSP funding cannot be used for this purpose under the current guidelines.</w:t>
      </w:r>
    </w:p>
    <w:p w14:paraId="70A3FF51" w14:textId="77777777" w:rsidR="00BD03CB" w:rsidRPr="00776009" w:rsidRDefault="00BD03CB" w:rsidP="00CF6C5C">
      <w:pPr>
        <w:spacing w:after="0"/>
      </w:pPr>
    </w:p>
    <w:p w14:paraId="58FB9944" w14:textId="25D0341D" w:rsidR="0026600C" w:rsidRPr="00776009" w:rsidRDefault="00571F4B" w:rsidP="00CF6C5C">
      <w:pPr>
        <w:spacing w:after="0"/>
      </w:pPr>
      <w:r w:rsidRPr="00776009">
        <w:t>On the issue</w:t>
      </w:r>
      <w:r w:rsidR="002F4C9C" w:rsidRPr="00776009">
        <w:t>s</w:t>
      </w:r>
      <w:r w:rsidRPr="00776009">
        <w:t xml:space="preserve"> of curriculum development, accreditation and delivery, the evaluation </w:t>
      </w:r>
      <w:r w:rsidR="002F4C9C" w:rsidRPr="00776009">
        <w:t>noted that changes in educational practises and advances in technology have made it easier to make mainstream curricula available to all students</w:t>
      </w:r>
      <w:r w:rsidR="000843D9" w:rsidRPr="00776009">
        <w:t>.</w:t>
      </w:r>
      <w:r w:rsidR="002F4C9C" w:rsidRPr="00776009">
        <w:t xml:space="preserve"> The current focus of the DSP is on providing adjustment support for individual </w:t>
      </w:r>
      <w:r w:rsidR="00A44495" w:rsidRPr="00776009">
        <w:t xml:space="preserve">students; </w:t>
      </w:r>
      <w:r w:rsidR="002F4C9C" w:rsidRPr="00776009">
        <w:t xml:space="preserve">it does not </w:t>
      </w:r>
      <w:r w:rsidR="00FF350D" w:rsidRPr="00776009">
        <w:t>support</w:t>
      </w:r>
      <w:r w:rsidR="002F4C9C" w:rsidRPr="00776009">
        <w:t xml:space="preserve"> the application of universal design for learning</w:t>
      </w:r>
      <w:r w:rsidR="002F4C9C" w:rsidRPr="00776009">
        <w:rPr>
          <w:vertAlign w:val="superscript"/>
        </w:rPr>
        <w:footnoteReference w:id="1"/>
      </w:r>
      <w:r w:rsidR="002F4C9C" w:rsidRPr="00776009">
        <w:t xml:space="preserve"> principles</w:t>
      </w:r>
      <w:r w:rsidR="00FF350D" w:rsidRPr="00776009">
        <w:t xml:space="preserve"> that would lessen the need for adjustments</w:t>
      </w:r>
      <w:r w:rsidR="00E95539" w:rsidRPr="00776009">
        <w:t xml:space="preserve"> for students with disability</w:t>
      </w:r>
      <w:r w:rsidR="00FF350D" w:rsidRPr="00776009">
        <w:t>.</w:t>
      </w:r>
      <w:r w:rsidR="00A44495" w:rsidRPr="00776009">
        <w:t xml:space="preserve"> </w:t>
      </w:r>
      <w:r w:rsidR="000843D9" w:rsidRPr="00776009">
        <w:t xml:space="preserve">The </w:t>
      </w:r>
      <w:r w:rsidR="000843D9" w:rsidRPr="00776009">
        <w:lastRenderedPageBreak/>
        <w:t>evaluation suggested that the Government consider whether a change in the focus of the DSP is appropriate.</w:t>
      </w:r>
    </w:p>
    <w:p w14:paraId="4E1632C1" w14:textId="77777777" w:rsidR="009B165F" w:rsidRPr="00776009" w:rsidRDefault="009B165F" w:rsidP="00CF6C5C">
      <w:pPr>
        <w:spacing w:after="0"/>
        <w:rPr>
          <w:b/>
        </w:rPr>
      </w:pPr>
    </w:p>
    <w:p w14:paraId="48D9ACD4" w14:textId="49B33680" w:rsidR="00376F4E" w:rsidRPr="00776009" w:rsidRDefault="009B165F" w:rsidP="00CF6C5C">
      <w:pPr>
        <w:spacing w:after="120"/>
        <w:rPr>
          <w:b/>
        </w:rPr>
      </w:pPr>
      <w:r w:rsidRPr="00776009">
        <w:rPr>
          <w:b/>
        </w:rPr>
        <w:t>Effectiveness</w:t>
      </w:r>
    </w:p>
    <w:p w14:paraId="0A8F5D29" w14:textId="2DED9628" w:rsidR="001D0A94" w:rsidRPr="00776009" w:rsidRDefault="001C0A13" w:rsidP="005A6F3C">
      <w:pPr>
        <w:spacing w:after="0"/>
      </w:pPr>
      <w:r w:rsidRPr="00776009">
        <w:t>Under the present DSP guidelines, performance-based funding for providers to attract and support students with disability is limited to $1 million of the $7 million annual funding total. Only 56 per cent of provider staff surveyed as part of the evaluation agreed or strongly agreed with the statement ‘as a result of the DSP the university is able to implement programs to attract and retain students with disability’. The evaluation suggest</w:t>
      </w:r>
      <w:r w:rsidR="00521654" w:rsidRPr="00776009">
        <w:t>ed</w:t>
      </w:r>
      <w:r w:rsidRPr="00776009">
        <w:t xml:space="preserve"> this may be partly due to there being no requirement for providers to report on their use of performance</w:t>
      </w:r>
      <w:r w:rsidR="00521654" w:rsidRPr="00776009">
        <w:t>-</w:t>
      </w:r>
      <w:r w:rsidRPr="00776009">
        <w:t>based funds, making it difficult to link funding with activities.</w:t>
      </w:r>
      <w:r w:rsidR="00521654" w:rsidRPr="00776009">
        <w:t xml:space="preserve"> While some providers had strategies specifically to attract students with disability, other providers approached disability as part of their wider access and equity programs</w:t>
      </w:r>
      <w:r w:rsidR="0031507A" w:rsidRPr="00776009">
        <w:t>. O</w:t>
      </w:r>
      <w:r w:rsidR="00521654" w:rsidRPr="00776009">
        <w:t>ther providers had no specific programs at all. Overall, the evaluation found that DSP funding could be better used to improve providers’ capacity and resources to attract and retain student</w:t>
      </w:r>
      <w:r w:rsidR="00E95539" w:rsidRPr="00776009">
        <w:t>s</w:t>
      </w:r>
      <w:r w:rsidR="00521654" w:rsidRPr="00776009">
        <w:t xml:space="preserve"> with disability.</w:t>
      </w:r>
    </w:p>
    <w:p w14:paraId="27ECFEDD" w14:textId="77777777" w:rsidR="005A6F3C" w:rsidRPr="00776009" w:rsidRDefault="005A6F3C" w:rsidP="005A6F3C">
      <w:pPr>
        <w:spacing w:after="0"/>
      </w:pPr>
    </w:p>
    <w:p w14:paraId="5AEFA2DD" w14:textId="56DD7734" w:rsidR="00254206" w:rsidRPr="00776009" w:rsidRDefault="00045B1F" w:rsidP="005A6F3C">
      <w:pPr>
        <w:spacing w:after="120"/>
      </w:pPr>
      <w:r w:rsidRPr="00776009">
        <w:t>In response to the issues identified</w:t>
      </w:r>
      <w:r w:rsidR="00A44495" w:rsidRPr="00776009">
        <w:t>,</w:t>
      </w:r>
      <w:r w:rsidRPr="00776009">
        <w:t xml:space="preserve"> the evaluation </w:t>
      </w:r>
      <w:r w:rsidR="004D400E" w:rsidRPr="00776009">
        <w:t xml:space="preserve">suggested </w:t>
      </w:r>
      <w:r w:rsidRPr="00776009">
        <w:t xml:space="preserve">a number of potential </w:t>
      </w:r>
      <w:r w:rsidR="00254206" w:rsidRPr="00776009">
        <w:t>options for improvement:</w:t>
      </w:r>
    </w:p>
    <w:p w14:paraId="3647EF6C" w14:textId="77777777" w:rsidR="00254206" w:rsidRPr="00776009" w:rsidRDefault="00254206" w:rsidP="00254206">
      <w:pPr>
        <w:pStyle w:val="ListParagraph"/>
        <w:numPr>
          <w:ilvl w:val="0"/>
          <w:numId w:val="4"/>
        </w:numPr>
      </w:pPr>
      <w:r w:rsidRPr="00776009">
        <w:t>change claim reporting and/or eligibility thresholds, and/or the allocation of funding between program components, within the current program design</w:t>
      </w:r>
    </w:p>
    <w:p w14:paraId="00B8D4BC" w14:textId="77777777" w:rsidR="00254206" w:rsidRPr="00776009" w:rsidRDefault="00254206" w:rsidP="00254206">
      <w:pPr>
        <w:pStyle w:val="ListParagraph"/>
        <w:numPr>
          <w:ilvl w:val="0"/>
          <w:numId w:val="4"/>
        </w:numPr>
      </w:pPr>
      <w:r w:rsidRPr="00776009">
        <w:t>change the program design to:</w:t>
      </w:r>
    </w:p>
    <w:p w14:paraId="4DC5E33F" w14:textId="77777777" w:rsidR="00254206" w:rsidRPr="00776009" w:rsidRDefault="00254206" w:rsidP="00254206">
      <w:pPr>
        <w:pStyle w:val="ListParagraph"/>
        <w:numPr>
          <w:ilvl w:val="1"/>
          <w:numId w:val="4"/>
        </w:numPr>
      </w:pPr>
      <w:r w:rsidRPr="00776009">
        <w:t>allocate all DSP funding by formula or</w:t>
      </w:r>
    </w:p>
    <w:p w14:paraId="4A2AB790" w14:textId="0932F949" w:rsidR="00254206" w:rsidRPr="00776009" w:rsidRDefault="00254206">
      <w:pPr>
        <w:pStyle w:val="ListParagraph"/>
        <w:numPr>
          <w:ilvl w:val="1"/>
          <w:numId w:val="4"/>
        </w:numPr>
      </w:pPr>
      <w:r w:rsidRPr="00776009">
        <w:t>allocate all DSP funding by formula and include the DSP as a ring-fenced component of the Higher Education Participation and Partnerships Program (HEPPP)</w:t>
      </w:r>
    </w:p>
    <w:p w14:paraId="4DDC8882" w14:textId="0E747609" w:rsidR="00045B1F" w:rsidRPr="00776009" w:rsidRDefault="00045B1F" w:rsidP="00CF6C5C">
      <w:pPr>
        <w:pStyle w:val="ListParagraph"/>
        <w:numPr>
          <w:ilvl w:val="0"/>
          <w:numId w:val="4"/>
        </w:numPr>
      </w:pPr>
      <w:r w:rsidRPr="00776009">
        <w:t>change the reporting requirements for performance-based funding</w:t>
      </w:r>
    </w:p>
    <w:p w14:paraId="0F166EC8" w14:textId="3A87003D" w:rsidR="00045B1F" w:rsidRPr="00776009" w:rsidRDefault="00254206" w:rsidP="00CF6C5C">
      <w:pPr>
        <w:pStyle w:val="ListParagraph"/>
        <w:numPr>
          <w:ilvl w:val="0"/>
          <w:numId w:val="4"/>
        </w:numPr>
      </w:pPr>
      <w:r w:rsidRPr="00776009">
        <w:t xml:space="preserve">broaden the scope of activities that can be funded </w:t>
      </w:r>
      <w:r w:rsidR="00C85192" w:rsidRPr="00776009">
        <w:t>through the</w:t>
      </w:r>
      <w:r w:rsidRPr="00776009">
        <w:t xml:space="preserve"> DSP to include training for administrative and academic staff in support </w:t>
      </w:r>
      <w:r w:rsidR="005A16D5" w:rsidRPr="00776009">
        <w:t>of</w:t>
      </w:r>
      <w:r w:rsidRPr="00776009">
        <w:t xml:space="preserve"> students with disability</w:t>
      </w:r>
    </w:p>
    <w:p w14:paraId="7EE9DBA0" w14:textId="254535CF" w:rsidR="009739E0" w:rsidRPr="00776009" w:rsidRDefault="00045B1F" w:rsidP="0030104E">
      <w:pPr>
        <w:pStyle w:val="ListParagraph"/>
        <w:numPr>
          <w:ilvl w:val="0"/>
          <w:numId w:val="4"/>
        </w:numPr>
        <w:sectPr w:rsidR="009739E0" w:rsidRPr="00776009" w:rsidSect="004050C1">
          <w:pgSz w:w="11906" w:h="16838"/>
          <w:pgMar w:top="1985" w:right="1440" w:bottom="1440" w:left="1440" w:header="708" w:footer="1011" w:gutter="0"/>
          <w:cols w:space="708"/>
          <w:docGrid w:linePitch="360"/>
        </w:sectPr>
      </w:pPr>
      <w:proofErr w:type="gramStart"/>
      <w:r w:rsidRPr="00776009">
        <w:t>an</w:t>
      </w:r>
      <w:proofErr w:type="gramEnd"/>
      <w:r w:rsidRPr="00776009">
        <w:t xml:space="preserve"> expanded role for ADCET.</w:t>
      </w:r>
    </w:p>
    <w:p w14:paraId="1BD43891" w14:textId="32C20898" w:rsidR="00A60D81" w:rsidRPr="00776009" w:rsidRDefault="008F1964" w:rsidP="0030104E">
      <w:pPr>
        <w:pStyle w:val="Heading1"/>
      </w:pPr>
      <w:bookmarkStart w:id="4" w:name="_Toc465412620"/>
      <w:r w:rsidRPr="00776009">
        <w:lastRenderedPageBreak/>
        <w:t>Response to the Evaluation Findings</w:t>
      </w:r>
      <w:bookmarkEnd w:id="4"/>
    </w:p>
    <w:p w14:paraId="4112A4D4" w14:textId="5B449585" w:rsidR="002A5445" w:rsidRPr="00776009" w:rsidRDefault="005A6F3C" w:rsidP="005A6F3C">
      <w:pPr>
        <w:spacing w:after="0"/>
      </w:pPr>
      <w:r w:rsidRPr="00776009">
        <w:t>It is proposed</w:t>
      </w:r>
      <w:r w:rsidR="008B1C8D" w:rsidRPr="00776009">
        <w:t xml:space="preserve"> to make </w:t>
      </w:r>
      <w:r w:rsidR="00045B1F" w:rsidRPr="00776009">
        <w:t xml:space="preserve">the following </w:t>
      </w:r>
      <w:r w:rsidR="004E01D1" w:rsidRPr="00776009">
        <w:t>chang</w:t>
      </w:r>
      <w:r w:rsidR="00FB0912" w:rsidRPr="00776009">
        <w:t>es to the</w:t>
      </w:r>
      <w:r w:rsidR="004E01D1" w:rsidRPr="00776009">
        <w:t xml:space="preserve"> </w:t>
      </w:r>
      <w:r w:rsidR="00045B1F" w:rsidRPr="00776009">
        <w:t xml:space="preserve">DSP’s </w:t>
      </w:r>
      <w:r w:rsidR="004E01D1" w:rsidRPr="00776009">
        <w:t xml:space="preserve">design to </w:t>
      </w:r>
      <w:r w:rsidR="00045B1F" w:rsidRPr="00776009">
        <w:t xml:space="preserve">address issues raised by the program evaluation. These changes are to </w:t>
      </w:r>
      <w:r w:rsidR="004E01D1" w:rsidRPr="00776009">
        <w:t xml:space="preserve">reduce the administrative burden on </w:t>
      </w:r>
      <w:r w:rsidR="009D5F22" w:rsidRPr="00776009">
        <w:t>providers</w:t>
      </w:r>
      <w:r w:rsidR="005A16D5" w:rsidRPr="00776009">
        <w:t>;</w:t>
      </w:r>
      <w:r w:rsidR="004E01D1" w:rsidRPr="00776009">
        <w:t xml:space="preserve"> broaden the scope of eligible activities under the DSP</w:t>
      </w:r>
      <w:r w:rsidR="00604A24" w:rsidRPr="00776009">
        <w:t xml:space="preserve"> to include staff training and </w:t>
      </w:r>
      <w:r w:rsidR="006A22B0" w:rsidRPr="00776009">
        <w:t xml:space="preserve">modifications to course </w:t>
      </w:r>
      <w:proofErr w:type="gramStart"/>
      <w:r w:rsidR="006A22B0" w:rsidRPr="00776009">
        <w:t>content,</w:t>
      </w:r>
      <w:proofErr w:type="gramEnd"/>
      <w:r w:rsidR="006A22B0" w:rsidRPr="00776009">
        <w:t xml:space="preserve"> teaching materials and delivery methods</w:t>
      </w:r>
      <w:r w:rsidR="005A16D5" w:rsidRPr="00776009">
        <w:t>;</w:t>
      </w:r>
      <w:r w:rsidR="00CA6AEC" w:rsidRPr="00776009">
        <w:t xml:space="preserve"> </w:t>
      </w:r>
      <w:r w:rsidR="00045B1F" w:rsidRPr="00776009">
        <w:t>streamline program reporting while improving</w:t>
      </w:r>
      <w:r w:rsidR="005A16D5" w:rsidRPr="00776009">
        <w:t xml:space="preserve"> accountability for funding;</w:t>
      </w:r>
      <w:r w:rsidR="00045B1F" w:rsidRPr="00776009">
        <w:t xml:space="preserve"> </w:t>
      </w:r>
      <w:r w:rsidR="00CA6AEC" w:rsidRPr="00776009">
        <w:t>and provide further support to the sector through ADCET.</w:t>
      </w:r>
    </w:p>
    <w:p w14:paraId="32A6EC1E" w14:textId="77777777" w:rsidR="005A6F3C" w:rsidRPr="00776009" w:rsidRDefault="005A6F3C" w:rsidP="005A6F3C">
      <w:pPr>
        <w:pStyle w:val="Heading2"/>
        <w:spacing w:before="0"/>
      </w:pPr>
    </w:p>
    <w:p w14:paraId="20347B59" w14:textId="1FF0DD23" w:rsidR="008B1C8D" w:rsidRPr="00776009" w:rsidRDefault="00EB480F" w:rsidP="005A6F3C">
      <w:pPr>
        <w:pStyle w:val="Heading2"/>
        <w:spacing w:before="0" w:after="120"/>
      </w:pPr>
      <w:bookmarkStart w:id="5" w:name="_Toc465412621"/>
      <w:r w:rsidRPr="00776009">
        <w:t xml:space="preserve">Improving efficiency - </w:t>
      </w:r>
      <w:r w:rsidR="008B1C8D" w:rsidRPr="00776009">
        <w:t>Distribute all funding b</w:t>
      </w:r>
      <w:r w:rsidR="000A7872" w:rsidRPr="00776009">
        <w:t xml:space="preserve">y </w:t>
      </w:r>
      <w:r w:rsidR="008B1C8D" w:rsidRPr="00776009">
        <w:t>formula</w:t>
      </w:r>
      <w:bookmarkEnd w:id="5"/>
    </w:p>
    <w:p w14:paraId="0E263C92" w14:textId="25032E2E" w:rsidR="00DA2728" w:rsidRPr="00776009" w:rsidRDefault="00E22F2B" w:rsidP="008F1964">
      <w:r w:rsidRPr="00776009">
        <w:t xml:space="preserve">This proposal </w:t>
      </w:r>
      <w:r w:rsidR="00836D32" w:rsidRPr="00776009">
        <w:t>would</w:t>
      </w:r>
      <w:r w:rsidRPr="00776009">
        <w:t xml:space="preserve"> merge the ASSD and Performance-based Disability Support components of the program </w:t>
      </w:r>
      <w:r w:rsidR="00836D32" w:rsidRPr="00776009">
        <w:t xml:space="preserve">and </w:t>
      </w:r>
      <w:r w:rsidRPr="00776009">
        <w:t>allocat</w:t>
      </w:r>
      <w:r w:rsidR="00836D32" w:rsidRPr="00776009">
        <w:t>e</w:t>
      </w:r>
      <w:r w:rsidRPr="00776009">
        <w:t xml:space="preserve"> funding </w:t>
      </w:r>
      <w:r w:rsidR="00836D32" w:rsidRPr="00776009">
        <w:t>by formula</w:t>
      </w:r>
      <w:r w:rsidR="00247CA5" w:rsidRPr="00776009">
        <w:t xml:space="preserve"> (</w:t>
      </w:r>
      <w:r w:rsidR="00E671BD">
        <w:t xml:space="preserve">see </w:t>
      </w:r>
      <w:r w:rsidR="00E671BD">
        <w:rPr>
          <w:u w:val="single"/>
        </w:rPr>
        <w:t>Appendix</w:t>
      </w:r>
      <w:r w:rsidR="006A22B0" w:rsidRPr="00776009">
        <w:rPr>
          <w:u w:val="single"/>
        </w:rPr>
        <w:t xml:space="preserve"> A</w:t>
      </w:r>
      <w:r w:rsidR="00E671BD" w:rsidRPr="00E671BD">
        <w:t xml:space="preserve"> for additional information</w:t>
      </w:r>
      <w:r w:rsidR="00247CA5" w:rsidRPr="00776009">
        <w:t>)</w:t>
      </w:r>
      <w:r w:rsidR="00836D32" w:rsidRPr="00776009">
        <w:t xml:space="preserve">. </w:t>
      </w:r>
      <w:r w:rsidR="00E840E2" w:rsidRPr="00776009">
        <w:t xml:space="preserve">It would not abolish funding for activities currently conducted under the ASSD or Performance-based Disability Support components. Providers would still be able to fund educational support and equipment (as they do currently under ASSD) and activities to attract and support students with disability (as they do currently under the Performance-based Disability Support </w:t>
      </w:r>
      <w:r w:rsidR="00C911B5">
        <w:t>f</w:t>
      </w:r>
      <w:r w:rsidR="00E840E2" w:rsidRPr="00776009">
        <w:t>und</w:t>
      </w:r>
      <w:r w:rsidR="00C911B5">
        <w:t>ing</w:t>
      </w:r>
      <w:r w:rsidR="00E840E2" w:rsidRPr="00776009">
        <w:t xml:space="preserve">). All that would change is the means of allocating funding. </w:t>
      </w:r>
      <w:r w:rsidR="00DA2728" w:rsidRPr="00776009">
        <w:t xml:space="preserve">Allocating funding by formula would remove </w:t>
      </w:r>
      <w:r w:rsidR="00B70FBE" w:rsidRPr="00776009">
        <w:t xml:space="preserve">the </w:t>
      </w:r>
      <w:r w:rsidR="00DA2728" w:rsidRPr="00776009">
        <w:t xml:space="preserve">requirement for </w:t>
      </w:r>
      <w:r w:rsidR="00274735" w:rsidRPr="00776009">
        <w:t xml:space="preserve">providers </w:t>
      </w:r>
      <w:r w:rsidR="00DA2728" w:rsidRPr="00776009">
        <w:t>to submit claims for reimbursement of DSP expenses and significantly reduce the</w:t>
      </w:r>
      <w:r w:rsidR="005A16D5" w:rsidRPr="00776009">
        <w:t>ir</w:t>
      </w:r>
      <w:r w:rsidR="00DA2728" w:rsidRPr="00776009">
        <w:t xml:space="preserve"> administrative burden. </w:t>
      </w:r>
      <w:r w:rsidR="0041098C" w:rsidRPr="00776009">
        <w:t xml:space="preserve">It would also </w:t>
      </w:r>
      <w:r w:rsidR="002606F9" w:rsidRPr="00776009">
        <w:t>give each provider</w:t>
      </w:r>
      <w:r w:rsidR="0041098C" w:rsidRPr="00776009">
        <w:t xml:space="preserve"> greater certainty </w:t>
      </w:r>
      <w:r w:rsidR="00E61725" w:rsidRPr="00776009">
        <w:t>about</w:t>
      </w:r>
      <w:r w:rsidR="00892B3F" w:rsidRPr="00776009">
        <w:t xml:space="preserve"> </w:t>
      </w:r>
      <w:r w:rsidR="007C3C76" w:rsidRPr="00776009">
        <w:t>its amount of</w:t>
      </w:r>
      <w:r w:rsidR="00274735" w:rsidRPr="00776009">
        <w:t xml:space="preserve"> </w:t>
      </w:r>
      <w:r w:rsidR="0041098C" w:rsidRPr="00776009">
        <w:t>annual funding.</w:t>
      </w:r>
    </w:p>
    <w:p w14:paraId="1CB38906" w14:textId="7BA38659" w:rsidR="003401FD" w:rsidRPr="00776009" w:rsidRDefault="00836D32" w:rsidP="008F1964">
      <w:r w:rsidRPr="00776009">
        <w:t xml:space="preserve">The formula would be </w:t>
      </w:r>
      <w:r w:rsidR="00E22F2B" w:rsidRPr="00776009">
        <w:t>based on a</w:t>
      </w:r>
      <w:r w:rsidR="00F161AF" w:rsidRPr="00776009">
        <w:t xml:space="preserve"> </w:t>
      </w:r>
      <w:r w:rsidR="00274735" w:rsidRPr="00776009">
        <w:t xml:space="preserve">provider’s </w:t>
      </w:r>
      <w:r w:rsidR="00CE1857" w:rsidRPr="00776009">
        <w:t xml:space="preserve">number of students with disability as a </w:t>
      </w:r>
      <w:r w:rsidR="00E22F2B" w:rsidRPr="00776009">
        <w:t xml:space="preserve">proportion of </w:t>
      </w:r>
      <w:r w:rsidRPr="00776009">
        <w:t xml:space="preserve">the </w:t>
      </w:r>
      <w:r w:rsidR="00CE1857" w:rsidRPr="00776009">
        <w:t xml:space="preserve">total </w:t>
      </w:r>
      <w:r w:rsidRPr="00776009">
        <w:t xml:space="preserve">number </w:t>
      </w:r>
      <w:r w:rsidR="001F580D" w:rsidRPr="00776009">
        <w:t xml:space="preserve">of </w:t>
      </w:r>
      <w:r w:rsidR="00E22F2B" w:rsidRPr="00776009">
        <w:t>students with disability</w:t>
      </w:r>
      <w:r w:rsidR="00CE1857" w:rsidRPr="00776009">
        <w:t xml:space="preserve"> enrolled across eligible providers</w:t>
      </w:r>
      <w:r w:rsidR="00E22F2B" w:rsidRPr="00776009">
        <w:t>.</w:t>
      </w:r>
      <w:r w:rsidR="00C661C8" w:rsidRPr="00776009">
        <w:t xml:space="preserve"> This formula </w:t>
      </w:r>
      <w:r w:rsidR="0041098C" w:rsidRPr="00776009">
        <w:t xml:space="preserve">is proposed </w:t>
      </w:r>
      <w:r w:rsidR="00C661C8" w:rsidRPr="00776009">
        <w:t>due to its simplicity</w:t>
      </w:r>
      <w:r w:rsidR="003401FD" w:rsidRPr="00776009">
        <w:t xml:space="preserve"> and</w:t>
      </w:r>
      <w:r w:rsidR="00C661C8" w:rsidRPr="00776009">
        <w:t xml:space="preserve"> predictability</w:t>
      </w:r>
      <w:r w:rsidR="00F161AF" w:rsidRPr="00776009">
        <w:t>. It is also</w:t>
      </w:r>
      <w:r w:rsidR="00427C91" w:rsidRPr="00776009">
        <w:t xml:space="preserve"> based on </w:t>
      </w:r>
      <w:r w:rsidR="00F161AF" w:rsidRPr="00776009">
        <w:t xml:space="preserve">the </w:t>
      </w:r>
      <w:r w:rsidR="00427C91" w:rsidRPr="00776009">
        <w:t xml:space="preserve">apparent need </w:t>
      </w:r>
      <w:r w:rsidR="00F161AF" w:rsidRPr="00776009">
        <w:t xml:space="preserve">of each provider </w:t>
      </w:r>
      <w:r w:rsidR="00427C91" w:rsidRPr="00776009">
        <w:t>as indicated by the number of students with disability</w:t>
      </w:r>
      <w:r w:rsidR="00F161AF" w:rsidRPr="00776009">
        <w:t xml:space="preserve"> they have enrolled.</w:t>
      </w:r>
    </w:p>
    <w:p w14:paraId="672920E5" w14:textId="2A9B25AA" w:rsidR="00667124" w:rsidRPr="00776009" w:rsidRDefault="004E2271" w:rsidP="00CF6C5C">
      <w:r w:rsidRPr="00776009">
        <w:t xml:space="preserve">The Government acknowledges that </w:t>
      </w:r>
      <w:r w:rsidR="00274735" w:rsidRPr="00776009">
        <w:t xml:space="preserve">providers </w:t>
      </w:r>
      <w:r w:rsidR="003401FD" w:rsidRPr="00776009">
        <w:t>can face unpredictable high costs to support some students with disability</w:t>
      </w:r>
      <w:r w:rsidR="00667124" w:rsidRPr="00776009">
        <w:t xml:space="preserve">, but expects that eligible providers will continue to meet the costs of complying with their legal obligations from their base funding, supplemented by the DSP. </w:t>
      </w:r>
      <w:r w:rsidRPr="00776009">
        <w:t xml:space="preserve">DSP resourcing currently meets around </w:t>
      </w:r>
      <w:r w:rsidR="006673D9" w:rsidRPr="00776009">
        <w:t>50</w:t>
      </w:r>
      <w:r w:rsidR="005A16D5" w:rsidRPr="00776009">
        <w:t xml:space="preserve"> </w:t>
      </w:r>
      <w:r w:rsidR="006673D9" w:rsidRPr="00776009">
        <w:t>-</w:t>
      </w:r>
      <w:r w:rsidR="005A16D5" w:rsidRPr="00776009">
        <w:t xml:space="preserve"> </w:t>
      </w:r>
      <w:r w:rsidRPr="00776009">
        <w:t xml:space="preserve">60 per cent of the eligible costs incurred by </w:t>
      </w:r>
      <w:r w:rsidR="009D5F22" w:rsidRPr="00776009">
        <w:t>providers</w:t>
      </w:r>
      <w:r w:rsidR="00667124" w:rsidRPr="00776009">
        <w:t xml:space="preserve">. </w:t>
      </w:r>
    </w:p>
    <w:p w14:paraId="524BF4D5" w14:textId="1A95F942" w:rsidR="00B77BEC" w:rsidRPr="00776009" w:rsidRDefault="004E2271" w:rsidP="00CF6C5C">
      <w:r w:rsidRPr="00776009">
        <w:t xml:space="preserve">The Government is also aware that not all students with disability who receive support from </w:t>
      </w:r>
      <w:r w:rsidR="00274735" w:rsidRPr="00776009">
        <w:t xml:space="preserve">providers </w:t>
      </w:r>
      <w:r w:rsidRPr="00776009">
        <w:t>disclose their disability</w:t>
      </w:r>
      <w:r w:rsidR="000518CC" w:rsidRPr="00776009">
        <w:t>,</w:t>
      </w:r>
      <w:r w:rsidRPr="00776009">
        <w:t xml:space="preserve"> and are </w:t>
      </w:r>
      <w:r w:rsidR="000518CC" w:rsidRPr="00776009">
        <w:t xml:space="preserve">therefore </w:t>
      </w:r>
      <w:r w:rsidRPr="00776009">
        <w:t xml:space="preserve">not included in </w:t>
      </w:r>
      <w:r w:rsidR="007003D7" w:rsidRPr="00776009">
        <w:t xml:space="preserve">the </w:t>
      </w:r>
      <w:r w:rsidRPr="00776009">
        <w:t xml:space="preserve">number of students with disability that would be used in the proposed formula. </w:t>
      </w:r>
      <w:r w:rsidR="00BD6A2D" w:rsidRPr="00776009">
        <w:t xml:space="preserve">The </w:t>
      </w:r>
      <w:r w:rsidR="00274735" w:rsidRPr="00776009">
        <w:t>G</w:t>
      </w:r>
      <w:r w:rsidR="00BD6A2D" w:rsidRPr="00776009">
        <w:t xml:space="preserve">overnment is funding a project under the </w:t>
      </w:r>
      <w:r w:rsidR="002A5445" w:rsidRPr="00776009">
        <w:t>HEPPP</w:t>
      </w:r>
      <w:r w:rsidR="00BD6A2D" w:rsidRPr="00776009">
        <w:t xml:space="preserve"> National Priorities Pool </w:t>
      </w:r>
      <w:r w:rsidR="007C3C76" w:rsidRPr="00776009">
        <w:t xml:space="preserve">to enhance the ways in which students with disability are identified, including how best to support and encourage their self-disclosure. The Government </w:t>
      </w:r>
      <w:r w:rsidR="00DE70CB" w:rsidRPr="00776009">
        <w:t xml:space="preserve">is </w:t>
      </w:r>
      <w:r w:rsidR="007C3C76" w:rsidRPr="00776009">
        <w:t xml:space="preserve">also </w:t>
      </w:r>
      <w:r w:rsidR="00DE70CB" w:rsidRPr="00776009">
        <w:t>seeking</w:t>
      </w:r>
      <w:r w:rsidR="007C3C76" w:rsidRPr="00776009">
        <w:t xml:space="preserve"> to enhance how providers collect this information and to improve the accuracy of the data they collect. This project will consider what effective practices are currently being used by providers to encourage the self-disclosure of people with disability and canvass what changes would need to be made to providers’ enrolment procedures if those practices were to be implemented by all providers.</w:t>
      </w:r>
    </w:p>
    <w:p w14:paraId="06881F7D" w14:textId="77777777" w:rsidR="00B77BEC" w:rsidRPr="00776009" w:rsidRDefault="00B77BEC">
      <w:r w:rsidRPr="00776009">
        <w:br w:type="page"/>
      </w:r>
    </w:p>
    <w:p w14:paraId="41E53207" w14:textId="25150B25" w:rsidR="00D97327" w:rsidRPr="00776009" w:rsidRDefault="00D97327" w:rsidP="00CF6C5C">
      <w:pPr>
        <w:pStyle w:val="Heading3"/>
        <w:spacing w:before="240" w:after="120"/>
      </w:pPr>
      <w:bookmarkStart w:id="6" w:name="_Toc465412622"/>
      <w:r w:rsidRPr="00776009">
        <w:lastRenderedPageBreak/>
        <w:t>Proposed formula</w:t>
      </w:r>
      <w:bookmarkEnd w:id="6"/>
    </w:p>
    <w:p w14:paraId="6B95EA5A" w14:textId="3D5B0BEC" w:rsidR="009B7B5E" w:rsidRPr="00776009" w:rsidRDefault="00DE6D90" w:rsidP="009B7B5E">
      <w:pPr>
        <w:rPr>
          <w:rFonts w:cs="Arial"/>
          <w:color w:val="000000"/>
        </w:rPr>
      </w:pPr>
      <w:r w:rsidRPr="00776009">
        <w:t>The proposed funding formula</w:t>
      </w:r>
      <w:r w:rsidR="00247CA5" w:rsidRPr="00776009">
        <w:t xml:space="preserve">, as specified </w:t>
      </w:r>
      <w:r w:rsidR="00197AAB" w:rsidRPr="00776009">
        <w:t>under ‘Allocation of Funds’ in the proposed program parameters</w:t>
      </w:r>
      <w:r w:rsidR="00247CA5" w:rsidRPr="00776009">
        <w:t>,</w:t>
      </w:r>
      <w:r w:rsidRPr="00776009">
        <w:t xml:space="preserve"> is:</w:t>
      </w:r>
    </w:p>
    <w:tbl>
      <w:tblPr>
        <w:tblW w:w="4872" w:type="pct"/>
        <w:tblLook w:val="01E0" w:firstRow="1" w:lastRow="1" w:firstColumn="1" w:lastColumn="1" w:noHBand="0" w:noVBand="0"/>
      </w:tblPr>
      <w:tblGrid>
        <w:gridCol w:w="2433"/>
        <w:gridCol w:w="859"/>
        <w:gridCol w:w="5713"/>
      </w:tblGrid>
      <w:tr w:rsidR="0035025D" w:rsidRPr="00776009" w14:paraId="6F93DE0A" w14:textId="77777777" w:rsidTr="00FF4F3F">
        <w:tc>
          <w:tcPr>
            <w:tcW w:w="1351" w:type="pct"/>
            <w:hideMark/>
          </w:tcPr>
          <w:p w14:paraId="21FA03EA" w14:textId="77777777" w:rsidR="0035025D" w:rsidRPr="00776009" w:rsidRDefault="0035025D" w:rsidP="00FF4F3F">
            <w:pPr>
              <w:tabs>
                <w:tab w:val="left" w:pos="567"/>
                <w:tab w:val="left" w:pos="600"/>
                <w:tab w:val="left" w:pos="851"/>
                <w:tab w:val="left" w:pos="1100"/>
                <w:tab w:val="left" w:pos="1134"/>
              </w:tabs>
              <w:ind w:left="1134"/>
              <w:rPr>
                <w:rFonts w:cstheme="minorHAnsi"/>
                <w:color w:val="000000"/>
              </w:rPr>
            </w:pPr>
            <w:r w:rsidRPr="00776009">
              <w:rPr>
                <w:rFonts w:cstheme="minorHAnsi"/>
                <w:color w:val="000000"/>
              </w:rPr>
              <w:t>Grant</w:t>
            </w:r>
          </w:p>
        </w:tc>
        <w:tc>
          <w:tcPr>
            <w:tcW w:w="477" w:type="pct"/>
            <w:hideMark/>
          </w:tcPr>
          <w:p w14:paraId="0F74EF7E" w14:textId="77777777" w:rsidR="0035025D" w:rsidRPr="00776009" w:rsidRDefault="0035025D" w:rsidP="00FF4F3F">
            <w:pPr>
              <w:ind w:left="-108"/>
              <w:rPr>
                <w:rFonts w:cstheme="minorHAnsi"/>
                <w:color w:val="000000"/>
              </w:rPr>
            </w:pPr>
            <w:r w:rsidRPr="00776009">
              <w:rPr>
                <w:rFonts w:cstheme="minorHAnsi"/>
                <w:color w:val="000000"/>
              </w:rPr>
              <w:t>=</w:t>
            </w:r>
          </w:p>
        </w:tc>
        <w:tc>
          <w:tcPr>
            <w:tcW w:w="3172" w:type="pct"/>
            <w:hideMark/>
          </w:tcPr>
          <w:p w14:paraId="14147331" w14:textId="77777777" w:rsidR="0035025D" w:rsidRPr="00776009" w:rsidRDefault="0035025D" w:rsidP="00FF4F3F">
            <w:pPr>
              <w:rPr>
                <w:rFonts w:cstheme="minorHAnsi"/>
                <w:color w:val="000000"/>
              </w:rPr>
            </w:pPr>
            <w:r w:rsidRPr="00776009">
              <w:rPr>
                <w:rFonts w:cstheme="minorHAnsi"/>
                <w:color w:val="000000"/>
              </w:rPr>
              <w:t>(A/B) x C</w:t>
            </w:r>
          </w:p>
        </w:tc>
      </w:tr>
      <w:tr w:rsidR="0035025D" w:rsidRPr="00776009" w14:paraId="44E80AA3" w14:textId="77777777" w:rsidTr="00FF4F3F">
        <w:tc>
          <w:tcPr>
            <w:tcW w:w="1351" w:type="pct"/>
          </w:tcPr>
          <w:p w14:paraId="16BA0B2A" w14:textId="77777777" w:rsidR="0035025D" w:rsidRPr="00776009" w:rsidRDefault="0035025D" w:rsidP="00FF4F3F">
            <w:pPr>
              <w:pStyle w:val="BodyText1"/>
              <w:tabs>
                <w:tab w:val="left" w:pos="122"/>
                <w:tab w:val="left" w:pos="589"/>
              </w:tabs>
              <w:rPr>
                <w:rFonts w:asciiTheme="minorHAnsi" w:hAnsiTheme="minorHAnsi" w:cstheme="minorHAnsi"/>
                <w:color w:val="000000"/>
                <w:sz w:val="22"/>
                <w:szCs w:val="22"/>
              </w:rPr>
            </w:pPr>
          </w:p>
        </w:tc>
        <w:tc>
          <w:tcPr>
            <w:tcW w:w="477" w:type="pct"/>
          </w:tcPr>
          <w:p w14:paraId="7A4B0287" w14:textId="77777777" w:rsidR="0035025D" w:rsidRPr="00776009" w:rsidRDefault="0035025D" w:rsidP="00FF4F3F">
            <w:pPr>
              <w:pStyle w:val="BodyText1"/>
              <w:tabs>
                <w:tab w:val="left" w:pos="122"/>
              </w:tabs>
              <w:rPr>
                <w:rFonts w:asciiTheme="minorHAnsi" w:hAnsiTheme="minorHAnsi" w:cstheme="minorHAnsi"/>
                <w:b/>
                <w:bCs/>
                <w:color w:val="000000"/>
                <w:sz w:val="22"/>
                <w:szCs w:val="22"/>
              </w:rPr>
            </w:pPr>
          </w:p>
        </w:tc>
        <w:tc>
          <w:tcPr>
            <w:tcW w:w="3172" w:type="pct"/>
          </w:tcPr>
          <w:p w14:paraId="2AACDEB2" w14:textId="77777777" w:rsidR="0035025D" w:rsidRPr="00776009" w:rsidRDefault="0035025D" w:rsidP="00FF4F3F">
            <w:pPr>
              <w:pStyle w:val="BodyText1"/>
              <w:ind w:left="-108"/>
              <w:rPr>
                <w:rFonts w:asciiTheme="minorHAnsi" w:hAnsiTheme="minorHAnsi" w:cstheme="minorHAnsi"/>
                <w:color w:val="000000"/>
                <w:sz w:val="22"/>
                <w:szCs w:val="22"/>
              </w:rPr>
            </w:pPr>
          </w:p>
        </w:tc>
      </w:tr>
      <w:tr w:rsidR="0035025D" w:rsidRPr="00776009" w14:paraId="006C483B" w14:textId="77777777" w:rsidTr="00DE5D5E">
        <w:tc>
          <w:tcPr>
            <w:tcW w:w="1351" w:type="pct"/>
            <w:hideMark/>
          </w:tcPr>
          <w:p w14:paraId="14ECDCFE" w14:textId="77777777" w:rsidR="0035025D" w:rsidRPr="00776009" w:rsidRDefault="0035025D">
            <w:pPr>
              <w:pStyle w:val="BodyText1"/>
              <w:tabs>
                <w:tab w:val="left" w:pos="589"/>
                <w:tab w:val="left" w:pos="1134"/>
              </w:tabs>
              <w:ind w:right="-457" w:firstLine="1134"/>
              <w:rPr>
                <w:rFonts w:asciiTheme="minorHAnsi" w:hAnsiTheme="minorHAnsi" w:cstheme="minorHAnsi"/>
                <w:color w:val="000000"/>
                <w:sz w:val="22"/>
                <w:szCs w:val="22"/>
              </w:rPr>
            </w:pPr>
            <w:r w:rsidRPr="00776009">
              <w:rPr>
                <w:rFonts w:asciiTheme="minorHAnsi" w:hAnsiTheme="minorHAnsi" w:cstheme="minorHAnsi"/>
                <w:color w:val="000000"/>
                <w:sz w:val="22"/>
                <w:szCs w:val="22"/>
              </w:rPr>
              <w:t>Where:</w:t>
            </w:r>
          </w:p>
        </w:tc>
        <w:tc>
          <w:tcPr>
            <w:tcW w:w="477" w:type="pct"/>
            <w:vAlign w:val="center"/>
            <w:hideMark/>
          </w:tcPr>
          <w:p w14:paraId="5DE6C494" w14:textId="77777777" w:rsidR="0035025D" w:rsidRPr="00776009" w:rsidRDefault="0035025D" w:rsidP="00DE5D5E">
            <w:pPr>
              <w:pStyle w:val="BodyText1"/>
              <w:ind w:left="-108"/>
              <w:rPr>
                <w:rFonts w:asciiTheme="minorHAnsi" w:hAnsiTheme="minorHAnsi" w:cstheme="minorHAnsi"/>
                <w:bCs/>
                <w:color w:val="000000"/>
                <w:sz w:val="22"/>
                <w:szCs w:val="22"/>
              </w:rPr>
            </w:pPr>
            <w:r w:rsidRPr="00776009">
              <w:rPr>
                <w:rFonts w:asciiTheme="minorHAnsi" w:hAnsiTheme="minorHAnsi" w:cstheme="minorHAnsi"/>
                <w:bCs/>
                <w:color w:val="000000"/>
                <w:sz w:val="22"/>
                <w:szCs w:val="22"/>
              </w:rPr>
              <w:t>A</w:t>
            </w:r>
          </w:p>
        </w:tc>
        <w:tc>
          <w:tcPr>
            <w:tcW w:w="3172" w:type="pct"/>
            <w:hideMark/>
          </w:tcPr>
          <w:p w14:paraId="79104677" w14:textId="3C2758D7" w:rsidR="0035025D" w:rsidRPr="00776009" w:rsidRDefault="0035025D" w:rsidP="008B5508">
            <w:pPr>
              <w:pStyle w:val="BodyText1"/>
              <w:spacing w:before="60"/>
              <w:rPr>
                <w:rFonts w:asciiTheme="minorHAnsi" w:hAnsiTheme="minorHAnsi" w:cstheme="minorHAnsi"/>
                <w:color w:val="000000"/>
                <w:sz w:val="22"/>
                <w:szCs w:val="22"/>
              </w:rPr>
            </w:pPr>
            <w:r w:rsidRPr="00776009">
              <w:rPr>
                <w:rFonts w:asciiTheme="minorHAnsi" w:hAnsiTheme="minorHAnsi" w:cstheme="minorHAnsi"/>
                <w:color w:val="000000"/>
                <w:sz w:val="22"/>
                <w:szCs w:val="22"/>
              </w:rPr>
              <w:t>is the number of domestic students with disability enrolled at the</w:t>
            </w:r>
            <w:r w:rsidR="00DE6D90" w:rsidRPr="00776009">
              <w:rPr>
                <w:rFonts w:asciiTheme="minorHAnsi" w:hAnsiTheme="minorHAnsi" w:cstheme="minorHAnsi"/>
                <w:color w:val="000000"/>
                <w:sz w:val="22"/>
                <w:szCs w:val="22"/>
              </w:rPr>
              <w:t xml:space="preserve"> eligible</w:t>
            </w:r>
            <w:r w:rsidRPr="00776009">
              <w:rPr>
                <w:rFonts w:asciiTheme="minorHAnsi" w:hAnsiTheme="minorHAnsi" w:cstheme="minorHAnsi"/>
                <w:color w:val="000000"/>
                <w:sz w:val="22"/>
                <w:szCs w:val="22"/>
              </w:rPr>
              <w:t xml:space="preserve"> higher education provider in the most recent year for which data is available</w:t>
            </w:r>
          </w:p>
        </w:tc>
      </w:tr>
      <w:tr w:rsidR="0035025D" w:rsidRPr="00776009" w14:paraId="4272F95A" w14:textId="77777777" w:rsidTr="00DE5D5E">
        <w:tc>
          <w:tcPr>
            <w:tcW w:w="1351" w:type="pct"/>
          </w:tcPr>
          <w:p w14:paraId="551BC2CB" w14:textId="77777777" w:rsidR="0035025D" w:rsidRPr="00776009" w:rsidRDefault="0035025D">
            <w:pPr>
              <w:pStyle w:val="BodyText1"/>
              <w:ind w:right="-108"/>
              <w:rPr>
                <w:rFonts w:asciiTheme="minorHAnsi" w:hAnsiTheme="minorHAnsi" w:cstheme="minorHAnsi"/>
                <w:color w:val="000000"/>
                <w:sz w:val="22"/>
                <w:szCs w:val="22"/>
              </w:rPr>
            </w:pPr>
          </w:p>
        </w:tc>
        <w:tc>
          <w:tcPr>
            <w:tcW w:w="477" w:type="pct"/>
            <w:vAlign w:val="center"/>
            <w:hideMark/>
          </w:tcPr>
          <w:p w14:paraId="250CCAE7" w14:textId="77777777" w:rsidR="0035025D" w:rsidRPr="00776009" w:rsidRDefault="0035025D" w:rsidP="00DE5D5E">
            <w:pPr>
              <w:pStyle w:val="BodyText1"/>
              <w:ind w:left="-108" w:right="-108"/>
              <w:rPr>
                <w:rFonts w:asciiTheme="minorHAnsi" w:hAnsiTheme="minorHAnsi" w:cstheme="minorHAnsi"/>
                <w:color w:val="000000"/>
                <w:sz w:val="22"/>
                <w:szCs w:val="22"/>
              </w:rPr>
            </w:pPr>
            <w:r w:rsidRPr="00776009">
              <w:rPr>
                <w:rFonts w:asciiTheme="minorHAnsi" w:hAnsiTheme="minorHAnsi" w:cstheme="minorHAnsi"/>
                <w:bCs/>
                <w:color w:val="000000"/>
                <w:sz w:val="22"/>
                <w:szCs w:val="22"/>
              </w:rPr>
              <w:t>B</w:t>
            </w:r>
          </w:p>
        </w:tc>
        <w:tc>
          <w:tcPr>
            <w:tcW w:w="3172" w:type="pct"/>
            <w:hideMark/>
          </w:tcPr>
          <w:p w14:paraId="76D0C719" w14:textId="19CFDC24" w:rsidR="0035025D" w:rsidRPr="00776009" w:rsidRDefault="0035025D">
            <w:pPr>
              <w:pStyle w:val="BodyText1"/>
              <w:spacing w:before="60"/>
              <w:ind w:left="-10"/>
              <w:rPr>
                <w:rFonts w:asciiTheme="minorHAnsi" w:hAnsiTheme="minorHAnsi" w:cstheme="minorHAnsi"/>
                <w:color w:val="000000"/>
                <w:sz w:val="22"/>
                <w:szCs w:val="22"/>
              </w:rPr>
            </w:pPr>
            <w:r w:rsidRPr="00776009">
              <w:rPr>
                <w:rFonts w:asciiTheme="minorHAnsi" w:hAnsiTheme="minorHAnsi" w:cstheme="minorHAnsi"/>
                <w:color w:val="000000"/>
                <w:sz w:val="22"/>
                <w:szCs w:val="22"/>
              </w:rPr>
              <w:t>is the total number of domestic students with disability enrolled at all eligible higher education providers in the most recent year for which data is available</w:t>
            </w:r>
          </w:p>
        </w:tc>
      </w:tr>
      <w:tr w:rsidR="0035025D" w:rsidRPr="00776009" w14:paraId="1851421C" w14:textId="77777777" w:rsidTr="00DE5D5E">
        <w:trPr>
          <w:trHeight w:val="383"/>
        </w:trPr>
        <w:tc>
          <w:tcPr>
            <w:tcW w:w="1351" w:type="pct"/>
          </w:tcPr>
          <w:p w14:paraId="4FD4C17E" w14:textId="77777777" w:rsidR="0035025D" w:rsidRPr="00776009" w:rsidRDefault="0035025D" w:rsidP="00FF4F3F">
            <w:pPr>
              <w:pStyle w:val="BodyText1"/>
              <w:ind w:right="-108"/>
              <w:rPr>
                <w:rFonts w:asciiTheme="minorHAnsi" w:hAnsiTheme="minorHAnsi" w:cstheme="minorHAnsi"/>
                <w:color w:val="000000"/>
                <w:sz w:val="22"/>
                <w:szCs w:val="22"/>
              </w:rPr>
            </w:pPr>
          </w:p>
        </w:tc>
        <w:tc>
          <w:tcPr>
            <w:tcW w:w="477" w:type="pct"/>
            <w:vAlign w:val="center"/>
          </w:tcPr>
          <w:p w14:paraId="300FE9C6" w14:textId="77777777" w:rsidR="0035025D" w:rsidRPr="00776009" w:rsidRDefault="0035025D" w:rsidP="00DE5D5E">
            <w:pPr>
              <w:pStyle w:val="BodyText1"/>
              <w:ind w:left="-108" w:right="-108"/>
              <w:rPr>
                <w:rFonts w:asciiTheme="minorHAnsi" w:hAnsiTheme="minorHAnsi" w:cstheme="minorHAnsi"/>
                <w:bCs/>
                <w:color w:val="000000"/>
                <w:sz w:val="22"/>
                <w:szCs w:val="22"/>
              </w:rPr>
            </w:pPr>
            <w:r w:rsidRPr="00776009">
              <w:rPr>
                <w:rFonts w:asciiTheme="minorHAnsi" w:hAnsiTheme="minorHAnsi" w:cstheme="minorHAnsi"/>
                <w:bCs/>
                <w:color w:val="000000"/>
                <w:sz w:val="22"/>
                <w:szCs w:val="22"/>
              </w:rPr>
              <w:t>C</w:t>
            </w:r>
          </w:p>
        </w:tc>
        <w:tc>
          <w:tcPr>
            <w:tcW w:w="3172" w:type="pct"/>
          </w:tcPr>
          <w:p w14:paraId="6D881317" w14:textId="44AEF035" w:rsidR="0035025D" w:rsidRPr="00776009" w:rsidRDefault="0035025D">
            <w:pPr>
              <w:pStyle w:val="BodyText1"/>
              <w:spacing w:before="60"/>
              <w:ind w:left="-10"/>
              <w:rPr>
                <w:rFonts w:asciiTheme="minorHAnsi" w:hAnsiTheme="minorHAnsi" w:cstheme="minorHAnsi"/>
                <w:color w:val="000000"/>
                <w:sz w:val="22"/>
                <w:szCs w:val="22"/>
              </w:rPr>
            </w:pPr>
            <w:proofErr w:type="gramStart"/>
            <w:r w:rsidRPr="00776009">
              <w:rPr>
                <w:rFonts w:asciiTheme="minorHAnsi" w:hAnsiTheme="minorHAnsi" w:cstheme="minorHAnsi"/>
                <w:color w:val="000000"/>
                <w:sz w:val="22"/>
                <w:szCs w:val="22"/>
              </w:rPr>
              <w:t>is</w:t>
            </w:r>
            <w:proofErr w:type="gramEnd"/>
            <w:r w:rsidRPr="00776009">
              <w:rPr>
                <w:rFonts w:asciiTheme="minorHAnsi" w:hAnsiTheme="minorHAnsi" w:cstheme="minorHAnsi"/>
                <w:color w:val="000000"/>
                <w:sz w:val="22"/>
                <w:szCs w:val="22"/>
              </w:rPr>
              <w:t xml:space="preserve"> the total annual funding pool for the Higher Education Disability Support Program </w:t>
            </w:r>
            <w:r w:rsidR="007C3C76" w:rsidRPr="00776009">
              <w:rPr>
                <w:rFonts w:asciiTheme="minorHAnsi" w:hAnsiTheme="minorHAnsi" w:cstheme="minorHAnsi"/>
                <w:color w:val="000000"/>
                <w:sz w:val="22"/>
                <w:szCs w:val="22"/>
              </w:rPr>
              <w:t xml:space="preserve">minus </w:t>
            </w:r>
            <w:r w:rsidRPr="00776009">
              <w:rPr>
                <w:rFonts w:asciiTheme="minorHAnsi" w:hAnsiTheme="minorHAnsi" w:cstheme="minorHAnsi"/>
                <w:color w:val="000000"/>
                <w:sz w:val="22"/>
                <w:szCs w:val="22"/>
              </w:rPr>
              <w:t>the amount allocated to the Australian Disability Clearinghouse on Education and Training component.</w:t>
            </w:r>
          </w:p>
        </w:tc>
      </w:tr>
    </w:tbl>
    <w:p w14:paraId="28CEFCFD" w14:textId="77777777" w:rsidR="0041098C" w:rsidRPr="00776009" w:rsidRDefault="0041098C" w:rsidP="0041098C"/>
    <w:p w14:paraId="0AC8515C" w14:textId="14891A7A" w:rsidR="00F97472" w:rsidRPr="00776009" w:rsidRDefault="00B8655C" w:rsidP="008F1964">
      <w:r w:rsidRPr="00776009">
        <w:t xml:space="preserve">In comparison to historical </w:t>
      </w:r>
      <w:r w:rsidR="004E2271" w:rsidRPr="00776009">
        <w:t>funding received</w:t>
      </w:r>
      <w:r w:rsidRPr="00776009">
        <w:t xml:space="preserve"> under the DSP, d</w:t>
      </w:r>
      <w:r w:rsidR="0041098C" w:rsidRPr="00776009">
        <w:t xml:space="preserve">istributing funding based on the </w:t>
      </w:r>
      <w:r w:rsidRPr="00776009">
        <w:t xml:space="preserve">proposed </w:t>
      </w:r>
      <w:r w:rsidR="0041098C" w:rsidRPr="00776009">
        <w:t xml:space="preserve">formula will increase the </w:t>
      </w:r>
      <w:r w:rsidR="004E2271" w:rsidRPr="00776009">
        <w:t>amount</w:t>
      </w:r>
      <w:r w:rsidR="0041098C" w:rsidRPr="00776009">
        <w:t xml:space="preserve"> provided to some </w:t>
      </w:r>
      <w:r w:rsidR="00813820" w:rsidRPr="00776009">
        <w:t xml:space="preserve">providers </w:t>
      </w:r>
      <w:r w:rsidR="0041098C" w:rsidRPr="00776009">
        <w:t xml:space="preserve">but decrease it to others. </w:t>
      </w:r>
      <w:r w:rsidR="004E2271" w:rsidRPr="00776009">
        <w:t>H</w:t>
      </w:r>
      <w:r w:rsidR="0041098C" w:rsidRPr="00776009">
        <w:t>ad all</w:t>
      </w:r>
      <w:r w:rsidR="00495910" w:rsidRPr="00776009">
        <w:t xml:space="preserve"> provider</w:t>
      </w:r>
      <w:r w:rsidR="0041098C" w:rsidRPr="00776009">
        <w:t xml:space="preserve"> funding been distributed by the proposed formula in 2015, two thirds of providers would have received more funding </w:t>
      </w:r>
      <w:r w:rsidR="002606F9" w:rsidRPr="00776009">
        <w:t xml:space="preserve">while one third would have received less </w:t>
      </w:r>
      <w:r w:rsidR="0041098C" w:rsidRPr="00776009">
        <w:t xml:space="preserve">(see </w:t>
      </w:r>
      <w:r w:rsidR="00E671BD">
        <w:rPr>
          <w:u w:val="single"/>
        </w:rPr>
        <w:t>Appendix</w:t>
      </w:r>
      <w:r w:rsidR="0041098C" w:rsidRPr="00776009">
        <w:rPr>
          <w:u w:val="single"/>
        </w:rPr>
        <w:t xml:space="preserve"> </w:t>
      </w:r>
      <w:r w:rsidR="0030104E" w:rsidRPr="00776009">
        <w:rPr>
          <w:u w:val="single"/>
        </w:rPr>
        <w:t>C</w:t>
      </w:r>
      <w:r w:rsidR="0041098C" w:rsidRPr="00776009">
        <w:t>).</w:t>
      </w:r>
    </w:p>
    <w:p w14:paraId="6DC77402" w14:textId="2E329806" w:rsidR="00EB480F" w:rsidRPr="00776009" w:rsidRDefault="00FE1303" w:rsidP="00CF6C5C">
      <w:pPr>
        <w:spacing w:after="0"/>
      </w:pPr>
      <w:r w:rsidRPr="00776009">
        <w:t xml:space="preserve">The current approach </w:t>
      </w:r>
      <w:r w:rsidR="00BF63DC" w:rsidRPr="00776009">
        <w:t xml:space="preserve">under the DSP </w:t>
      </w:r>
      <w:r w:rsidRPr="00776009">
        <w:t xml:space="preserve">of </w:t>
      </w:r>
      <w:r w:rsidR="00BF63DC" w:rsidRPr="00776009">
        <w:t xml:space="preserve">reimbursing expenses does not necessarily provide an incentive for </w:t>
      </w:r>
      <w:r w:rsidR="00813820" w:rsidRPr="00776009">
        <w:t xml:space="preserve">providers </w:t>
      </w:r>
      <w:r w:rsidR="00BF63DC" w:rsidRPr="00776009">
        <w:t xml:space="preserve">to adopt practices that both provide appropriate services and minimise cost. For example, the need to provide note taking support may be met by paying a small honorarium to other students, by professional note takers or by external agencies – means that vary greatly in cost. It is possible that allocating funding according to the number of students with disability will encourage </w:t>
      </w:r>
      <w:r w:rsidR="00813820" w:rsidRPr="00776009">
        <w:t xml:space="preserve">providers </w:t>
      </w:r>
      <w:r w:rsidR="00BF63DC" w:rsidRPr="00776009">
        <w:t>to adopt practices that provide appropriate support at the most efficient cost per student.</w:t>
      </w:r>
    </w:p>
    <w:p w14:paraId="4AA790DB" w14:textId="55007E04" w:rsidR="00D97327" w:rsidRPr="00776009" w:rsidRDefault="00D97327" w:rsidP="00CF6C5C">
      <w:pPr>
        <w:pStyle w:val="Heading3"/>
        <w:spacing w:before="240" w:after="120"/>
      </w:pPr>
      <w:bookmarkStart w:id="7" w:name="_Toc465412623"/>
      <w:r w:rsidRPr="00776009">
        <w:t>Transition timing</w:t>
      </w:r>
      <w:bookmarkEnd w:id="7"/>
    </w:p>
    <w:p w14:paraId="40661C70" w14:textId="4054C225" w:rsidR="000518CC" w:rsidRPr="00776009" w:rsidRDefault="007003D7" w:rsidP="008F1964">
      <w:r w:rsidRPr="00776009">
        <w:t xml:space="preserve">Under the current </w:t>
      </w:r>
      <w:r w:rsidR="002606F9" w:rsidRPr="00776009">
        <w:t>guidelines</w:t>
      </w:r>
      <w:r w:rsidRPr="00776009">
        <w:t xml:space="preserve">, eligible </w:t>
      </w:r>
      <w:r w:rsidR="00813820" w:rsidRPr="00776009">
        <w:t xml:space="preserve">providers </w:t>
      </w:r>
      <w:r w:rsidRPr="00776009">
        <w:t xml:space="preserve">will receive payment in the fourth quarter of 2016 for expenses incurred in 2015. They are currently </w:t>
      </w:r>
      <w:r w:rsidR="00D97327" w:rsidRPr="00776009">
        <w:t>meeting expenses in 2016 on the basis that they will be able to claim reimbursement of a proportion of those expenses from 2017 DSP funds</w:t>
      </w:r>
      <w:r w:rsidR="003F08CC" w:rsidRPr="00776009">
        <w:t xml:space="preserve"> in accordance with current DSP guidelines</w:t>
      </w:r>
      <w:r w:rsidR="00D97327" w:rsidRPr="00776009">
        <w:t>.</w:t>
      </w:r>
      <w:r w:rsidR="004D400E" w:rsidRPr="00776009">
        <w:t xml:space="preserve"> </w:t>
      </w:r>
      <w:r w:rsidR="002C7A53" w:rsidRPr="00776009">
        <w:t>The Government anticipates amending the DSP guidelines, contained in the Other Grant Guidelines (</w:t>
      </w:r>
      <w:r w:rsidR="00813820" w:rsidRPr="00776009">
        <w:t>Education</w:t>
      </w:r>
      <w:r w:rsidR="002C7A53" w:rsidRPr="00776009">
        <w:t>)</w:t>
      </w:r>
      <w:r w:rsidR="00813820" w:rsidRPr="00776009">
        <w:t xml:space="preserve"> 2012</w:t>
      </w:r>
      <w:r w:rsidR="002C7A53" w:rsidRPr="00776009">
        <w:t>, in early 2017.</w:t>
      </w:r>
    </w:p>
    <w:p w14:paraId="09DEF2BA" w14:textId="7679ED02" w:rsidR="003F08CC" w:rsidRPr="00776009" w:rsidRDefault="00550FEF" w:rsidP="00E743A5">
      <w:r w:rsidRPr="00776009">
        <w:t>It is proposed to c</w:t>
      </w:r>
      <w:r w:rsidR="002C7A53" w:rsidRPr="00776009">
        <w:t>ommence payment by formula in 2018 and pay DSP funds in 2017 under the current arrangements. This w</w:t>
      </w:r>
      <w:r w:rsidR="006673D9" w:rsidRPr="00776009">
        <w:t>ould</w:t>
      </w:r>
      <w:r w:rsidR="002C7A53" w:rsidRPr="00776009">
        <w:t xml:space="preserve"> mean </w:t>
      </w:r>
      <w:r w:rsidR="003F08CC" w:rsidRPr="00776009">
        <w:t xml:space="preserve">‘no surprises’ DSP payments in 2017, and allow </w:t>
      </w:r>
      <w:r w:rsidR="009D5F22" w:rsidRPr="00776009">
        <w:t xml:space="preserve">providers </w:t>
      </w:r>
      <w:r w:rsidR="003F08CC" w:rsidRPr="00776009">
        <w:t xml:space="preserve">to plan </w:t>
      </w:r>
      <w:r w:rsidR="005D6A89" w:rsidRPr="00776009">
        <w:t xml:space="preserve">during 2017 </w:t>
      </w:r>
      <w:r w:rsidR="003F08CC" w:rsidRPr="00776009">
        <w:t xml:space="preserve">for transition to payment by formula in 2018. </w:t>
      </w:r>
    </w:p>
    <w:p w14:paraId="3E30F16C" w14:textId="77777777" w:rsidR="006E018A" w:rsidRDefault="006E018A">
      <w:pPr>
        <w:rPr>
          <w:rFonts w:ascii="Calibri" w:eastAsiaTheme="majorEastAsia" w:hAnsi="Calibri" w:cstheme="majorBidi"/>
          <w:b/>
          <w:bCs/>
        </w:rPr>
      </w:pPr>
      <w:r>
        <w:br w:type="page"/>
      </w:r>
    </w:p>
    <w:p w14:paraId="3DB27993" w14:textId="05919C97" w:rsidR="003F08CC" w:rsidRPr="00776009" w:rsidRDefault="006673D9" w:rsidP="00CF6C5C">
      <w:pPr>
        <w:pStyle w:val="Heading3"/>
        <w:spacing w:before="240" w:after="120"/>
      </w:pPr>
      <w:bookmarkStart w:id="8" w:name="_Toc465412624"/>
      <w:r w:rsidRPr="00776009">
        <w:lastRenderedPageBreak/>
        <w:t>Payment timing</w:t>
      </w:r>
      <w:bookmarkEnd w:id="8"/>
    </w:p>
    <w:p w14:paraId="78DB3F9F" w14:textId="0E0EA43D" w:rsidR="00B63130" w:rsidRPr="00776009" w:rsidRDefault="003A5A1F" w:rsidP="00CF6C5C">
      <w:pPr>
        <w:spacing w:after="0"/>
      </w:pPr>
      <w:r w:rsidRPr="00776009">
        <w:t xml:space="preserve">Under the formula based approach DSP funding could be paid once yearly, as is currently the case, or on a </w:t>
      </w:r>
      <w:r w:rsidR="00B63130" w:rsidRPr="00776009">
        <w:t xml:space="preserve">quarterly </w:t>
      </w:r>
      <w:r w:rsidRPr="00776009">
        <w:t>basis</w:t>
      </w:r>
      <w:r w:rsidR="00B63130" w:rsidRPr="00776009">
        <w:t xml:space="preserve"> depending on the preferences of providers.</w:t>
      </w:r>
    </w:p>
    <w:p w14:paraId="331001F2" w14:textId="77777777" w:rsidR="00B63130" w:rsidRPr="00776009" w:rsidRDefault="00B63130" w:rsidP="00CF6C5C">
      <w:pPr>
        <w:spacing w:after="0"/>
      </w:pPr>
    </w:p>
    <w:p w14:paraId="72CCD5FF" w14:textId="7124E808" w:rsidR="003A5A1F" w:rsidRPr="00776009" w:rsidRDefault="00B63130" w:rsidP="00CF6C5C">
      <w:pPr>
        <w:spacing w:after="0"/>
      </w:pPr>
      <w:r w:rsidRPr="00776009">
        <w:t xml:space="preserve">If the payments by formula commence in 2018, </w:t>
      </w:r>
      <w:r w:rsidR="00A463BF" w:rsidRPr="00776009">
        <w:t xml:space="preserve">allocations could be made as early as January 2018 using the latest available student data. Alternatively providers </w:t>
      </w:r>
      <w:r w:rsidR="00E73DCF" w:rsidRPr="00776009">
        <w:t>could</w:t>
      </w:r>
      <w:r w:rsidR="00A463BF" w:rsidRPr="00776009">
        <w:t xml:space="preserve"> be paid quarterly </w:t>
      </w:r>
      <w:r w:rsidR="00E73DCF" w:rsidRPr="00776009">
        <w:t xml:space="preserve">with </w:t>
      </w:r>
      <w:r w:rsidR="00A463BF" w:rsidRPr="00776009">
        <w:t>the payments made in January, April, July and October 2018.</w:t>
      </w:r>
    </w:p>
    <w:p w14:paraId="0C5EFEFA" w14:textId="77777777" w:rsidR="00A463BF" w:rsidRPr="00776009" w:rsidRDefault="00A463BF" w:rsidP="00CF6C5C">
      <w:pPr>
        <w:spacing w:after="0"/>
      </w:pPr>
    </w:p>
    <w:p w14:paraId="51217A55" w14:textId="606ED941" w:rsidR="00A463BF" w:rsidRPr="00776009" w:rsidRDefault="007C2887" w:rsidP="00E94792">
      <w:pPr>
        <w:spacing w:after="0"/>
      </w:pPr>
      <w:r w:rsidRPr="00776009">
        <w:t xml:space="preserve">For simplicity </w:t>
      </w:r>
      <w:r w:rsidR="00E94792" w:rsidRPr="00776009">
        <w:t>it is proposed to</w:t>
      </w:r>
      <w:r w:rsidRPr="00776009">
        <w:t xml:space="preserve"> pay DSP funding once yearly.</w:t>
      </w:r>
    </w:p>
    <w:p w14:paraId="1F0A81C7" w14:textId="77777777" w:rsidR="009739E0" w:rsidRPr="00776009" w:rsidRDefault="009739E0" w:rsidP="00E94792">
      <w:pPr>
        <w:pStyle w:val="Heading2"/>
        <w:spacing w:before="0"/>
      </w:pPr>
    </w:p>
    <w:p w14:paraId="17FD84EF" w14:textId="77777777" w:rsidR="00A92C9A" w:rsidRPr="00776009" w:rsidRDefault="00A92C9A" w:rsidP="00E94792">
      <w:pPr>
        <w:pStyle w:val="Heading2"/>
        <w:spacing w:before="0"/>
      </w:pPr>
      <w:bookmarkStart w:id="9" w:name="_Toc465412625"/>
      <w:r w:rsidRPr="00776009">
        <w:t>Improving efficiency and effectiveness - Reporting requirements</w:t>
      </w:r>
      <w:bookmarkEnd w:id="9"/>
      <w:r w:rsidRPr="00776009">
        <w:t xml:space="preserve"> </w:t>
      </w:r>
    </w:p>
    <w:p w14:paraId="73E19286" w14:textId="37BE00FB" w:rsidR="00A92C9A" w:rsidRPr="00776009" w:rsidRDefault="00A92C9A" w:rsidP="00E94792">
      <w:pPr>
        <w:spacing w:after="0"/>
      </w:pPr>
      <w:r w:rsidRPr="00776009">
        <w:t xml:space="preserve">The </w:t>
      </w:r>
      <w:r w:rsidR="00197AAB" w:rsidRPr="00776009">
        <w:t xml:space="preserve">proposed program parameters </w:t>
      </w:r>
      <w:r w:rsidRPr="00776009">
        <w:t xml:space="preserve">at </w:t>
      </w:r>
      <w:r w:rsidR="00E671BD">
        <w:rPr>
          <w:u w:val="single"/>
        </w:rPr>
        <w:t>Appendix</w:t>
      </w:r>
      <w:r w:rsidRPr="00776009">
        <w:rPr>
          <w:u w:val="single"/>
        </w:rPr>
        <w:t xml:space="preserve"> </w:t>
      </w:r>
      <w:proofErr w:type="spellStart"/>
      <w:proofErr w:type="gramStart"/>
      <w:r w:rsidR="006A22B0" w:rsidRPr="00776009">
        <w:rPr>
          <w:u w:val="single"/>
        </w:rPr>
        <w:t>A</w:t>
      </w:r>
      <w:proofErr w:type="spellEnd"/>
      <w:proofErr w:type="gramEnd"/>
      <w:r w:rsidRPr="00776009">
        <w:t xml:space="preserve"> outline a requirement for annual reporting under the DSP (</w:t>
      </w:r>
      <w:r w:rsidR="00197AAB" w:rsidRPr="00776009">
        <w:t>see the ‘Reporting’ section</w:t>
      </w:r>
      <w:r w:rsidRPr="00776009">
        <w:t xml:space="preserve">).  This would involve a streamlined report in which providers briefly outline the amount of funding and major initiatives conducted against the eligible types of activity under the program </w:t>
      </w:r>
      <w:r w:rsidR="00DC37A8" w:rsidRPr="00776009">
        <w:t>(detailed in the following section)</w:t>
      </w:r>
      <w:r w:rsidR="00C03746" w:rsidRPr="00776009">
        <w:t>, with reference to outcomes,</w:t>
      </w:r>
      <w:r w:rsidRPr="00776009">
        <w:t xml:space="preserve"> and acquit their annual expenditure.</w:t>
      </w:r>
    </w:p>
    <w:p w14:paraId="3670947E" w14:textId="77777777" w:rsidR="00A92C9A" w:rsidRPr="00776009" w:rsidRDefault="00A92C9A" w:rsidP="00E94792">
      <w:pPr>
        <w:pStyle w:val="Heading2"/>
        <w:spacing w:before="0"/>
      </w:pPr>
    </w:p>
    <w:p w14:paraId="5E5050BB" w14:textId="39188099" w:rsidR="003A5A1F" w:rsidRPr="00776009" w:rsidRDefault="00EB480F" w:rsidP="00E94792">
      <w:pPr>
        <w:pStyle w:val="Heading2"/>
        <w:spacing w:before="0"/>
      </w:pPr>
      <w:bookmarkStart w:id="10" w:name="_Toc465412626"/>
      <w:r w:rsidRPr="00776009">
        <w:t xml:space="preserve">Improving appropriateness - </w:t>
      </w:r>
      <w:r w:rsidR="003A5A1F" w:rsidRPr="00776009">
        <w:t>Broaden the scope of eligible activities</w:t>
      </w:r>
      <w:bookmarkEnd w:id="10"/>
    </w:p>
    <w:p w14:paraId="5DCC3C53" w14:textId="7C53616C" w:rsidR="004D400E" w:rsidRPr="00776009" w:rsidRDefault="004D400E" w:rsidP="004D400E">
      <w:r w:rsidRPr="00776009">
        <w:t xml:space="preserve">The evaluation found that, with increasing numbers of students presenting with mental health and learning disorders there was an increased need to train staff in the support of these students, who currently perceive that students with visible disabilities receive better support. Disability liaison officers consulted as part of the evaluation </w:t>
      </w:r>
      <w:r w:rsidR="002606F9" w:rsidRPr="00776009">
        <w:t xml:space="preserve">also </w:t>
      </w:r>
      <w:r w:rsidRPr="00776009">
        <w:t>reported that academic staff were often less experienced in supporting students with mental health issues and could benefit from additional training.</w:t>
      </w:r>
    </w:p>
    <w:p w14:paraId="1B280A09" w14:textId="6727CE89" w:rsidR="004D400E" w:rsidRPr="00776009" w:rsidRDefault="004D400E" w:rsidP="004D400E">
      <w:pPr>
        <w:autoSpaceDE w:val="0"/>
        <w:autoSpaceDN w:val="0"/>
        <w:adjustRightInd w:val="0"/>
        <w:spacing w:after="0"/>
      </w:pPr>
      <w:r w:rsidRPr="00776009">
        <w:t xml:space="preserve">Another area of opportunity identified by the evaluation was supporting providers to make mainstream services available to all students, through the application of principles such as universal design, rather than by relying on adjustments for individual students with disability. While providers could continue to provide individualised equipment and support to students with disability under the </w:t>
      </w:r>
      <w:r w:rsidR="00197AAB" w:rsidRPr="00776009">
        <w:t>proposed program parameters</w:t>
      </w:r>
      <w:r w:rsidRPr="00776009">
        <w:t>, DSP funding could also support efforts to make courses accessible to all, particularly in cases where it will be more effective and efficient in the long term.</w:t>
      </w:r>
    </w:p>
    <w:p w14:paraId="6A15B4F6" w14:textId="77777777" w:rsidR="004D400E" w:rsidRPr="00776009" w:rsidRDefault="004D400E" w:rsidP="007C351B">
      <w:pPr>
        <w:autoSpaceDE w:val="0"/>
        <w:autoSpaceDN w:val="0"/>
        <w:adjustRightInd w:val="0"/>
        <w:spacing w:after="0"/>
      </w:pPr>
    </w:p>
    <w:p w14:paraId="1E5B4B28" w14:textId="4B2E4838" w:rsidR="00DD5B81" w:rsidRPr="00776009" w:rsidRDefault="002606F9" w:rsidP="007C351B">
      <w:pPr>
        <w:autoSpaceDE w:val="0"/>
        <w:autoSpaceDN w:val="0"/>
        <w:adjustRightInd w:val="0"/>
        <w:spacing w:after="0"/>
      </w:pPr>
      <w:r w:rsidRPr="00776009">
        <w:t xml:space="preserve">To introduce these changes </w:t>
      </w:r>
      <w:r w:rsidR="00EC676B" w:rsidRPr="00776009">
        <w:t xml:space="preserve">it is proposed </w:t>
      </w:r>
      <w:r w:rsidR="007C351B" w:rsidRPr="00776009">
        <w:t xml:space="preserve">to add </w:t>
      </w:r>
      <w:r w:rsidR="005D6A89" w:rsidRPr="00776009">
        <w:t xml:space="preserve">two </w:t>
      </w:r>
      <w:r w:rsidR="00DD5B81" w:rsidRPr="00776009">
        <w:t>activities that may be funded under the DSP</w:t>
      </w:r>
      <w:r w:rsidR="00791292" w:rsidRPr="00776009">
        <w:t xml:space="preserve"> (</w:t>
      </w:r>
      <w:r w:rsidR="00197AAB" w:rsidRPr="00776009">
        <w:t xml:space="preserve">see ‘Eligible DSF activities’ in the proposed parameters </w:t>
      </w:r>
      <w:r w:rsidR="00E671BD">
        <w:t>appendix</w:t>
      </w:r>
      <w:r w:rsidR="00197AAB" w:rsidRPr="00776009">
        <w:t>)</w:t>
      </w:r>
      <w:r w:rsidR="00DD5B81" w:rsidRPr="00776009">
        <w:t>:</w:t>
      </w:r>
    </w:p>
    <w:p w14:paraId="5E56CCC5" w14:textId="2F4B848A" w:rsidR="00DD5B81" w:rsidRPr="00776009" w:rsidRDefault="00DD5B81" w:rsidP="00CF6C5C">
      <w:pPr>
        <w:pStyle w:val="ListParagraph"/>
        <w:numPr>
          <w:ilvl w:val="0"/>
          <w:numId w:val="4"/>
        </w:numPr>
        <w:spacing w:before="120" w:after="0" w:line="240" w:lineRule="auto"/>
        <w:ind w:left="714" w:hanging="357"/>
      </w:pPr>
      <w:r w:rsidRPr="00776009">
        <w:t>training higher education provider staff to support students with disability; and</w:t>
      </w:r>
    </w:p>
    <w:p w14:paraId="600CF013" w14:textId="6FF1F858" w:rsidR="00DD5B81" w:rsidRPr="00776009" w:rsidRDefault="00DD5B81" w:rsidP="00CF6C5C">
      <w:pPr>
        <w:pStyle w:val="ListParagraph"/>
        <w:numPr>
          <w:ilvl w:val="0"/>
          <w:numId w:val="4"/>
        </w:numPr>
        <w:spacing w:before="120"/>
        <w:ind w:left="714" w:hanging="357"/>
      </w:pPr>
      <w:proofErr w:type="gramStart"/>
      <w:r w:rsidRPr="00776009">
        <w:t>modifications</w:t>
      </w:r>
      <w:proofErr w:type="gramEnd"/>
      <w:r w:rsidRPr="00776009">
        <w:t xml:space="preserve"> to course content, teaching materials and delivery methods to better meet the needs of students with disability. </w:t>
      </w:r>
    </w:p>
    <w:p w14:paraId="2876D723" w14:textId="6CD0C55F" w:rsidR="00DD5B81" w:rsidRPr="00776009" w:rsidRDefault="00DD5B81" w:rsidP="00DD5B81">
      <w:pPr>
        <w:autoSpaceDE w:val="0"/>
        <w:autoSpaceDN w:val="0"/>
        <w:adjustRightInd w:val="0"/>
        <w:spacing w:after="0"/>
      </w:pPr>
      <w:r w:rsidRPr="00776009">
        <w:t>These new activities would be in addition to the following existing activities:</w:t>
      </w:r>
    </w:p>
    <w:p w14:paraId="7B70FE89" w14:textId="237DF6A0" w:rsidR="00B6399B" w:rsidRPr="00776009" w:rsidRDefault="00B6399B" w:rsidP="00CF6C5C">
      <w:pPr>
        <w:pStyle w:val="ListParagraph"/>
        <w:numPr>
          <w:ilvl w:val="0"/>
          <w:numId w:val="4"/>
        </w:numPr>
        <w:spacing w:before="120" w:after="0" w:line="240" w:lineRule="auto"/>
        <w:ind w:left="714" w:hanging="357"/>
      </w:pPr>
      <w:r w:rsidRPr="00776009">
        <w:t xml:space="preserve">activities aimed at attracting </w:t>
      </w:r>
      <w:r w:rsidR="00E602FE" w:rsidRPr="00776009">
        <w:t xml:space="preserve">and supporting </w:t>
      </w:r>
      <w:r w:rsidRPr="00776009">
        <w:t xml:space="preserve">students with disability; </w:t>
      </w:r>
      <w:r w:rsidR="00DD5B81" w:rsidRPr="00776009">
        <w:t>and</w:t>
      </w:r>
    </w:p>
    <w:p w14:paraId="4AC9EE11" w14:textId="30D12E2C" w:rsidR="00B6399B" w:rsidRPr="00776009" w:rsidRDefault="00B6399B" w:rsidP="00CF6C5C">
      <w:pPr>
        <w:pStyle w:val="ListParagraph"/>
        <w:numPr>
          <w:ilvl w:val="0"/>
          <w:numId w:val="4"/>
        </w:numPr>
        <w:spacing w:before="120"/>
        <w:ind w:left="714" w:hanging="357"/>
      </w:pPr>
      <w:proofErr w:type="gramStart"/>
      <w:r w:rsidRPr="00776009">
        <w:t>educational</w:t>
      </w:r>
      <w:proofErr w:type="gramEnd"/>
      <w:r w:rsidRPr="00776009">
        <w:t xml:space="preserve"> support and equipment for students with disability</w:t>
      </w:r>
      <w:r w:rsidR="00DD5B81" w:rsidRPr="00776009">
        <w:t>.</w:t>
      </w:r>
    </w:p>
    <w:p w14:paraId="295B987A" w14:textId="66C4F48B" w:rsidR="00EB480F" w:rsidRPr="00776009" w:rsidRDefault="000E7CB5" w:rsidP="00E94792">
      <w:pPr>
        <w:spacing w:after="0"/>
      </w:pPr>
      <w:r w:rsidRPr="00776009">
        <w:lastRenderedPageBreak/>
        <w:t>Providers would have flexibility to apply DSP funding between the eligible activities in a way that best meets the needs of their student cohort and strategic direction.</w:t>
      </w:r>
      <w:r w:rsidR="007C3C76" w:rsidRPr="00776009">
        <w:t xml:space="preserve"> </w:t>
      </w:r>
      <w:r w:rsidR="00E94792" w:rsidRPr="00776009">
        <w:t>They</w:t>
      </w:r>
      <w:r w:rsidR="007C3C76" w:rsidRPr="00776009">
        <w:t xml:space="preserve"> would not be obliged to undertake all the eligib</w:t>
      </w:r>
      <w:r w:rsidR="00E94792" w:rsidRPr="00776009">
        <w:t>le activities using DSP funding.</w:t>
      </w:r>
      <w:r w:rsidR="007C3C76" w:rsidRPr="00776009">
        <w:t xml:space="preserve"> </w:t>
      </w:r>
      <w:r w:rsidR="00E94792" w:rsidRPr="00776009">
        <w:t>For example, a provider could allocate all funding to educational support and equipment. This proposal provides flexibility for providers to</w:t>
      </w:r>
      <w:r w:rsidR="00B44858" w:rsidRPr="00776009">
        <w:t xml:space="preserve"> use DSP funding as a supplement to assist with their legal obligations to students with disability.</w:t>
      </w:r>
    </w:p>
    <w:p w14:paraId="39F53D63" w14:textId="77777777" w:rsidR="00EB480F" w:rsidRPr="00776009" w:rsidRDefault="00EB480F" w:rsidP="00E94792">
      <w:pPr>
        <w:pStyle w:val="Heading2"/>
        <w:spacing w:before="0"/>
      </w:pPr>
    </w:p>
    <w:p w14:paraId="1FB941E8" w14:textId="19E9AD35" w:rsidR="008B1C8D" w:rsidRPr="00776009" w:rsidRDefault="00B5428F" w:rsidP="00E94792">
      <w:pPr>
        <w:pStyle w:val="Heading2"/>
        <w:spacing w:before="0"/>
      </w:pPr>
      <w:bookmarkStart w:id="11" w:name="_Toc465412627"/>
      <w:r w:rsidRPr="00776009">
        <w:t xml:space="preserve">Improving effectiveness - </w:t>
      </w:r>
      <w:r w:rsidR="008B1C8D" w:rsidRPr="00776009">
        <w:t>Expanded role for ADCET</w:t>
      </w:r>
      <w:bookmarkEnd w:id="11"/>
    </w:p>
    <w:p w14:paraId="26A56EC9" w14:textId="22E2AADA" w:rsidR="00FE5DD0" w:rsidRPr="00776009" w:rsidRDefault="00311215" w:rsidP="008F1964">
      <w:r w:rsidRPr="00776009">
        <w:t xml:space="preserve">The evaluation found that ADCET </w:t>
      </w:r>
      <w:r w:rsidR="00C75910" w:rsidRPr="00776009">
        <w:t>contributes</w:t>
      </w:r>
      <w:r w:rsidRPr="00776009">
        <w:t xml:space="preserve"> to improving awareness of contemporary research and practice materials relating to inclusive teaching and learning practices </w:t>
      </w:r>
      <w:r w:rsidR="00FE5DD0" w:rsidRPr="00776009">
        <w:t xml:space="preserve">for students with disability. </w:t>
      </w:r>
      <w:r w:rsidR="00D46B92" w:rsidRPr="00776009">
        <w:t xml:space="preserve">In particular it identified </w:t>
      </w:r>
      <w:r w:rsidR="00FE5DD0" w:rsidRPr="00776009">
        <w:t xml:space="preserve">two main </w:t>
      </w:r>
      <w:r w:rsidR="00D46B92" w:rsidRPr="00776009">
        <w:t>areas where ADCET aids higher education providers:</w:t>
      </w:r>
    </w:p>
    <w:p w14:paraId="4E6E89B0" w14:textId="32F73823" w:rsidR="00FE5DD0" w:rsidRPr="00776009" w:rsidRDefault="00FE5DD0" w:rsidP="00FE5DD0">
      <w:pPr>
        <w:pStyle w:val="ListBullet"/>
        <w:ind w:left="369" w:hanging="369"/>
        <w:contextualSpacing w:val="0"/>
      </w:pPr>
      <w:r w:rsidRPr="00776009">
        <w:rPr>
          <w:b/>
        </w:rPr>
        <w:t>As a training tool</w:t>
      </w:r>
      <w:r w:rsidR="0077351C" w:rsidRPr="00776009">
        <w:t>.</w:t>
      </w:r>
      <w:r w:rsidRPr="00776009">
        <w:t xml:space="preserve"> New disability support practitioners at higher education providers are able to access the resources provided by ADCET in order to develop their understanding of contemporary disability support and keep them informed of the sector more</w:t>
      </w:r>
      <w:r w:rsidR="00D46B92" w:rsidRPr="00776009">
        <w:t xml:space="preserve"> broadly.</w:t>
      </w:r>
    </w:p>
    <w:p w14:paraId="1A6F5836" w14:textId="23688D2B" w:rsidR="00FE5DD0" w:rsidRPr="00776009" w:rsidRDefault="00FE5DD0" w:rsidP="0077351C">
      <w:pPr>
        <w:pStyle w:val="ListBullet"/>
        <w:spacing w:after="240"/>
        <w:ind w:left="369" w:hanging="369"/>
        <w:contextualSpacing w:val="0"/>
      </w:pPr>
      <w:r w:rsidRPr="00776009">
        <w:rPr>
          <w:b/>
        </w:rPr>
        <w:t>As a resource to guide decisions and promote knowledge</w:t>
      </w:r>
      <w:r w:rsidR="0077351C" w:rsidRPr="00776009">
        <w:t xml:space="preserve">. </w:t>
      </w:r>
      <w:r w:rsidRPr="00776009">
        <w:t>A centralised source of information acts as a ‘one stop shop’ for disability practitioners to be able to access in order to make decisions when deciding what support provisions will be put in place for students. It also provides practitioners the opportunity to share information with teaching staff and others involved with a student with links that may be useful to further their understanding and encourage a shared understanding of the needs of the student.</w:t>
      </w:r>
    </w:p>
    <w:p w14:paraId="0BA9B811" w14:textId="11111267" w:rsidR="0077351C" w:rsidRPr="00776009" w:rsidRDefault="009840B8" w:rsidP="00D46B92">
      <w:r w:rsidRPr="00776009">
        <w:t>Page views of</w:t>
      </w:r>
      <w:r w:rsidR="00FE5DD0" w:rsidRPr="00776009">
        <w:t xml:space="preserve"> the ADCET website increased by </w:t>
      </w:r>
      <w:r w:rsidR="00F833A8" w:rsidRPr="00776009">
        <w:t>6</w:t>
      </w:r>
      <w:r w:rsidR="0031476C" w:rsidRPr="00776009">
        <w:t>8</w:t>
      </w:r>
      <w:r w:rsidR="00FE5DD0" w:rsidRPr="00776009">
        <w:t xml:space="preserve"> per cent between 201</w:t>
      </w:r>
      <w:r w:rsidR="0031476C" w:rsidRPr="00776009">
        <w:t>0</w:t>
      </w:r>
      <w:r w:rsidR="00FE5DD0" w:rsidRPr="00776009">
        <w:t xml:space="preserve"> and 201</w:t>
      </w:r>
      <w:r w:rsidR="00F833A8" w:rsidRPr="00776009">
        <w:t>5</w:t>
      </w:r>
      <w:r w:rsidR="005537BB" w:rsidRPr="00776009">
        <w:t xml:space="preserve">. The evaluation found that </w:t>
      </w:r>
      <w:r w:rsidR="00FE5DD0" w:rsidRPr="00776009">
        <w:t>76 per cent</w:t>
      </w:r>
      <w:r w:rsidR="00311215" w:rsidRPr="00776009">
        <w:t xml:space="preserve"> of </w:t>
      </w:r>
      <w:r w:rsidR="00FE5DD0" w:rsidRPr="00776009">
        <w:t>provider</w:t>
      </w:r>
      <w:r w:rsidR="00311215" w:rsidRPr="00776009">
        <w:t xml:space="preserve"> staff surveyed who had visited the site thought </w:t>
      </w:r>
      <w:r w:rsidR="00D46B92" w:rsidRPr="00776009">
        <w:t>it</w:t>
      </w:r>
      <w:r w:rsidR="00311215" w:rsidRPr="00776009">
        <w:t xml:space="preserve"> helped improve teaching or support practices for students with disability</w:t>
      </w:r>
      <w:r w:rsidR="00FE5DD0" w:rsidRPr="00776009">
        <w:t>.</w:t>
      </w:r>
      <w:r w:rsidR="0077351C" w:rsidRPr="00776009">
        <w:t xml:space="preserve"> </w:t>
      </w:r>
    </w:p>
    <w:p w14:paraId="74CEF763" w14:textId="425EB740" w:rsidR="00D46B92" w:rsidRPr="00776009" w:rsidRDefault="0077351C" w:rsidP="00D46B92">
      <w:r w:rsidRPr="00776009">
        <w:t xml:space="preserve">Survey participants broadly supported an expanded role for ADCET, </w:t>
      </w:r>
      <w:r w:rsidR="00326719" w:rsidRPr="00776009">
        <w:t xml:space="preserve">funding </w:t>
      </w:r>
      <w:r w:rsidR="00420CF8" w:rsidRPr="00776009">
        <w:t>for</w:t>
      </w:r>
      <w:r w:rsidR="00326719" w:rsidRPr="00776009">
        <w:t xml:space="preserve"> which</w:t>
      </w:r>
      <w:r w:rsidRPr="00776009">
        <w:t xml:space="preserve"> currently </w:t>
      </w:r>
      <w:r w:rsidR="005F3485" w:rsidRPr="00776009">
        <w:t>comprises 1</w:t>
      </w:r>
      <w:r w:rsidR="00151105" w:rsidRPr="00776009">
        <w:t xml:space="preserve"> per cent</w:t>
      </w:r>
      <w:r w:rsidR="005F3485" w:rsidRPr="00776009">
        <w:t xml:space="preserve"> of the DSP </w:t>
      </w:r>
      <w:r w:rsidR="008045EF" w:rsidRPr="00776009">
        <w:t>allocation</w:t>
      </w:r>
      <w:r w:rsidR="005F3485" w:rsidRPr="00776009">
        <w:t xml:space="preserve"> </w:t>
      </w:r>
      <w:r w:rsidR="00420CF8" w:rsidRPr="00776009">
        <w:t>each</w:t>
      </w:r>
      <w:r w:rsidR="005F3485" w:rsidRPr="00776009">
        <w:t xml:space="preserve"> year.</w:t>
      </w:r>
      <w:r w:rsidR="00762D91" w:rsidRPr="00776009">
        <w:t xml:space="preserve"> </w:t>
      </w:r>
    </w:p>
    <w:p w14:paraId="77FA9F11" w14:textId="17C20BEA" w:rsidR="00F0211D" w:rsidRPr="00776009" w:rsidRDefault="00E94792" w:rsidP="00CF6C5C">
      <w:r w:rsidRPr="00776009">
        <w:t xml:space="preserve">It is </w:t>
      </w:r>
      <w:r w:rsidR="00F0211D" w:rsidRPr="00776009">
        <w:t>propose</w:t>
      </w:r>
      <w:r w:rsidRPr="00776009">
        <w:t>d to</w:t>
      </w:r>
      <w:r w:rsidR="00F0211D" w:rsidRPr="00776009">
        <w:t xml:space="preserve"> increas</w:t>
      </w:r>
      <w:r w:rsidRPr="00776009">
        <w:t>e</w:t>
      </w:r>
      <w:r w:rsidR="00F0211D" w:rsidRPr="00776009">
        <w:t xml:space="preserve"> ADCET funding from around $80,000 per year to $</w:t>
      </w:r>
      <w:r w:rsidR="00B44858" w:rsidRPr="00776009">
        <w:t>15</w:t>
      </w:r>
      <w:r w:rsidR="00F0211D" w:rsidRPr="00776009">
        <w:t>0,000 per year, commencing in 2018 and to be sourced from existing DSP funds.</w:t>
      </w:r>
    </w:p>
    <w:p w14:paraId="1631F150" w14:textId="7B19DC6F" w:rsidR="00D46B92" w:rsidRPr="00776009" w:rsidRDefault="00D46B92" w:rsidP="00D46B92">
      <w:r w:rsidRPr="00776009">
        <w:t xml:space="preserve">Potential </w:t>
      </w:r>
      <w:r w:rsidR="00B44858" w:rsidRPr="00776009">
        <w:t xml:space="preserve">additional </w:t>
      </w:r>
      <w:r w:rsidRPr="00776009">
        <w:t>roles for ADCET could include:</w:t>
      </w:r>
    </w:p>
    <w:p w14:paraId="3A0615AA" w14:textId="77777777" w:rsidR="00D46B92" w:rsidRPr="00776009" w:rsidRDefault="00D46B92" w:rsidP="00D46B92">
      <w:pPr>
        <w:pStyle w:val="ListBullet"/>
      </w:pPr>
      <w:r w:rsidRPr="00776009">
        <w:t>consultative services to provide targeted advice on specific issues</w:t>
      </w:r>
    </w:p>
    <w:p w14:paraId="3AEC09F6" w14:textId="0C29E8B4" w:rsidR="00326719" w:rsidRPr="00776009" w:rsidRDefault="00326719" w:rsidP="00326719">
      <w:pPr>
        <w:pStyle w:val="ListBullet"/>
      </w:pPr>
      <w:r w:rsidRPr="00776009">
        <w:t>the creation of new content to support higher education providers</w:t>
      </w:r>
      <w:r w:rsidR="009D1962" w:rsidRPr="00776009">
        <w:t>, for example guidance on cost efficient best practice support</w:t>
      </w:r>
    </w:p>
    <w:p w14:paraId="1679F80C" w14:textId="77777777" w:rsidR="00D46B92" w:rsidRPr="00776009" w:rsidRDefault="00D46B92" w:rsidP="00D46B92">
      <w:pPr>
        <w:pStyle w:val="ListBullet"/>
      </w:pPr>
      <w:r w:rsidRPr="00776009">
        <w:t>provision of support to implement training programs</w:t>
      </w:r>
    </w:p>
    <w:p w14:paraId="602D9D4E" w14:textId="2B00C911" w:rsidR="00D46B92" w:rsidRPr="00776009" w:rsidRDefault="00D46B92" w:rsidP="00D46B92">
      <w:pPr>
        <w:pStyle w:val="ListBullet"/>
      </w:pPr>
      <w:r w:rsidRPr="00776009">
        <w:t>curation of Listserv</w:t>
      </w:r>
      <w:r w:rsidRPr="00776009">
        <w:rPr>
          <w:rStyle w:val="FootnoteReference"/>
        </w:rPr>
        <w:footnoteReference w:id="2"/>
      </w:r>
      <w:r w:rsidRPr="00776009">
        <w:t xml:space="preserve"> content to improve accessibility</w:t>
      </w:r>
      <w:r w:rsidR="0077351C" w:rsidRPr="00776009">
        <w:t xml:space="preserve"> of material circulated</w:t>
      </w:r>
    </w:p>
    <w:p w14:paraId="3554EDC2" w14:textId="16FC14D2" w:rsidR="00D46B92" w:rsidRPr="00776009" w:rsidRDefault="00D46B92" w:rsidP="00D46B92">
      <w:pPr>
        <w:pStyle w:val="ListBullet"/>
        <w:spacing w:after="240"/>
        <w:ind w:left="357" w:hanging="357"/>
      </w:pPr>
      <w:proofErr w:type="gramStart"/>
      <w:r w:rsidRPr="00776009">
        <w:t>undertaking</w:t>
      </w:r>
      <w:proofErr w:type="gramEnd"/>
      <w:r w:rsidRPr="00776009">
        <w:t xml:space="preserve"> research to improve outcomes</w:t>
      </w:r>
      <w:r w:rsidR="0077351C" w:rsidRPr="00776009">
        <w:t xml:space="preserve"> for students with disability</w:t>
      </w:r>
      <w:r w:rsidR="00326719" w:rsidRPr="00776009">
        <w:t>.</w:t>
      </w:r>
    </w:p>
    <w:p w14:paraId="3B030DEA" w14:textId="77777777" w:rsidR="00550FEF" w:rsidRPr="00776009" w:rsidRDefault="00550FEF">
      <w:pPr>
        <w:rPr>
          <w:rFonts w:ascii="Calibri" w:eastAsiaTheme="majorEastAsia" w:hAnsi="Calibri" w:cstheme="majorBidi"/>
          <w:b/>
          <w:bCs/>
          <w:sz w:val="28"/>
          <w:szCs w:val="26"/>
        </w:rPr>
      </w:pPr>
      <w:r w:rsidRPr="00776009">
        <w:br w:type="page"/>
      </w:r>
    </w:p>
    <w:p w14:paraId="1803CA00" w14:textId="10A23CCC" w:rsidR="00FE5806" w:rsidRPr="00776009" w:rsidRDefault="00467454" w:rsidP="002F3CCD">
      <w:pPr>
        <w:pStyle w:val="Heading2"/>
        <w:spacing w:before="0"/>
      </w:pPr>
      <w:bookmarkStart w:id="12" w:name="_Toc465412628"/>
      <w:r w:rsidRPr="00776009">
        <w:lastRenderedPageBreak/>
        <w:t>R</w:t>
      </w:r>
      <w:r w:rsidR="00FE5806" w:rsidRPr="00776009">
        <w:t xml:space="preserve">esponse </w:t>
      </w:r>
      <w:r w:rsidR="005D49D1" w:rsidRPr="00776009">
        <w:t>to o</w:t>
      </w:r>
      <w:r w:rsidRPr="00776009">
        <w:t>pportunities for improvement</w:t>
      </w:r>
      <w:bookmarkEnd w:id="12"/>
    </w:p>
    <w:p w14:paraId="529D8E49" w14:textId="5647E099" w:rsidR="00FE5806" w:rsidRPr="00776009" w:rsidRDefault="00FE5806" w:rsidP="00467454">
      <w:pPr>
        <w:spacing w:after="0"/>
      </w:pPr>
      <w:r w:rsidRPr="00776009">
        <w:t>The table below summarises</w:t>
      </w:r>
      <w:r w:rsidR="005D49D1" w:rsidRPr="00776009">
        <w:t xml:space="preserve"> the proposed response to o</w:t>
      </w:r>
      <w:r w:rsidRPr="00776009">
        <w:t xml:space="preserve">pportunities for improvement identified by the evaluation </w:t>
      </w:r>
      <w:r w:rsidR="000F1AD0" w:rsidRPr="00776009">
        <w:t>on pages 44-</w:t>
      </w:r>
      <w:r w:rsidR="005D49D1" w:rsidRPr="00776009">
        <w:t>47 of the evaluation report</w:t>
      </w:r>
      <w:r w:rsidRPr="00776009">
        <w:t>.</w:t>
      </w:r>
    </w:p>
    <w:p w14:paraId="267B3D25" w14:textId="77777777" w:rsidR="00467454" w:rsidRPr="00776009" w:rsidRDefault="00467454" w:rsidP="00467454">
      <w:pPr>
        <w:spacing w:after="0"/>
      </w:pPr>
    </w:p>
    <w:tbl>
      <w:tblPr>
        <w:tblStyle w:val="TableGrid"/>
        <w:tblW w:w="5000" w:type="pct"/>
        <w:tblLook w:val="04A0" w:firstRow="1" w:lastRow="0" w:firstColumn="1" w:lastColumn="0" w:noHBand="0" w:noVBand="1"/>
      </w:tblPr>
      <w:tblGrid>
        <w:gridCol w:w="1527"/>
        <w:gridCol w:w="3684"/>
        <w:gridCol w:w="4031"/>
      </w:tblGrid>
      <w:tr w:rsidR="00FE5806" w:rsidRPr="00776009" w14:paraId="31F948F5" w14:textId="77777777" w:rsidTr="00E743A5">
        <w:trPr>
          <w:tblHeader/>
        </w:trPr>
        <w:tc>
          <w:tcPr>
            <w:tcW w:w="826" w:type="pct"/>
          </w:tcPr>
          <w:p w14:paraId="0168721F" w14:textId="77777777" w:rsidR="00FE5806" w:rsidRPr="00776009" w:rsidRDefault="00FE5806" w:rsidP="000F1AD0">
            <w:pPr>
              <w:pStyle w:val="ListBullet"/>
              <w:numPr>
                <w:ilvl w:val="0"/>
                <w:numId w:val="0"/>
              </w:numPr>
              <w:spacing w:after="240"/>
              <w:jc w:val="center"/>
              <w:rPr>
                <w:b/>
              </w:rPr>
            </w:pPr>
            <w:r w:rsidRPr="00776009">
              <w:rPr>
                <w:b/>
              </w:rPr>
              <w:t>Opportunity for Improvement</w:t>
            </w:r>
          </w:p>
        </w:tc>
        <w:tc>
          <w:tcPr>
            <w:tcW w:w="1993" w:type="pct"/>
          </w:tcPr>
          <w:p w14:paraId="1EEEBC72" w14:textId="77777777" w:rsidR="00FE5806" w:rsidRPr="00776009" w:rsidRDefault="00FE5806" w:rsidP="000F1AD0">
            <w:pPr>
              <w:pStyle w:val="ListBullet"/>
              <w:numPr>
                <w:ilvl w:val="0"/>
                <w:numId w:val="0"/>
              </w:numPr>
              <w:spacing w:after="240"/>
              <w:jc w:val="center"/>
              <w:rPr>
                <w:b/>
              </w:rPr>
            </w:pPr>
            <w:r w:rsidRPr="00776009">
              <w:rPr>
                <w:b/>
              </w:rPr>
              <w:t>Description</w:t>
            </w:r>
          </w:p>
        </w:tc>
        <w:tc>
          <w:tcPr>
            <w:tcW w:w="2181" w:type="pct"/>
          </w:tcPr>
          <w:p w14:paraId="47C02932" w14:textId="27442D76" w:rsidR="00FE5806" w:rsidRPr="00776009" w:rsidRDefault="00FE5806" w:rsidP="000F1AD0">
            <w:pPr>
              <w:pStyle w:val="ListBullet"/>
              <w:numPr>
                <w:ilvl w:val="0"/>
                <w:numId w:val="0"/>
              </w:numPr>
              <w:spacing w:after="240"/>
              <w:jc w:val="center"/>
              <w:rPr>
                <w:b/>
              </w:rPr>
            </w:pPr>
            <w:r w:rsidRPr="00776009">
              <w:rPr>
                <w:b/>
              </w:rPr>
              <w:t>Response</w:t>
            </w:r>
          </w:p>
        </w:tc>
      </w:tr>
      <w:tr w:rsidR="00FE5806" w:rsidRPr="00776009" w14:paraId="4FD6DAF8" w14:textId="77777777" w:rsidTr="00E743A5">
        <w:trPr>
          <w:tblHeader/>
        </w:trPr>
        <w:tc>
          <w:tcPr>
            <w:tcW w:w="826" w:type="pct"/>
          </w:tcPr>
          <w:p w14:paraId="43709C72" w14:textId="1008947C" w:rsidR="00FE5806" w:rsidRPr="00776009" w:rsidRDefault="000F1AD0" w:rsidP="000F1AD0">
            <w:pPr>
              <w:pStyle w:val="ListBullet"/>
              <w:numPr>
                <w:ilvl w:val="0"/>
                <w:numId w:val="0"/>
              </w:numPr>
              <w:spacing w:after="240"/>
            </w:pPr>
            <w:r w:rsidRPr="00776009">
              <w:t xml:space="preserve">5.2.1 </w:t>
            </w:r>
            <w:r w:rsidR="00FE5806" w:rsidRPr="00776009">
              <w:t>Change reporting and/or eligibility threshold</w:t>
            </w:r>
          </w:p>
        </w:tc>
        <w:tc>
          <w:tcPr>
            <w:tcW w:w="1993" w:type="pct"/>
          </w:tcPr>
          <w:p w14:paraId="522E9928" w14:textId="2EDFDDC2" w:rsidR="00FE5806" w:rsidRPr="00776009" w:rsidRDefault="005D49D1" w:rsidP="005D49D1">
            <w:pPr>
              <w:pStyle w:val="ListBullet"/>
              <w:numPr>
                <w:ilvl w:val="0"/>
                <w:numId w:val="0"/>
              </w:numPr>
              <w:spacing w:after="240"/>
            </w:pPr>
            <w:r w:rsidRPr="00776009">
              <w:t xml:space="preserve">Retain the current claims process and: increase the threshold amount at which claims are paid from $500 to $3,000; or set a threshold at which claims are reimbursed without acquittal; or cease funding for equipment and focus on educational support. </w:t>
            </w:r>
          </w:p>
        </w:tc>
        <w:tc>
          <w:tcPr>
            <w:tcW w:w="2181" w:type="pct"/>
          </w:tcPr>
          <w:p w14:paraId="60B661E8" w14:textId="42A23E34" w:rsidR="00FE5806" w:rsidRPr="00776009" w:rsidRDefault="005D49D1" w:rsidP="005D49D1">
            <w:pPr>
              <w:pStyle w:val="ListBullet"/>
              <w:numPr>
                <w:ilvl w:val="0"/>
                <w:numId w:val="0"/>
              </w:numPr>
              <w:spacing w:after="240"/>
            </w:pPr>
            <w:r w:rsidRPr="00776009">
              <w:t xml:space="preserve">Not proposed for adoption. Replacing the claims process with allocating </w:t>
            </w:r>
            <w:r w:rsidR="00FE5806" w:rsidRPr="00776009">
              <w:t xml:space="preserve">funding via formula will </w:t>
            </w:r>
            <w:r w:rsidRPr="00776009">
              <w:t>both reduce administrative burden and enable universities to fund equipment and/or educational support to best support the needs of their students within the available funding, without regard to thresholds.</w:t>
            </w:r>
          </w:p>
        </w:tc>
      </w:tr>
      <w:tr w:rsidR="00FE5806" w:rsidRPr="00776009" w14:paraId="0F0508BC" w14:textId="77777777" w:rsidTr="00E743A5">
        <w:trPr>
          <w:tblHeader/>
        </w:trPr>
        <w:tc>
          <w:tcPr>
            <w:tcW w:w="826" w:type="pct"/>
          </w:tcPr>
          <w:p w14:paraId="009B4632" w14:textId="0E51B572" w:rsidR="00FE5806" w:rsidRPr="00776009" w:rsidRDefault="005D49D1" w:rsidP="000F1AD0">
            <w:pPr>
              <w:pStyle w:val="ListBullet"/>
              <w:numPr>
                <w:ilvl w:val="0"/>
                <w:numId w:val="0"/>
              </w:numPr>
              <w:spacing w:after="240"/>
            </w:pPr>
            <w:r w:rsidRPr="00776009">
              <w:t xml:space="preserve">5.2.2 </w:t>
            </w:r>
            <w:r w:rsidR="00FE5806" w:rsidRPr="00776009">
              <w:t xml:space="preserve">Roll </w:t>
            </w:r>
            <w:r w:rsidRPr="00776009">
              <w:t xml:space="preserve">the DSP </w:t>
            </w:r>
            <w:r w:rsidR="00FE5806" w:rsidRPr="00776009">
              <w:t xml:space="preserve">into </w:t>
            </w:r>
            <w:r w:rsidRPr="00776009">
              <w:t xml:space="preserve">the </w:t>
            </w:r>
            <w:r w:rsidR="00FE5806" w:rsidRPr="00776009">
              <w:t>HEPPP and ‘ring fence’ funding for disability</w:t>
            </w:r>
          </w:p>
        </w:tc>
        <w:tc>
          <w:tcPr>
            <w:tcW w:w="1993" w:type="pct"/>
          </w:tcPr>
          <w:p w14:paraId="5FE0A76E" w14:textId="5D5489D5" w:rsidR="00FE5806" w:rsidRPr="00776009" w:rsidRDefault="00FE5806" w:rsidP="005D49D1">
            <w:pPr>
              <w:pStyle w:val="ListBullet"/>
              <w:numPr>
                <w:ilvl w:val="0"/>
                <w:numId w:val="0"/>
              </w:numPr>
              <w:spacing w:after="240"/>
            </w:pPr>
            <w:r w:rsidRPr="00776009">
              <w:t>DSP funding could be combined with the H</w:t>
            </w:r>
            <w:r w:rsidR="005D49D1" w:rsidRPr="00776009">
              <w:t xml:space="preserve">igher </w:t>
            </w:r>
            <w:r w:rsidRPr="00776009">
              <w:t>E</w:t>
            </w:r>
            <w:r w:rsidR="005D49D1" w:rsidRPr="00776009">
              <w:t xml:space="preserve">ducation </w:t>
            </w:r>
            <w:r w:rsidRPr="00776009">
              <w:t>P</w:t>
            </w:r>
            <w:r w:rsidR="005D49D1" w:rsidRPr="00776009">
              <w:t xml:space="preserve">articipation and </w:t>
            </w:r>
            <w:r w:rsidRPr="00776009">
              <w:t>P</w:t>
            </w:r>
            <w:r w:rsidR="005D49D1" w:rsidRPr="00776009">
              <w:t xml:space="preserve">artnerships </w:t>
            </w:r>
            <w:r w:rsidRPr="00776009">
              <w:t>P</w:t>
            </w:r>
            <w:r w:rsidR="005D49D1" w:rsidRPr="00776009">
              <w:t xml:space="preserve">rogram. </w:t>
            </w:r>
          </w:p>
        </w:tc>
        <w:tc>
          <w:tcPr>
            <w:tcW w:w="2181" w:type="pct"/>
          </w:tcPr>
          <w:p w14:paraId="48841ACD" w14:textId="35513460" w:rsidR="00FE5806" w:rsidRPr="00776009" w:rsidRDefault="00972A20" w:rsidP="00972A20">
            <w:pPr>
              <w:pStyle w:val="ListBullet"/>
              <w:numPr>
                <w:ilvl w:val="0"/>
                <w:numId w:val="0"/>
              </w:numPr>
              <w:spacing w:after="240"/>
            </w:pPr>
            <w:r w:rsidRPr="00776009">
              <w:t>Not proposed for adoption. A</w:t>
            </w:r>
            <w:r w:rsidR="00FE5806" w:rsidRPr="00776009">
              <w:t xml:space="preserve"> standalone program signals the importance of improving outcomes for students with disability. The evaluation also found discrete DSP funding improves the timeliness of support provided to students in some cases.</w:t>
            </w:r>
          </w:p>
        </w:tc>
      </w:tr>
      <w:tr w:rsidR="00FE5806" w:rsidRPr="00776009" w14:paraId="213AA6C9" w14:textId="77777777" w:rsidTr="00E743A5">
        <w:trPr>
          <w:tblHeader/>
        </w:trPr>
        <w:tc>
          <w:tcPr>
            <w:tcW w:w="826" w:type="pct"/>
          </w:tcPr>
          <w:p w14:paraId="4F2CDB1A" w14:textId="075328BC" w:rsidR="00FE5806" w:rsidRPr="00776009" w:rsidRDefault="00972A20" w:rsidP="000F1AD0">
            <w:pPr>
              <w:pStyle w:val="ListBullet"/>
              <w:numPr>
                <w:ilvl w:val="0"/>
                <w:numId w:val="0"/>
              </w:numPr>
              <w:spacing w:after="240"/>
            </w:pPr>
            <w:r w:rsidRPr="00776009">
              <w:t xml:space="preserve">5.2.3 </w:t>
            </w:r>
            <w:r w:rsidR="00FE5806" w:rsidRPr="00776009">
              <w:t>Change reporting requirements for performance-based funding</w:t>
            </w:r>
          </w:p>
        </w:tc>
        <w:tc>
          <w:tcPr>
            <w:tcW w:w="1993" w:type="pct"/>
          </w:tcPr>
          <w:p w14:paraId="06DE673D" w14:textId="0BF43267" w:rsidR="00FE5806" w:rsidRPr="00776009" w:rsidRDefault="00FE5806" w:rsidP="00972A20">
            <w:pPr>
              <w:pStyle w:val="ListBullet"/>
              <w:numPr>
                <w:ilvl w:val="0"/>
                <w:numId w:val="0"/>
              </w:numPr>
              <w:spacing w:after="240"/>
            </w:pPr>
            <w:r w:rsidRPr="00776009">
              <w:t xml:space="preserve">No reporting </w:t>
            </w:r>
            <w:r w:rsidR="00972A20" w:rsidRPr="00776009">
              <w:t xml:space="preserve">is currently required </w:t>
            </w:r>
            <w:r w:rsidRPr="00776009">
              <w:t>by providers on the use of performance-based funding.</w:t>
            </w:r>
          </w:p>
        </w:tc>
        <w:tc>
          <w:tcPr>
            <w:tcW w:w="2181" w:type="pct"/>
          </w:tcPr>
          <w:p w14:paraId="1D2B4D21" w14:textId="0BEA2582" w:rsidR="00FE5806" w:rsidRPr="00776009" w:rsidRDefault="00972A20" w:rsidP="00972A20">
            <w:pPr>
              <w:pStyle w:val="ListBullet"/>
              <w:numPr>
                <w:ilvl w:val="0"/>
                <w:numId w:val="0"/>
              </w:numPr>
              <w:spacing w:after="240"/>
            </w:pPr>
            <w:r w:rsidRPr="00776009">
              <w:t xml:space="preserve">Adopted. This paper proposes reporting requirements that would apply to all activities under the program including those currently funded by performance based funding. </w:t>
            </w:r>
          </w:p>
        </w:tc>
      </w:tr>
      <w:tr w:rsidR="00FE5806" w:rsidRPr="00776009" w14:paraId="690EF0CE" w14:textId="77777777" w:rsidTr="00E743A5">
        <w:trPr>
          <w:tblHeader/>
        </w:trPr>
        <w:tc>
          <w:tcPr>
            <w:tcW w:w="826" w:type="pct"/>
          </w:tcPr>
          <w:p w14:paraId="621D1E8C" w14:textId="30ADB429" w:rsidR="00FE5806" w:rsidRPr="00776009" w:rsidRDefault="00972A20" w:rsidP="000F1AD0">
            <w:pPr>
              <w:pStyle w:val="ListBullet"/>
              <w:numPr>
                <w:ilvl w:val="0"/>
                <w:numId w:val="0"/>
              </w:numPr>
              <w:spacing w:after="240"/>
            </w:pPr>
            <w:r w:rsidRPr="00776009">
              <w:t xml:space="preserve">5.2.4 </w:t>
            </w:r>
            <w:r w:rsidR="00FE5806" w:rsidRPr="00776009">
              <w:t>Distribute all funding based on formula</w:t>
            </w:r>
          </w:p>
        </w:tc>
        <w:tc>
          <w:tcPr>
            <w:tcW w:w="1993" w:type="pct"/>
          </w:tcPr>
          <w:p w14:paraId="1229BD2D" w14:textId="119366FD" w:rsidR="00FE5806" w:rsidRPr="00776009" w:rsidRDefault="00FE5806" w:rsidP="00972A20">
            <w:pPr>
              <w:pStyle w:val="ListBullet"/>
              <w:numPr>
                <w:ilvl w:val="0"/>
                <w:numId w:val="0"/>
              </w:numPr>
              <w:spacing w:after="240"/>
            </w:pPr>
            <w:r w:rsidRPr="00776009">
              <w:t xml:space="preserve">Funding via formula will reduce the administrative burden and </w:t>
            </w:r>
            <w:r w:rsidR="00972A20" w:rsidRPr="00776009">
              <w:t xml:space="preserve">shift the program focus from inputs to outcomes. </w:t>
            </w:r>
          </w:p>
        </w:tc>
        <w:tc>
          <w:tcPr>
            <w:tcW w:w="2181" w:type="pct"/>
          </w:tcPr>
          <w:p w14:paraId="664B126E" w14:textId="6F9297C1" w:rsidR="00FE5806" w:rsidRPr="00776009" w:rsidRDefault="00972A20" w:rsidP="00972A20">
            <w:pPr>
              <w:pStyle w:val="ListBullet"/>
              <w:numPr>
                <w:ilvl w:val="0"/>
                <w:numId w:val="0"/>
              </w:numPr>
              <w:spacing w:after="240"/>
            </w:pPr>
            <w:r w:rsidRPr="00776009">
              <w:t xml:space="preserve">Adopted. </w:t>
            </w:r>
            <w:r w:rsidR="00FE5806" w:rsidRPr="00776009">
              <w:t>Th</w:t>
            </w:r>
            <w:r w:rsidRPr="00776009">
              <w:t xml:space="preserve">is paper proposes </w:t>
            </w:r>
            <w:r w:rsidR="00FE5806" w:rsidRPr="00776009">
              <w:t>a formula based on the number of students with disability enrolled at each provider.</w:t>
            </w:r>
          </w:p>
        </w:tc>
      </w:tr>
      <w:tr w:rsidR="00FE5806" w:rsidRPr="00776009" w14:paraId="5A4378D2" w14:textId="77777777" w:rsidTr="00E743A5">
        <w:trPr>
          <w:tblHeader/>
        </w:trPr>
        <w:tc>
          <w:tcPr>
            <w:tcW w:w="826" w:type="pct"/>
          </w:tcPr>
          <w:p w14:paraId="7D390FC9" w14:textId="65D4B601" w:rsidR="00FE5806" w:rsidRPr="00776009" w:rsidRDefault="00972A20" w:rsidP="000F1AD0">
            <w:pPr>
              <w:pStyle w:val="ListBullet"/>
              <w:numPr>
                <w:ilvl w:val="0"/>
                <w:numId w:val="0"/>
              </w:numPr>
              <w:spacing w:after="240"/>
            </w:pPr>
            <w:r w:rsidRPr="00776009">
              <w:t xml:space="preserve">5.2.5 </w:t>
            </w:r>
            <w:r w:rsidR="00FE5806" w:rsidRPr="00776009">
              <w:t>Expanded role for ADCET</w:t>
            </w:r>
          </w:p>
        </w:tc>
        <w:tc>
          <w:tcPr>
            <w:tcW w:w="1993" w:type="pct"/>
          </w:tcPr>
          <w:p w14:paraId="111F8304" w14:textId="47D4F810" w:rsidR="00FE5806" w:rsidRPr="00776009" w:rsidRDefault="00FE5806" w:rsidP="00972A20">
            <w:pPr>
              <w:pStyle w:val="ListBullet"/>
              <w:numPr>
                <w:ilvl w:val="0"/>
                <w:numId w:val="0"/>
              </w:numPr>
              <w:spacing w:after="240"/>
            </w:pPr>
            <w:r w:rsidRPr="00776009">
              <w:t xml:space="preserve">ADCET </w:t>
            </w:r>
            <w:r w:rsidR="00972A20" w:rsidRPr="00776009">
              <w:t xml:space="preserve">could act as a centre for excellence promoting best practice and undertaking research to improve outcomes for students. </w:t>
            </w:r>
          </w:p>
        </w:tc>
        <w:tc>
          <w:tcPr>
            <w:tcW w:w="2181" w:type="pct"/>
          </w:tcPr>
          <w:p w14:paraId="00F1E0A3" w14:textId="6CB17715" w:rsidR="00FE5806" w:rsidRPr="00776009" w:rsidRDefault="00972A20" w:rsidP="002F3CCD">
            <w:pPr>
              <w:pStyle w:val="ListBullet"/>
              <w:numPr>
                <w:ilvl w:val="0"/>
                <w:numId w:val="0"/>
              </w:numPr>
              <w:spacing w:after="240"/>
            </w:pPr>
            <w:r w:rsidRPr="00776009">
              <w:t>I</w:t>
            </w:r>
            <w:r w:rsidR="00FE5806" w:rsidRPr="00776009">
              <w:t>ncrease ADCET funding from around $80,000 per year to $150,000 per year. The consultation paper seeks feedback from providers as to</w:t>
            </w:r>
            <w:r w:rsidR="002F3CCD" w:rsidRPr="00776009">
              <w:t xml:space="preserve"> an</w:t>
            </w:r>
            <w:r w:rsidRPr="00776009">
              <w:t xml:space="preserve"> expanded </w:t>
            </w:r>
            <w:r w:rsidR="00FE5806" w:rsidRPr="00776009">
              <w:t>role for ADCET.</w:t>
            </w:r>
          </w:p>
        </w:tc>
      </w:tr>
      <w:tr w:rsidR="00FE5806" w:rsidRPr="00776009" w14:paraId="30F489BB" w14:textId="77777777" w:rsidTr="00E743A5">
        <w:trPr>
          <w:tblHeader/>
        </w:trPr>
        <w:tc>
          <w:tcPr>
            <w:tcW w:w="826" w:type="pct"/>
          </w:tcPr>
          <w:p w14:paraId="697F058D" w14:textId="14523F31" w:rsidR="00FE5806" w:rsidRPr="00776009" w:rsidRDefault="002F3CCD" w:rsidP="000F1AD0">
            <w:pPr>
              <w:pStyle w:val="ListBullet"/>
              <w:numPr>
                <w:ilvl w:val="0"/>
                <w:numId w:val="0"/>
              </w:numPr>
              <w:spacing w:after="240"/>
            </w:pPr>
            <w:r w:rsidRPr="00776009">
              <w:t xml:space="preserve">5.2.6 </w:t>
            </w:r>
            <w:r w:rsidR="00FE5806" w:rsidRPr="00776009">
              <w:t xml:space="preserve">Change ratio of </w:t>
            </w:r>
            <w:r w:rsidRPr="00776009">
              <w:t xml:space="preserve">funding </w:t>
            </w:r>
            <w:r w:rsidR="00FE5806" w:rsidRPr="00776009">
              <w:t>split between ASSD and performance based funding</w:t>
            </w:r>
          </w:p>
        </w:tc>
        <w:tc>
          <w:tcPr>
            <w:tcW w:w="1993" w:type="pct"/>
          </w:tcPr>
          <w:p w14:paraId="4904E1CA" w14:textId="77777777" w:rsidR="00FE5806" w:rsidRPr="00776009" w:rsidRDefault="00FE5806" w:rsidP="000F1AD0">
            <w:pPr>
              <w:pStyle w:val="ListBullet"/>
              <w:numPr>
                <w:ilvl w:val="0"/>
                <w:numId w:val="0"/>
              </w:numPr>
              <w:spacing w:after="240"/>
            </w:pPr>
            <w:r w:rsidRPr="00776009">
              <w:t>Providing more funding for the performance based component of the program could encourage providers to focus on broader efforts to attract and support students with disability.</w:t>
            </w:r>
          </w:p>
        </w:tc>
        <w:tc>
          <w:tcPr>
            <w:tcW w:w="2181" w:type="pct"/>
          </w:tcPr>
          <w:p w14:paraId="5B56EDFA" w14:textId="25612184" w:rsidR="00FE5806" w:rsidRPr="00776009" w:rsidRDefault="00FE5806" w:rsidP="002F3CCD">
            <w:pPr>
              <w:pStyle w:val="ListBullet"/>
              <w:numPr>
                <w:ilvl w:val="0"/>
                <w:numId w:val="0"/>
              </w:numPr>
              <w:spacing w:after="240"/>
            </w:pPr>
            <w:r w:rsidRPr="00776009">
              <w:t xml:space="preserve">The proposal combines both funding sources and allows providers the flexibility to </w:t>
            </w:r>
            <w:r w:rsidR="002F3CCD" w:rsidRPr="00776009">
              <w:t xml:space="preserve">allocate funds between them in accordance with their strategic approach and student cohort. </w:t>
            </w:r>
          </w:p>
        </w:tc>
      </w:tr>
      <w:tr w:rsidR="00550FEF" w:rsidRPr="00776009" w14:paraId="713D6850" w14:textId="77777777" w:rsidTr="00AC7936">
        <w:trPr>
          <w:tblHeader/>
        </w:trPr>
        <w:tc>
          <w:tcPr>
            <w:tcW w:w="826" w:type="pct"/>
          </w:tcPr>
          <w:p w14:paraId="452956C3" w14:textId="06F2EE80" w:rsidR="00550FEF" w:rsidRPr="00776009" w:rsidRDefault="00550FEF" w:rsidP="00E743A5">
            <w:pPr>
              <w:pStyle w:val="ListBullet"/>
              <w:numPr>
                <w:ilvl w:val="0"/>
                <w:numId w:val="0"/>
              </w:numPr>
              <w:spacing w:after="240"/>
              <w:jc w:val="center"/>
            </w:pPr>
            <w:r w:rsidRPr="00776009">
              <w:rPr>
                <w:b/>
              </w:rPr>
              <w:lastRenderedPageBreak/>
              <w:t>Opportunity for Improvement</w:t>
            </w:r>
          </w:p>
        </w:tc>
        <w:tc>
          <w:tcPr>
            <w:tcW w:w="1993" w:type="pct"/>
          </w:tcPr>
          <w:p w14:paraId="5DF24942" w14:textId="30B44B3D" w:rsidR="00550FEF" w:rsidRPr="00776009" w:rsidRDefault="00550FEF" w:rsidP="00E743A5">
            <w:pPr>
              <w:pStyle w:val="ListBullet"/>
              <w:numPr>
                <w:ilvl w:val="0"/>
                <w:numId w:val="0"/>
              </w:numPr>
              <w:spacing w:after="240"/>
              <w:jc w:val="center"/>
            </w:pPr>
            <w:r w:rsidRPr="00776009">
              <w:rPr>
                <w:b/>
              </w:rPr>
              <w:t>Description</w:t>
            </w:r>
          </w:p>
        </w:tc>
        <w:tc>
          <w:tcPr>
            <w:tcW w:w="2181" w:type="pct"/>
          </w:tcPr>
          <w:p w14:paraId="32F161B0" w14:textId="0FB7397B" w:rsidR="00550FEF" w:rsidRPr="00776009" w:rsidRDefault="00550FEF" w:rsidP="00E743A5">
            <w:pPr>
              <w:pStyle w:val="ListBullet"/>
              <w:numPr>
                <w:ilvl w:val="0"/>
                <w:numId w:val="0"/>
              </w:numPr>
              <w:spacing w:after="240"/>
              <w:jc w:val="center"/>
            </w:pPr>
            <w:r w:rsidRPr="00776009">
              <w:rPr>
                <w:b/>
              </w:rPr>
              <w:t>Response</w:t>
            </w:r>
          </w:p>
        </w:tc>
      </w:tr>
      <w:tr w:rsidR="00FE5806" w:rsidRPr="00776009" w14:paraId="64E9A299" w14:textId="77777777" w:rsidTr="00E743A5">
        <w:trPr>
          <w:tblHeader/>
        </w:trPr>
        <w:tc>
          <w:tcPr>
            <w:tcW w:w="826" w:type="pct"/>
          </w:tcPr>
          <w:p w14:paraId="305492B7" w14:textId="1A4F9594" w:rsidR="00FE5806" w:rsidRPr="00776009" w:rsidRDefault="002F3CCD" w:rsidP="000F1AD0">
            <w:pPr>
              <w:pStyle w:val="ListBullet"/>
              <w:numPr>
                <w:ilvl w:val="0"/>
                <w:numId w:val="0"/>
              </w:numPr>
              <w:spacing w:after="240"/>
            </w:pPr>
            <w:r w:rsidRPr="00776009">
              <w:t xml:space="preserve">5.2.7 </w:t>
            </w:r>
            <w:r w:rsidR="00FE5806" w:rsidRPr="00776009">
              <w:t>Provide funding for staff training</w:t>
            </w:r>
          </w:p>
        </w:tc>
        <w:tc>
          <w:tcPr>
            <w:tcW w:w="1993" w:type="pct"/>
          </w:tcPr>
          <w:p w14:paraId="378D50C5" w14:textId="77777777" w:rsidR="00FE5806" w:rsidRPr="00776009" w:rsidRDefault="00FE5806" w:rsidP="000F1AD0">
            <w:pPr>
              <w:pStyle w:val="ListBullet"/>
              <w:numPr>
                <w:ilvl w:val="0"/>
                <w:numId w:val="0"/>
              </w:numPr>
              <w:spacing w:after="240"/>
            </w:pPr>
            <w:r w:rsidRPr="00776009">
              <w:t>Making funding available for staff training activities would improve the DSP’s ability to respond to changes in student needs.</w:t>
            </w:r>
          </w:p>
        </w:tc>
        <w:tc>
          <w:tcPr>
            <w:tcW w:w="2181" w:type="pct"/>
          </w:tcPr>
          <w:p w14:paraId="43606AAF" w14:textId="7A2A1352" w:rsidR="00FE5806" w:rsidRPr="00776009" w:rsidRDefault="002F3CCD" w:rsidP="000F1AD0">
            <w:pPr>
              <w:pStyle w:val="ListBullet"/>
              <w:numPr>
                <w:ilvl w:val="0"/>
                <w:numId w:val="0"/>
              </w:numPr>
              <w:spacing w:after="240"/>
            </w:pPr>
            <w:r w:rsidRPr="00776009">
              <w:t xml:space="preserve">Adopted. </w:t>
            </w:r>
            <w:r w:rsidR="00FE5806" w:rsidRPr="00776009">
              <w:t>The proposal includes ‘training of higher education provider staff to support students with disability’ as an eligible DSP activity.</w:t>
            </w:r>
          </w:p>
        </w:tc>
      </w:tr>
    </w:tbl>
    <w:p w14:paraId="4B1A1B26" w14:textId="77777777" w:rsidR="00467454" w:rsidRPr="00776009" w:rsidRDefault="00467454" w:rsidP="00CF6C5C">
      <w:pPr>
        <w:pStyle w:val="Heading2"/>
        <w:spacing w:before="120" w:after="120"/>
      </w:pPr>
    </w:p>
    <w:p w14:paraId="154B2E19" w14:textId="77777777" w:rsidR="00467454" w:rsidRPr="00776009" w:rsidRDefault="00467454">
      <w:pPr>
        <w:rPr>
          <w:rFonts w:ascii="Calibri" w:eastAsiaTheme="majorEastAsia" w:hAnsi="Calibri" w:cstheme="majorBidi"/>
          <w:b/>
          <w:bCs/>
          <w:sz w:val="28"/>
          <w:szCs w:val="26"/>
        </w:rPr>
      </w:pPr>
      <w:r w:rsidRPr="00776009">
        <w:br w:type="page"/>
      </w:r>
    </w:p>
    <w:p w14:paraId="2F0414E0" w14:textId="439063A3" w:rsidR="007C2887" w:rsidRPr="00776009" w:rsidRDefault="00E94792" w:rsidP="002F3CCD">
      <w:pPr>
        <w:pStyle w:val="Heading1"/>
        <w:spacing w:before="120"/>
      </w:pPr>
      <w:bookmarkStart w:id="13" w:name="_Toc465412629"/>
      <w:r w:rsidRPr="00776009">
        <w:lastRenderedPageBreak/>
        <w:t>Feedback on</w:t>
      </w:r>
      <w:r w:rsidR="003E74A3" w:rsidRPr="00776009">
        <w:t xml:space="preserve"> Consultation Paper Issues</w:t>
      </w:r>
      <w:bookmarkEnd w:id="13"/>
    </w:p>
    <w:p w14:paraId="08C383D9" w14:textId="1F2850B3" w:rsidR="003E74A3" w:rsidRPr="00776009" w:rsidRDefault="00E94792" w:rsidP="003E74A3">
      <w:r w:rsidRPr="00776009">
        <w:t>Feedback is</w:t>
      </w:r>
      <w:r w:rsidR="003E74A3" w:rsidRPr="00776009">
        <w:t xml:space="preserve"> welcome on the ideas presented in this paper and any other ideas to improve the DSP that stakeholders wish to raise.</w:t>
      </w:r>
    </w:p>
    <w:p w14:paraId="4AF0F7B7" w14:textId="77777777" w:rsidR="003E74A3" w:rsidRPr="00776009" w:rsidRDefault="003E74A3" w:rsidP="003E74A3">
      <w:r w:rsidRPr="00776009">
        <w:t xml:space="preserve">It is not necessary to prepare a long, detailed submission or one that addresses all aspects of this consultation paper. You may prefer to address a few key issues that you believe to be important. </w:t>
      </w:r>
    </w:p>
    <w:p w14:paraId="35C07A31" w14:textId="2E34E663" w:rsidR="007C2887" w:rsidRPr="00776009" w:rsidRDefault="003E74A3" w:rsidP="00E94792">
      <w:pPr>
        <w:spacing w:after="0"/>
      </w:pPr>
      <w:r w:rsidRPr="00776009">
        <w:t>The questions below express the main issues presented in this paper, which you may find useful in framing your response.</w:t>
      </w:r>
    </w:p>
    <w:p w14:paraId="5C4CC8A6" w14:textId="77777777" w:rsidR="00E94792" w:rsidRPr="00776009" w:rsidRDefault="00E94792" w:rsidP="00E94792">
      <w:pPr>
        <w:spacing w:after="0"/>
      </w:pPr>
    </w:p>
    <w:p w14:paraId="0C6B5B9D" w14:textId="42F4948F" w:rsidR="007C2887" w:rsidRPr="00776009" w:rsidRDefault="007C2887" w:rsidP="00E743A5">
      <w:pPr>
        <w:pStyle w:val="ListNumber"/>
        <w:contextualSpacing w:val="0"/>
      </w:pPr>
      <w:r w:rsidRPr="00776009">
        <w:t xml:space="preserve">Is </w:t>
      </w:r>
      <w:r w:rsidR="00DE70CB" w:rsidRPr="00776009">
        <w:t xml:space="preserve">distributing DSP funding via formula the best method of </w:t>
      </w:r>
      <w:r w:rsidR="00C30DD1" w:rsidRPr="00776009">
        <w:t>simplifying the</w:t>
      </w:r>
      <w:r w:rsidR="00DE70CB" w:rsidRPr="00776009">
        <w:t xml:space="preserve"> administration </w:t>
      </w:r>
      <w:r w:rsidR="00C03746" w:rsidRPr="00776009">
        <w:t>arrangements for</w:t>
      </w:r>
      <w:r w:rsidR="00DE70CB" w:rsidRPr="00776009">
        <w:t xml:space="preserve"> providers under the current ASSD?</w:t>
      </w:r>
    </w:p>
    <w:p w14:paraId="6B80E586" w14:textId="62E681FE" w:rsidR="00E73DCF" w:rsidRPr="00776009" w:rsidRDefault="00DE70CB" w:rsidP="00E743A5">
      <w:pPr>
        <w:pStyle w:val="ListNumber"/>
        <w:contextualSpacing w:val="0"/>
      </w:pPr>
      <w:r w:rsidRPr="00776009">
        <w:t>If so</w:t>
      </w:r>
      <w:r w:rsidR="00E0725C" w:rsidRPr="00776009">
        <w:t>,</w:t>
      </w:r>
      <w:r w:rsidR="00550FEF" w:rsidRPr="00776009">
        <w:t xml:space="preserve"> </w:t>
      </w:r>
      <w:r w:rsidR="00E73DCF" w:rsidRPr="00776009">
        <w:t>is the proposed formula the most appropriate to use?</w:t>
      </w:r>
    </w:p>
    <w:p w14:paraId="5D66E83F" w14:textId="23FBC0B9" w:rsidR="00C03746" w:rsidRPr="00776009" w:rsidRDefault="00EC676B">
      <w:pPr>
        <w:pStyle w:val="ListNumber"/>
        <w:contextualSpacing w:val="0"/>
      </w:pPr>
      <w:r w:rsidRPr="00776009">
        <w:t xml:space="preserve">Are there particular issues that </w:t>
      </w:r>
      <w:r w:rsidR="00C03746" w:rsidRPr="00776009">
        <w:t xml:space="preserve">should </w:t>
      </w:r>
      <w:r w:rsidRPr="00776009">
        <w:t xml:space="preserve">be </w:t>
      </w:r>
      <w:r w:rsidR="00C03746" w:rsidRPr="00776009">
        <w:t>consider</w:t>
      </w:r>
      <w:r w:rsidRPr="00776009">
        <w:t>ed</w:t>
      </w:r>
      <w:r w:rsidR="00C03746" w:rsidRPr="00776009">
        <w:t xml:space="preserve"> further in developing the new DSP reporting requirements? Is there easily reportable and standardised data collected by providers that would be useful in conveying the </w:t>
      </w:r>
      <w:r w:rsidR="00B30FC6" w:rsidRPr="00776009">
        <w:t>benefits and outcomes obtained through DSP funding?</w:t>
      </w:r>
    </w:p>
    <w:p w14:paraId="4274DA4F" w14:textId="7E4BE9FA" w:rsidR="00B30FC6" w:rsidRPr="00776009" w:rsidRDefault="00B30FC6">
      <w:pPr>
        <w:pStyle w:val="ListNumber"/>
        <w:contextualSpacing w:val="0"/>
      </w:pPr>
      <w:r w:rsidRPr="00776009">
        <w:t xml:space="preserve">Do the combined old and new activities listed in the </w:t>
      </w:r>
      <w:r w:rsidR="00A849FA" w:rsidRPr="00776009">
        <w:t xml:space="preserve">proposed program parameters </w:t>
      </w:r>
      <w:r w:rsidR="003E74A3" w:rsidRPr="00776009">
        <w:t xml:space="preserve">correspond to </w:t>
      </w:r>
      <w:r w:rsidRPr="00776009">
        <w:t xml:space="preserve">the </w:t>
      </w:r>
      <w:r w:rsidR="0025620C" w:rsidRPr="00776009">
        <w:t xml:space="preserve">main </w:t>
      </w:r>
      <w:r w:rsidRPr="00776009">
        <w:t>challenges faced by providers in supporting students with disability?</w:t>
      </w:r>
    </w:p>
    <w:p w14:paraId="6B304A26" w14:textId="3A07028C" w:rsidR="00C30DD1" w:rsidRPr="00776009" w:rsidRDefault="00C30DD1">
      <w:pPr>
        <w:pStyle w:val="ListNumber"/>
        <w:contextualSpacing w:val="0"/>
      </w:pPr>
      <w:r w:rsidRPr="00776009">
        <w:t>Do providers support an increase in funding for ADCET to $150,000 per year? This represents around two per cent of DSP funds and an increase of around one per cent.</w:t>
      </w:r>
    </w:p>
    <w:p w14:paraId="042A22AE" w14:textId="6D1C3875" w:rsidR="00DE70CB" w:rsidRPr="00776009" w:rsidRDefault="00DE70CB">
      <w:pPr>
        <w:pStyle w:val="ListNumber"/>
        <w:contextualSpacing w:val="0"/>
      </w:pPr>
      <w:r w:rsidRPr="00776009">
        <w:t xml:space="preserve">What additional </w:t>
      </w:r>
      <w:r w:rsidR="00B3551B" w:rsidRPr="00776009">
        <w:t>services or information</w:t>
      </w:r>
      <w:r w:rsidRPr="00776009">
        <w:t xml:space="preserve"> could ADCET provide that would be most useful to the sector’s ongoing work?</w:t>
      </w:r>
    </w:p>
    <w:p w14:paraId="47D22F09" w14:textId="6E022A11" w:rsidR="0004797B" w:rsidRPr="00776009" w:rsidRDefault="00E94792">
      <w:pPr>
        <w:pStyle w:val="ListNumber"/>
        <w:ind w:left="369" w:hanging="369"/>
        <w:contextualSpacing w:val="0"/>
      </w:pPr>
      <w:r w:rsidRPr="00776009">
        <w:t>Should other or different changes be made to the DSP?</w:t>
      </w:r>
      <w:r w:rsidR="0004797B" w:rsidRPr="00776009">
        <w:br w:type="page"/>
      </w:r>
    </w:p>
    <w:p w14:paraId="70A6C15D" w14:textId="415C2384" w:rsidR="006A22B0" w:rsidRPr="00F25990" w:rsidRDefault="00686AD5" w:rsidP="00361FBB">
      <w:pPr>
        <w:pStyle w:val="Heading1"/>
        <w:jc w:val="right"/>
      </w:pPr>
      <w:bookmarkStart w:id="14" w:name="_Toc465412630"/>
      <w:r w:rsidRPr="00776009">
        <w:rPr>
          <w:b w:val="0"/>
          <w:bCs w:val="0"/>
        </w:rPr>
        <w:lastRenderedPageBreak/>
        <w:t xml:space="preserve">Appendix </w:t>
      </w:r>
      <w:r w:rsidR="006A22B0" w:rsidRPr="00776009">
        <w:rPr>
          <w:b w:val="0"/>
          <w:bCs w:val="0"/>
        </w:rPr>
        <w:t>A</w:t>
      </w:r>
      <w:bookmarkEnd w:id="14"/>
    </w:p>
    <w:p w14:paraId="21305278" w14:textId="47496A27" w:rsidR="001E73B5" w:rsidRPr="00776009" w:rsidRDefault="00201661" w:rsidP="001E73B5">
      <w:pPr>
        <w:pStyle w:val="Heading1"/>
        <w:jc w:val="center"/>
      </w:pPr>
      <w:r w:rsidRPr="00776009">
        <w:rPr>
          <w:b w:val="0"/>
          <w:bCs w:val="0"/>
        </w:rPr>
        <w:t xml:space="preserve"> </w:t>
      </w:r>
      <w:bookmarkStart w:id="15" w:name="_Toc465412631"/>
      <w:r w:rsidRPr="00776009">
        <w:rPr>
          <w:b w:val="0"/>
          <w:bCs w:val="0"/>
        </w:rPr>
        <w:t>Proposed Parameters for the Disability Support Program</w:t>
      </w:r>
      <w:bookmarkEnd w:id="15"/>
      <w:r w:rsidRPr="00776009">
        <w:rPr>
          <w:b w:val="0"/>
          <w:bCs w:val="0"/>
        </w:rPr>
        <w:t xml:space="preserve"> </w:t>
      </w:r>
    </w:p>
    <w:p w14:paraId="32F97335" w14:textId="77777777" w:rsidR="001E73B5" w:rsidRPr="00776009" w:rsidRDefault="001E73B5" w:rsidP="001E73B5">
      <w:pPr>
        <w:keepLines/>
        <w:tabs>
          <w:tab w:val="left" w:pos="1200"/>
        </w:tabs>
        <w:spacing w:after="0" w:line="240" w:lineRule="auto"/>
        <w:outlineLvl w:val="1"/>
        <w:rPr>
          <w:rFonts w:eastAsia="Times New Roman" w:cstheme="minorHAnsi"/>
          <w:bCs/>
          <w:iCs/>
        </w:rPr>
      </w:pPr>
    </w:p>
    <w:p w14:paraId="6656E4DA" w14:textId="7732F907" w:rsidR="001E73B5" w:rsidRPr="00776009" w:rsidRDefault="001E73B5" w:rsidP="00357014">
      <w:pPr>
        <w:rPr>
          <w:rFonts w:eastAsia="Times New Roman"/>
          <w:b/>
        </w:rPr>
      </w:pPr>
      <w:bookmarkStart w:id="16" w:name="_Toc406581145"/>
      <w:r w:rsidRPr="00776009">
        <w:rPr>
          <w:rFonts w:eastAsia="Times New Roman"/>
          <w:b/>
        </w:rPr>
        <w:t>Program objective and description</w:t>
      </w:r>
    </w:p>
    <w:p w14:paraId="2E9675BC" w14:textId="79887993" w:rsidR="001E73B5" w:rsidRPr="00776009" w:rsidRDefault="001E73B5" w:rsidP="00361FBB">
      <w:pPr>
        <w:keepLines/>
        <w:spacing w:after="0" w:line="240" w:lineRule="auto"/>
        <w:rPr>
          <w:rFonts w:eastAsia="Times New Roman" w:cstheme="minorHAnsi"/>
          <w:bCs/>
          <w:iCs/>
        </w:rPr>
      </w:pPr>
      <w:r w:rsidRPr="00776009">
        <w:rPr>
          <w:rFonts w:eastAsia="Times New Roman" w:cstheme="minorHAnsi"/>
          <w:bCs/>
          <w:iCs/>
        </w:rPr>
        <w:t>The objective of the Higher Education Disability Support Program is to help increase the number of undergraduate and postgraduate students with disability that access, participate in and succeed in higher education.</w:t>
      </w:r>
    </w:p>
    <w:p w14:paraId="5D2F6E68" w14:textId="77777777" w:rsidR="001E73B5" w:rsidRPr="00776009" w:rsidRDefault="001E73B5" w:rsidP="001E73B5">
      <w:pPr>
        <w:keepLines/>
        <w:spacing w:after="0" w:line="240" w:lineRule="auto"/>
        <w:rPr>
          <w:rFonts w:eastAsia="Times New Roman" w:cstheme="minorHAnsi"/>
        </w:rPr>
      </w:pPr>
    </w:p>
    <w:p w14:paraId="7FAB8610" w14:textId="77777777" w:rsidR="001E73B5" w:rsidRPr="00776009" w:rsidRDefault="001E73B5" w:rsidP="00361FBB">
      <w:pPr>
        <w:keepLines/>
        <w:spacing w:after="0" w:line="240" w:lineRule="auto"/>
        <w:rPr>
          <w:rFonts w:eastAsia="Times New Roman" w:cstheme="minorHAnsi"/>
        </w:rPr>
      </w:pPr>
      <w:r w:rsidRPr="00776009">
        <w:rPr>
          <w:rFonts w:eastAsia="Times New Roman" w:cstheme="minorHAnsi"/>
        </w:rPr>
        <w:t>Note 1: This objective is consistent with Australia’s obligations in relation to higher education under the Convention on the Rights of Persons with Disabilities.</w:t>
      </w:r>
    </w:p>
    <w:p w14:paraId="17053CFD" w14:textId="77777777" w:rsidR="00C73B9B" w:rsidRPr="00776009" w:rsidRDefault="00C73B9B" w:rsidP="001E73B5">
      <w:pPr>
        <w:keepLines/>
        <w:spacing w:after="0" w:line="240" w:lineRule="auto"/>
        <w:ind w:left="1100" w:hanging="1100"/>
        <w:rPr>
          <w:rFonts w:eastAsia="Times New Roman" w:cstheme="minorHAnsi"/>
        </w:rPr>
      </w:pPr>
    </w:p>
    <w:bookmarkEnd w:id="16"/>
    <w:p w14:paraId="0F27D473" w14:textId="1E5258D5" w:rsidR="001E73B5" w:rsidRPr="00776009" w:rsidRDefault="001E73B5" w:rsidP="00361FBB">
      <w:pPr>
        <w:keepLines/>
        <w:spacing w:after="0" w:line="240" w:lineRule="auto"/>
        <w:rPr>
          <w:rFonts w:eastAsia="Times New Roman" w:cstheme="minorHAnsi"/>
          <w:color w:val="000000"/>
          <w:lang w:eastAsia="en-AU"/>
        </w:rPr>
      </w:pPr>
      <w:r w:rsidRPr="00776009">
        <w:rPr>
          <w:rFonts w:eastAsia="Times New Roman" w:cstheme="minorHAnsi"/>
          <w:color w:val="000000"/>
          <w:lang w:eastAsia="en-AU"/>
        </w:rPr>
        <w:t>The Higher Education Disability Support Program consists of two components:</w:t>
      </w:r>
    </w:p>
    <w:p w14:paraId="060DF774" w14:textId="77777777" w:rsidR="001E73B5" w:rsidRPr="00776009" w:rsidRDefault="001E73B5" w:rsidP="001E73B5">
      <w:pPr>
        <w:spacing w:after="0" w:line="240" w:lineRule="auto"/>
        <w:ind w:left="1843"/>
        <w:contextualSpacing/>
        <w:rPr>
          <w:rFonts w:eastAsia="Times New Roman" w:cstheme="minorHAnsi"/>
        </w:rPr>
      </w:pPr>
    </w:p>
    <w:p w14:paraId="60DACF0B" w14:textId="77777777" w:rsidR="001E73B5" w:rsidRPr="00776009" w:rsidRDefault="001E73B5" w:rsidP="001E73B5">
      <w:pPr>
        <w:keepLines/>
        <w:numPr>
          <w:ilvl w:val="0"/>
          <w:numId w:val="10"/>
        </w:numPr>
        <w:spacing w:after="0" w:line="240" w:lineRule="auto"/>
        <w:ind w:left="1843" w:hanging="709"/>
        <w:contextualSpacing/>
        <w:rPr>
          <w:rFonts w:eastAsia="Times New Roman" w:cstheme="minorHAnsi"/>
        </w:rPr>
      </w:pPr>
      <w:r w:rsidRPr="00776009">
        <w:rPr>
          <w:rFonts w:eastAsia="Times New Roman" w:cstheme="minorHAnsi"/>
        </w:rPr>
        <w:t>Disability Support Fund (DSF); and</w:t>
      </w:r>
    </w:p>
    <w:p w14:paraId="4545B1C9" w14:textId="77777777" w:rsidR="001E73B5" w:rsidRPr="00776009" w:rsidRDefault="001E73B5" w:rsidP="001E73B5">
      <w:pPr>
        <w:spacing w:after="0" w:line="240" w:lineRule="auto"/>
        <w:ind w:left="1843"/>
        <w:contextualSpacing/>
        <w:rPr>
          <w:rFonts w:eastAsia="Times New Roman" w:cstheme="minorHAnsi"/>
        </w:rPr>
      </w:pPr>
    </w:p>
    <w:p w14:paraId="1DC24F3A" w14:textId="77777777" w:rsidR="001E73B5" w:rsidRPr="00776009" w:rsidRDefault="001E73B5" w:rsidP="001E73B5">
      <w:pPr>
        <w:keepLines/>
        <w:numPr>
          <w:ilvl w:val="0"/>
          <w:numId w:val="10"/>
        </w:numPr>
        <w:spacing w:after="0" w:line="240" w:lineRule="auto"/>
        <w:ind w:left="1843" w:hanging="709"/>
        <w:contextualSpacing/>
        <w:rPr>
          <w:rFonts w:eastAsia="Times New Roman" w:cstheme="minorHAnsi"/>
        </w:rPr>
      </w:pPr>
      <w:r w:rsidRPr="00776009">
        <w:rPr>
          <w:rFonts w:eastAsia="Times New Roman" w:cstheme="minorHAnsi"/>
        </w:rPr>
        <w:t xml:space="preserve">Australian Disability Clearinghouse on Education and Training (ADCET). </w:t>
      </w:r>
    </w:p>
    <w:p w14:paraId="42662A6E" w14:textId="77777777" w:rsidR="001E73B5" w:rsidRPr="00776009" w:rsidRDefault="001E73B5" w:rsidP="001E73B5">
      <w:pPr>
        <w:tabs>
          <w:tab w:val="left" w:pos="1134"/>
        </w:tabs>
        <w:spacing w:after="0" w:line="240" w:lineRule="auto"/>
        <w:ind w:left="1200" w:hanging="1200"/>
        <w:rPr>
          <w:rFonts w:eastAsia="Times New Roman" w:cstheme="minorHAnsi"/>
          <w:color w:val="000000"/>
          <w:lang w:eastAsia="en-AU"/>
        </w:rPr>
      </w:pPr>
    </w:p>
    <w:p w14:paraId="647686F0" w14:textId="5826B619" w:rsidR="001E73B5" w:rsidRPr="00776009" w:rsidRDefault="001E73B5" w:rsidP="00357014">
      <w:pPr>
        <w:rPr>
          <w:rFonts w:eastAsia="Times New Roman"/>
          <w:b/>
        </w:rPr>
      </w:pPr>
      <w:bookmarkStart w:id="17" w:name="_Toc406581146"/>
      <w:r w:rsidRPr="00776009">
        <w:rPr>
          <w:rFonts w:eastAsia="Times New Roman"/>
          <w:b/>
        </w:rPr>
        <w:t>Total program funds and indexation</w:t>
      </w:r>
      <w:bookmarkEnd w:id="17"/>
    </w:p>
    <w:p w14:paraId="1C14046F" w14:textId="6024CB4D" w:rsidR="001E73B5" w:rsidRPr="00776009" w:rsidRDefault="001E73B5" w:rsidP="00361FBB">
      <w:pPr>
        <w:keepLines/>
        <w:spacing w:after="0" w:line="240" w:lineRule="auto"/>
        <w:rPr>
          <w:rFonts w:eastAsia="Times New Roman" w:cstheme="minorHAnsi"/>
          <w:color w:val="000000"/>
        </w:rPr>
      </w:pPr>
      <w:r w:rsidRPr="00776009">
        <w:rPr>
          <w:rFonts w:eastAsia="Times New Roman" w:cstheme="minorHAnsi"/>
          <w:color w:val="000000"/>
          <w:lang w:eastAsia="en-AU"/>
        </w:rPr>
        <w:t xml:space="preserve">The total grants amount available for the Higher Education Disability Support Program in </w:t>
      </w:r>
      <w:r w:rsidRPr="00776009">
        <w:rPr>
          <w:rFonts w:eastAsia="Times New Roman" w:cstheme="minorHAnsi"/>
          <w:lang w:eastAsia="en-AU"/>
        </w:rPr>
        <w:t xml:space="preserve">2017 will be $7,389,480 </w:t>
      </w:r>
      <w:r w:rsidRPr="00776009">
        <w:rPr>
          <w:rFonts w:eastAsia="Times New Roman" w:cstheme="minorHAnsi"/>
        </w:rPr>
        <w:t>(the “</w:t>
      </w:r>
      <w:r w:rsidRPr="00776009">
        <w:rPr>
          <w:rFonts w:eastAsia="Times New Roman" w:cstheme="minorHAnsi"/>
          <w:b/>
          <w:bCs/>
        </w:rPr>
        <w:t>2017 DSP Grants Total</w:t>
      </w:r>
      <w:r w:rsidRPr="00776009">
        <w:rPr>
          <w:rFonts w:eastAsia="Times New Roman" w:cstheme="minorHAnsi"/>
        </w:rPr>
        <w:t>”).</w:t>
      </w:r>
      <w:r w:rsidRPr="00776009">
        <w:rPr>
          <w:rFonts w:eastAsia="Times New Roman" w:cstheme="minorHAnsi"/>
          <w:lang w:eastAsia="en-AU"/>
        </w:rPr>
        <w:t xml:space="preserve">  </w:t>
      </w:r>
      <w:r w:rsidRPr="00776009">
        <w:rPr>
          <w:rFonts w:eastAsia="Times New Roman" w:cstheme="minorHAnsi"/>
          <w:color w:val="000000"/>
        </w:rPr>
        <w:t xml:space="preserve">The total amount available under the Higher Education Disability Support Program in any subsequent year will be calculated by indexing the </w:t>
      </w:r>
      <w:r w:rsidRPr="00776009">
        <w:rPr>
          <w:rFonts w:eastAsia="Times New Roman" w:cstheme="minorHAnsi"/>
        </w:rPr>
        <w:t xml:space="preserve">2017 </w:t>
      </w:r>
      <w:r w:rsidRPr="00776009">
        <w:rPr>
          <w:rFonts w:eastAsia="Times New Roman" w:cstheme="minorHAnsi"/>
          <w:color w:val="000000"/>
        </w:rPr>
        <w:t xml:space="preserve">DSP Grants Total in accordance with Part 5-6 of the </w:t>
      </w:r>
      <w:r w:rsidR="00C73B9B" w:rsidRPr="00361FBB">
        <w:rPr>
          <w:rFonts w:eastAsia="Times New Roman" w:cstheme="minorHAnsi"/>
          <w:i/>
          <w:color w:val="000000"/>
        </w:rPr>
        <w:t xml:space="preserve">Higher Education Support </w:t>
      </w:r>
      <w:r w:rsidRPr="00361FBB">
        <w:rPr>
          <w:rFonts w:eastAsia="Times New Roman" w:cstheme="minorHAnsi"/>
          <w:i/>
          <w:color w:val="000000"/>
        </w:rPr>
        <w:t>Act</w:t>
      </w:r>
      <w:r w:rsidR="00C73B9B" w:rsidRPr="00361FBB">
        <w:rPr>
          <w:rFonts w:eastAsia="Times New Roman" w:cstheme="minorHAnsi"/>
          <w:i/>
          <w:color w:val="000000"/>
        </w:rPr>
        <w:t xml:space="preserve"> 2003</w:t>
      </w:r>
      <w:r w:rsidRPr="00776009">
        <w:rPr>
          <w:rFonts w:eastAsia="Times New Roman" w:cstheme="minorHAnsi"/>
        </w:rPr>
        <w:t xml:space="preserve">.    </w:t>
      </w:r>
    </w:p>
    <w:p w14:paraId="46FADCFB" w14:textId="77777777" w:rsidR="001E73B5" w:rsidRPr="00776009" w:rsidRDefault="001E73B5" w:rsidP="001E73B5">
      <w:pPr>
        <w:keepLines/>
        <w:tabs>
          <w:tab w:val="left" w:pos="1134"/>
          <w:tab w:val="left" w:pos="1418"/>
        </w:tabs>
        <w:spacing w:after="0" w:line="240" w:lineRule="auto"/>
        <w:ind w:left="1200" w:hanging="1200"/>
        <w:rPr>
          <w:rFonts w:eastAsia="Times New Roman" w:cstheme="minorHAnsi"/>
          <w:color w:val="000000"/>
        </w:rPr>
      </w:pPr>
    </w:p>
    <w:p w14:paraId="20FC6E0A" w14:textId="7E982A3A" w:rsidR="001E73B5" w:rsidRPr="00776009" w:rsidRDefault="001E73B5" w:rsidP="00361FBB">
      <w:pPr>
        <w:keepLines/>
        <w:spacing w:after="0" w:line="240" w:lineRule="auto"/>
        <w:rPr>
          <w:rFonts w:eastAsia="Times New Roman" w:cstheme="minorHAnsi"/>
          <w:color w:val="000000"/>
        </w:rPr>
      </w:pPr>
      <w:r w:rsidRPr="00776009">
        <w:rPr>
          <w:rFonts w:eastAsia="Times New Roman" w:cstheme="minorHAnsi"/>
          <w:color w:val="000000"/>
        </w:rPr>
        <w:t xml:space="preserve">To avoid doubt, grants made under the Higher Education Disability Support Program are grants in respect of a year for the purposes of section 41-40 of the </w:t>
      </w:r>
      <w:r w:rsidR="00C73B9B" w:rsidRPr="00361FBB">
        <w:rPr>
          <w:rFonts w:eastAsia="Times New Roman" w:cstheme="minorHAnsi"/>
          <w:i/>
          <w:color w:val="000000"/>
        </w:rPr>
        <w:t xml:space="preserve">Higher Education Support </w:t>
      </w:r>
      <w:r w:rsidRPr="00361FBB">
        <w:rPr>
          <w:rFonts w:eastAsia="Times New Roman" w:cstheme="minorHAnsi"/>
          <w:i/>
          <w:color w:val="000000"/>
        </w:rPr>
        <w:t>Act</w:t>
      </w:r>
      <w:r w:rsidR="00C73B9B" w:rsidRPr="00361FBB">
        <w:rPr>
          <w:rFonts w:eastAsia="Times New Roman" w:cstheme="minorHAnsi"/>
          <w:i/>
          <w:color w:val="000000"/>
        </w:rPr>
        <w:t xml:space="preserve"> 2003</w:t>
      </w:r>
      <w:r w:rsidRPr="00776009">
        <w:rPr>
          <w:rFonts w:eastAsia="Times New Roman" w:cstheme="minorHAnsi"/>
          <w:color w:val="000000"/>
        </w:rPr>
        <w:t>.</w:t>
      </w:r>
    </w:p>
    <w:p w14:paraId="0F163BD8" w14:textId="77777777" w:rsidR="001E73B5" w:rsidRPr="00776009" w:rsidRDefault="001E73B5" w:rsidP="001E73B5">
      <w:pPr>
        <w:keepLines/>
        <w:spacing w:after="0" w:line="240" w:lineRule="auto"/>
        <w:ind w:left="1100" w:hanging="1100"/>
        <w:rPr>
          <w:rFonts w:eastAsia="Times New Roman" w:cstheme="minorHAnsi"/>
          <w:color w:val="000000"/>
        </w:rPr>
      </w:pPr>
    </w:p>
    <w:p w14:paraId="63028883" w14:textId="77777777" w:rsidR="001E73B5" w:rsidRPr="00776009" w:rsidRDefault="001E73B5" w:rsidP="00D9218D">
      <w:pPr>
        <w:rPr>
          <w:rFonts w:eastAsia="Times New Roman"/>
          <w:b/>
        </w:rPr>
      </w:pPr>
      <w:r w:rsidRPr="00776009">
        <w:rPr>
          <w:rFonts w:eastAsia="Times New Roman"/>
          <w:b/>
        </w:rPr>
        <w:t>Disability Support Fund</w:t>
      </w:r>
    </w:p>
    <w:p w14:paraId="5C543BD6" w14:textId="2E98EA6F" w:rsidR="001E73B5" w:rsidRPr="00776009" w:rsidRDefault="001E73B5" w:rsidP="001E73B5">
      <w:pPr>
        <w:keepLines/>
        <w:spacing w:after="0" w:line="240" w:lineRule="auto"/>
        <w:ind w:left="1100" w:hanging="1100"/>
        <w:rPr>
          <w:rFonts w:eastAsia="Times New Roman" w:cstheme="minorHAnsi"/>
          <w:b/>
          <w:bCs/>
          <w:iCs/>
          <w:color w:val="000000"/>
        </w:rPr>
      </w:pPr>
      <w:r w:rsidRPr="00776009">
        <w:rPr>
          <w:rFonts w:eastAsia="Times New Roman" w:cstheme="minorHAnsi"/>
          <w:b/>
          <w:bCs/>
          <w:iCs/>
          <w:color w:val="000000"/>
        </w:rPr>
        <w:t>Objectives</w:t>
      </w:r>
    </w:p>
    <w:p w14:paraId="268874CF" w14:textId="77777777" w:rsidR="001E73B5" w:rsidRPr="00776009" w:rsidRDefault="001E73B5" w:rsidP="001E73B5">
      <w:pPr>
        <w:keepLines/>
        <w:spacing w:after="0" w:line="240" w:lineRule="auto"/>
        <w:rPr>
          <w:rFonts w:eastAsia="Times New Roman" w:cstheme="minorHAnsi"/>
        </w:rPr>
      </w:pPr>
    </w:p>
    <w:p w14:paraId="5BF5EA89" w14:textId="3B666570" w:rsidR="001E73B5" w:rsidRPr="00776009" w:rsidRDefault="001E73B5" w:rsidP="00361FBB">
      <w:pPr>
        <w:keepLines/>
        <w:tabs>
          <w:tab w:val="left" w:pos="1134"/>
        </w:tabs>
        <w:spacing w:after="0" w:line="240" w:lineRule="auto"/>
        <w:rPr>
          <w:rFonts w:eastAsia="Times New Roman" w:cstheme="minorHAnsi"/>
        </w:rPr>
      </w:pPr>
      <w:r w:rsidRPr="00776009">
        <w:rPr>
          <w:rFonts w:eastAsia="Times New Roman" w:cstheme="minorHAnsi"/>
        </w:rPr>
        <w:t>The objectives of the DSF are to attract and provide appropriate support to domestic undergraduate and postgraduate students with disability to participate and succeed in higher education.</w:t>
      </w:r>
    </w:p>
    <w:p w14:paraId="04337299" w14:textId="77777777" w:rsidR="001E73B5" w:rsidRPr="00776009" w:rsidRDefault="001E73B5" w:rsidP="001E73B5">
      <w:pPr>
        <w:keepLines/>
        <w:spacing w:after="0" w:line="240" w:lineRule="auto"/>
        <w:rPr>
          <w:rFonts w:eastAsia="Times New Roman" w:cstheme="minorHAnsi"/>
        </w:rPr>
      </w:pPr>
    </w:p>
    <w:p w14:paraId="171EA87E" w14:textId="45FD1F82" w:rsidR="001E73B5" w:rsidRPr="00776009" w:rsidRDefault="001E73B5" w:rsidP="00361FBB">
      <w:pPr>
        <w:rPr>
          <w:rFonts w:eastAsia="Times New Roman" w:cstheme="minorHAnsi"/>
        </w:rPr>
      </w:pPr>
      <w:r w:rsidRPr="00776009">
        <w:rPr>
          <w:rFonts w:eastAsia="Times New Roman" w:cstheme="minorHAnsi"/>
          <w:b/>
        </w:rPr>
        <w:t>Allocation of funds</w:t>
      </w:r>
    </w:p>
    <w:p w14:paraId="0E32B634" w14:textId="1AAE9539" w:rsidR="00B77BEC" w:rsidRPr="00776009" w:rsidRDefault="001E73B5" w:rsidP="00361FBB">
      <w:pPr>
        <w:keepLines/>
        <w:tabs>
          <w:tab w:val="left" w:pos="1134"/>
        </w:tabs>
        <w:spacing w:after="0" w:line="240" w:lineRule="auto"/>
        <w:rPr>
          <w:rFonts w:eastAsia="Times New Roman" w:cstheme="minorHAnsi"/>
          <w:color w:val="000000"/>
        </w:rPr>
      </w:pPr>
      <w:r w:rsidRPr="00776009">
        <w:rPr>
          <w:rFonts w:eastAsia="Times New Roman" w:cstheme="minorHAnsi"/>
          <w:color w:val="000000"/>
        </w:rPr>
        <w:t>Each higher education provider’s yearly allocation of funding will be calculated based on the below formula:</w:t>
      </w:r>
    </w:p>
    <w:p w14:paraId="13C98698" w14:textId="77777777" w:rsidR="00B77BEC" w:rsidRPr="00776009" w:rsidRDefault="00B77BEC">
      <w:pPr>
        <w:rPr>
          <w:rFonts w:eastAsia="Times New Roman" w:cstheme="minorHAnsi"/>
          <w:color w:val="000000"/>
        </w:rPr>
      </w:pPr>
      <w:r w:rsidRPr="00776009">
        <w:rPr>
          <w:rFonts w:eastAsia="Times New Roman" w:cstheme="minorHAnsi"/>
          <w:color w:val="000000"/>
        </w:rPr>
        <w:br w:type="page"/>
      </w:r>
    </w:p>
    <w:tbl>
      <w:tblPr>
        <w:tblW w:w="4872" w:type="pct"/>
        <w:tblLook w:val="01E0" w:firstRow="1" w:lastRow="1" w:firstColumn="1" w:lastColumn="1" w:noHBand="0" w:noVBand="0"/>
      </w:tblPr>
      <w:tblGrid>
        <w:gridCol w:w="2433"/>
        <w:gridCol w:w="859"/>
        <w:gridCol w:w="5713"/>
      </w:tblGrid>
      <w:tr w:rsidR="001E73B5" w:rsidRPr="00776009" w14:paraId="7C379119" w14:textId="77777777" w:rsidTr="000F1AD0">
        <w:tc>
          <w:tcPr>
            <w:tcW w:w="1351" w:type="pct"/>
            <w:hideMark/>
          </w:tcPr>
          <w:p w14:paraId="5E0201B7" w14:textId="77777777" w:rsidR="001E73B5" w:rsidRPr="00776009" w:rsidRDefault="001E73B5" w:rsidP="001E73B5">
            <w:pPr>
              <w:keepLines/>
              <w:tabs>
                <w:tab w:val="left" w:pos="567"/>
                <w:tab w:val="left" w:pos="600"/>
                <w:tab w:val="left" w:pos="851"/>
                <w:tab w:val="left" w:pos="1100"/>
                <w:tab w:val="left" w:pos="1134"/>
              </w:tabs>
              <w:spacing w:after="0" w:line="240" w:lineRule="auto"/>
              <w:ind w:left="1134"/>
              <w:rPr>
                <w:rFonts w:eastAsia="Times New Roman" w:cstheme="minorHAnsi"/>
                <w:color w:val="000000"/>
              </w:rPr>
            </w:pPr>
            <w:r w:rsidRPr="00776009">
              <w:rPr>
                <w:rFonts w:eastAsia="Times New Roman" w:cstheme="minorHAnsi"/>
                <w:color w:val="000000"/>
              </w:rPr>
              <w:lastRenderedPageBreak/>
              <w:t>Grant</w:t>
            </w:r>
          </w:p>
        </w:tc>
        <w:tc>
          <w:tcPr>
            <w:tcW w:w="477" w:type="pct"/>
            <w:hideMark/>
          </w:tcPr>
          <w:p w14:paraId="0E08A160" w14:textId="77777777" w:rsidR="001E73B5" w:rsidRPr="00776009" w:rsidRDefault="001E73B5" w:rsidP="001E73B5">
            <w:pPr>
              <w:keepLines/>
              <w:spacing w:after="0" w:line="240" w:lineRule="auto"/>
              <w:ind w:left="-108"/>
              <w:rPr>
                <w:rFonts w:eastAsia="Times New Roman" w:cstheme="minorHAnsi"/>
                <w:color w:val="000000"/>
              </w:rPr>
            </w:pPr>
            <w:r w:rsidRPr="00776009">
              <w:rPr>
                <w:rFonts w:eastAsia="Times New Roman" w:cstheme="minorHAnsi"/>
                <w:color w:val="000000"/>
              </w:rPr>
              <w:t>=</w:t>
            </w:r>
          </w:p>
        </w:tc>
        <w:tc>
          <w:tcPr>
            <w:tcW w:w="3172" w:type="pct"/>
            <w:hideMark/>
          </w:tcPr>
          <w:p w14:paraId="7C2395D2" w14:textId="77777777" w:rsidR="001E73B5" w:rsidRPr="00776009" w:rsidRDefault="001E73B5" w:rsidP="001E73B5">
            <w:pPr>
              <w:keepLines/>
              <w:spacing w:after="0" w:line="240" w:lineRule="auto"/>
              <w:rPr>
                <w:rFonts w:eastAsia="Times New Roman" w:cstheme="minorHAnsi"/>
                <w:color w:val="000000"/>
              </w:rPr>
            </w:pPr>
            <w:r w:rsidRPr="00776009">
              <w:rPr>
                <w:rFonts w:eastAsia="Times New Roman" w:cstheme="minorHAnsi"/>
                <w:color w:val="000000"/>
              </w:rPr>
              <w:t>(A/B) x C</w:t>
            </w:r>
          </w:p>
        </w:tc>
      </w:tr>
      <w:tr w:rsidR="001E73B5" w:rsidRPr="00776009" w14:paraId="3271B134" w14:textId="77777777" w:rsidTr="000F1AD0">
        <w:tc>
          <w:tcPr>
            <w:tcW w:w="1351" w:type="pct"/>
          </w:tcPr>
          <w:p w14:paraId="7AC65700" w14:textId="77777777" w:rsidR="001E73B5" w:rsidRPr="00776009" w:rsidRDefault="001E73B5" w:rsidP="001E73B5">
            <w:pPr>
              <w:numPr>
                <w:ilvl w:val="12"/>
                <w:numId w:val="0"/>
              </w:numPr>
              <w:tabs>
                <w:tab w:val="left" w:pos="122"/>
                <w:tab w:val="left" w:pos="589"/>
              </w:tabs>
              <w:spacing w:after="0" w:line="240" w:lineRule="auto"/>
              <w:rPr>
                <w:rFonts w:eastAsia="Times New Roman" w:cstheme="minorHAnsi"/>
                <w:color w:val="000000"/>
              </w:rPr>
            </w:pPr>
          </w:p>
        </w:tc>
        <w:tc>
          <w:tcPr>
            <w:tcW w:w="477" w:type="pct"/>
          </w:tcPr>
          <w:p w14:paraId="2604A2FF" w14:textId="77777777" w:rsidR="001E73B5" w:rsidRPr="00776009" w:rsidRDefault="001E73B5" w:rsidP="001E73B5">
            <w:pPr>
              <w:numPr>
                <w:ilvl w:val="12"/>
                <w:numId w:val="0"/>
              </w:numPr>
              <w:tabs>
                <w:tab w:val="left" w:pos="122"/>
              </w:tabs>
              <w:spacing w:after="0" w:line="240" w:lineRule="auto"/>
              <w:rPr>
                <w:rFonts w:eastAsia="Times New Roman" w:cstheme="minorHAnsi"/>
                <w:b/>
                <w:bCs/>
                <w:color w:val="000000"/>
              </w:rPr>
            </w:pPr>
          </w:p>
        </w:tc>
        <w:tc>
          <w:tcPr>
            <w:tcW w:w="3172" w:type="pct"/>
          </w:tcPr>
          <w:p w14:paraId="1AEDDE31" w14:textId="77777777" w:rsidR="001E73B5" w:rsidRPr="00776009" w:rsidRDefault="001E73B5" w:rsidP="001E73B5">
            <w:pPr>
              <w:numPr>
                <w:ilvl w:val="12"/>
                <w:numId w:val="0"/>
              </w:numPr>
              <w:spacing w:after="0" w:line="240" w:lineRule="auto"/>
              <w:ind w:left="-108"/>
              <w:rPr>
                <w:rFonts w:eastAsia="Times New Roman" w:cstheme="minorHAnsi"/>
                <w:color w:val="000000"/>
              </w:rPr>
            </w:pPr>
          </w:p>
        </w:tc>
      </w:tr>
      <w:tr w:rsidR="001E73B5" w:rsidRPr="00776009" w14:paraId="7B38C34A" w14:textId="77777777" w:rsidTr="00DE5D5E">
        <w:tc>
          <w:tcPr>
            <w:tcW w:w="1351" w:type="pct"/>
            <w:hideMark/>
          </w:tcPr>
          <w:p w14:paraId="4EA7E298" w14:textId="77777777" w:rsidR="001E73B5" w:rsidRPr="00776009" w:rsidRDefault="001E73B5" w:rsidP="001E73B5">
            <w:pPr>
              <w:numPr>
                <w:ilvl w:val="12"/>
                <w:numId w:val="0"/>
              </w:numPr>
              <w:tabs>
                <w:tab w:val="left" w:pos="589"/>
                <w:tab w:val="left" w:pos="1134"/>
              </w:tabs>
              <w:spacing w:after="0" w:line="240" w:lineRule="auto"/>
              <w:ind w:right="-457" w:firstLine="1134"/>
              <w:rPr>
                <w:rFonts w:eastAsia="Times New Roman" w:cstheme="minorHAnsi"/>
                <w:color w:val="000000"/>
              </w:rPr>
            </w:pPr>
            <w:r w:rsidRPr="00776009">
              <w:rPr>
                <w:rFonts w:eastAsia="Times New Roman" w:cstheme="minorHAnsi"/>
                <w:color w:val="000000"/>
              </w:rPr>
              <w:t>Where:</w:t>
            </w:r>
          </w:p>
        </w:tc>
        <w:tc>
          <w:tcPr>
            <w:tcW w:w="477" w:type="pct"/>
            <w:vAlign w:val="center"/>
            <w:hideMark/>
          </w:tcPr>
          <w:p w14:paraId="19ACBEBB" w14:textId="31E4B53E" w:rsidR="001E73B5" w:rsidRPr="00776009" w:rsidRDefault="00DE5D5E" w:rsidP="00DE5D5E">
            <w:pPr>
              <w:numPr>
                <w:ilvl w:val="12"/>
                <w:numId w:val="0"/>
              </w:numPr>
              <w:spacing w:after="0" w:line="240" w:lineRule="auto"/>
              <w:ind w:left="-108"/>
              <w:rPr>
                <w:rFonts w:eastAsia="Times New Roman" w:cstheme="minorHAnsi"/>
                <w:bCs/>
                <w:color w:val="000000"/>
              </w:rPr>
            </w:pPr>
            <w:r>
              <w:rPr>
                <w:rFonts w:eastAsia="Times New Roman" w:cstheme="minorHAnsi"/>
                <w:bCs/>
                <w:color w:val="000000"/>
              </w:rPr>
              <w:t>A</w:t>
            </w:r>
          </w:p>
        </w:tc>
        <w:tc>
          <w:tcPr>
            <w:tcW w:w="3172" w:type="pct"/>
            <w:hideMark/>
          </w:tcPr>
          <w:p w14:paraId="131DD9CA" w14:textId="77777777" w:rsidR="001E73B5" w:rsidRPr="00776009" w:rsidRDefault="001E73B5" w:rsidP="001E73B5">
            <w:pPr>
              <w:numPr>
                <w:ilvl w:val="12"/>
                <w:numId w:val="0"/>
              </w:numPr>
              <w:spacing w:before="60" w:after="0" w:line="240" w:lineRule="auto"/>
              <w:ind w:left="10"/>
              <w:rPr>
                <w:rFonts w:eastAsia="Times New Roman" w:cstheme="minorHAnsi"/>
                <w:color w:val="000000"/>
              </w:rPr>
            </w:pPr>
            <w:proofErr w:type="gramStart"/>
            <w:r w:rsidRPr="00776009">
              <w:rPr>
                <w:rFonts w:eastAsia="Times New Roman" w:cstheme="minorHAnsi"/>
                <w:color w:val="000000"/>
              </w:rPr>
              <w:t>is</w:t>
            </w:r>
            <w:proofErr w:type="gramEnd"/>
            <w:r w:rsidRPr="00776009">
              <w:rPr>
                <w:rFonts w:eastAsia="Times New Roman" w:cstheme="minorHAnsi"/>
                <w:color w:val="000000"/>
              </w:rPr>
              <w:t xml:space="preserve"> the number of domestic students with disability enrolled at the higher education provider in the most recent year for which data is available.</w:t>
            </w:r>
          </w:p>
        </w:tc>
      </w:tr>
      <w:tr w:rsidR="001E73B5" w:rsidRPr="00776009" w14:paraId="25B7AE2C" w14:textId="77777777" w:rsidTr="00DE5D5E">
        <w:tc>
          <w:tcPr>
            <w:tcW w:w="1351" w:type="pct"/>
          </w:tcPr>
          <w:p w14:paraId="4BA8F4D4" w14:textId="77777777" w:rsidR="001E73B5" w:rsidRPr="00776009" w:rsidRDefault="001E73B5" w:rsidP="001E73B5">
            <w:pPr>
              <w:numPr>
                <w:ilvl w:val="12"/>
                <w:numId w:val="0"/>
              </w:numPr>
              <w:spacing w:after="0" w:line="240" w:lineRule="auto"/>
              <w:ind w:right="-108"/>
              <w:rPr>
                <w:rFonts w:eastAsia="Times New Roman" w:cstheme="minorHAnsi"/>
                <w:color w:val="000000"/>
              </w:rPr>
            </w:pPr>
          </w:p>
        </w:tc>
        <w:tc>
          <w:tcPr>
            <w:tcW w:w="477" w:type="pct"/>
            <w:vAlign w:val="center"/>
            <w:hideMark/>
          </w:tcPr>
          <w:p w14:paraId="2BC5481A" w14:textId="77777777" w:rsidR="001E73B5" w:rsidRPr="00776009" w:rsidRDefault="001E73B5" w:rsidP="00DE5D5E">
            <w:pPr>
              <w:numPr>
                <w:ilvl w:val="12"/>
                <w:numId w:val="0"/>
              </w:numPr>
              <w:spacing w:after="0" w:line="240" w:lineRule="auto"/>
              <w:ind w:left="-108" w:right="-108"/>
              <w:rPr>
                <w:rFonts w:eastAsia="Times New Roman" w:cstheme="minorHAnsi"/>
                <w:color w:val="000000"/>
              </w:rPr>
            </w:pPr>
            <w:r w:rsidRPr="00776009">
              <w:rPr>
                <w:rFonts w:eastAsia="Times New Roman" w:cstheme="minorHAnsi"/>
                <w:bCs/>
                <w:color w:val="000000"/>
              </w:rPr>
              <w:t>B</w:t>
            </w:r>
          </w:p>
        </w:tc>
        <w:tc>
          <w:tcPr>
            <w:tcW w:w="3172" w:type="pct"/>
            <w:hideMark/>
          </w:tcPr>
          <w:p w14:paraId="4A6BD42D" w14:textId="77777777" w:rsidR="001E73B5" w:rsidRPr="00776009" w:rsidRDefault="001E73B5" w:rsidP="001E73B5">
            <w:pPr>
              <w:numPr>
                <w:ilvl w:val="12"/>
                <w:numId w:val="0"/>
              </w:numPr>
              <w:spacing w:before="60" w:after="0" w:line="240" w:lineRule="auto"/>
              <w:ind w:left="-10"/>
              <w:rPr>
                <w:rFonts w:eastAsia="Times New Roman" w:cstheme="minorHAnsi"/>
                <w:color w:val="000000"/>
              </w:rPr>
            </w:pPr>
            <w:r w:rsidRPr="00776009">
              <w:rPr>
                <w:rFonts w:eastAsia="Times New Roman" w:cstheme="minorHAnsi"/>
                <w:color w:val="000000"/>
              </w:rPr>
              <w:tab/>
            </w:r>
            <w:proofErr w:type="gramStart"/>
            <w:r w:rsidRPr="00776009">
              <w:rPr>
                <w:rFonts w:eastAsia="Times New Roman" w:cstheme="minorHAnsi"/>
                <w:color w:val="000000"/>
              </w:rPr>
              <w:t>is</w:t>
            </w:r>
            <w:proofErr w:type="gramEnd"/>
            <w:r w:rsidRPr="00776009">
              <w:rPr>
                <w:rFonts w:eastAsia="Times New Roman" w:cstheme="minorHAnsi"/>
                <w:color w:val="000000"/>
              </w:rPr>
              <w:t xml:space="preserve"> the total number of domestic students with disability enrolled at all eligible higher education providers in the most recent year for which data is available.</w:t>
            </w:r>
          </w:p>
        </w:tc>
      </w:tr>
      <w:tr w:rsidR="001E73B5" w:rsidRPr="00776009" w14:paraId="1FDC0A72" w14:textId="77777777" w:rsidTr="00DE5D5E">
        <w:trPr>
          <w:trHeight w:val="383"/>
        </w:trPr>
        <w:tc>
          <w:tcPr>
            <w:tcW w:w="1351" w:type="pct"/>
          </w:tcPr>
          <w:p w14:paraId="12A19013" w14:textId="77777777" w:rsidR="001E73B5" w:rsidRPr="00776009" w:rsidRDefault="001E73B5" w:rsidP="001E73B5">
            <w:pPr>
              <w:numPr>
                <w:ilvl w:val="12"/>
                <w:numId w:val="0"/>
              </w:numPr>
              <w:spacing w:after="0" w:line="240" w:lineRule="auto"/>
              <w:ind w:right="-108"/>
              <w:rPr>
                <w:rFonts w:eastAsia="Times New Roman" w:cstheme="minorHAnsi"/>
                <w:color w:val="000000"/>
              </w:rPr>
            </w:pPr>
          </w:p>
        </w:tc>
        <w:tc>
          <w:tcPr>
            <w:tcW w:w="477" w:type="pct"/>
            <w:vAlign w:val="center"/>
          </w:tcPr>
          <w:p w14:paraId="5B20E452" w14:textId="77777777" w:rsidR="001E73B5" w:rsidRPr="00776009" w:rsidRDefault="001E73B5" w:rsidP="00DE5D5E">
            <w:pPr>
              <w:numPr>
                <w:ilvl w:val="12"/>
                <w:numId w:val="0"/>
              </w:numPr>
              <w:spacing w:after="0" w:line="240" w:lineRule="auto"/>
              <w:ind w:left="-108" w:right="-108"/>
              <w:rPr>
                <w:rFonts w:eastAsia="Times New Roman" w:cstheme="minorHAnsi"/>
                <w:bCs/>
                <w:color w:val="000000"/>
              </w:rPr>
            </w:pPr>
            <w:r w:rsidRPr="00776009">
              <w:rPr>
                <w:rFonts w:eastAsia="Times New Roman" w:cstheme="minorHAnsi"/>
                <w:bCs/>
                <w:color w:val="000000"/>
              </w:rPr>
              <w:t>C</w:t>
            </w:r>
          </w:p>
        </w:tc>
        <w:tc>
          <w:tcPr>
            <w:tcW w:w="3172" w:type="pct"/>
          </w:tcPr>
          <w:p w14:paraId="17E3F934" w14:textId="1A69C761" w:rsidR="001E73B5" w:rsidRPr="00776009" w:rsidRDefault="001E73B5" w:rsidP="00DC6F84">
            <w:pPr>
              <w:numPr>
                <w:ilvl w:val="12"/>
                <w:numId w:val="0"/>
              </w:numPr>
              <w:spacing w:before="60" w:after="0" w:line="240" w:lineRule="auto"/>
              <w:ind w:left="-10"/>
              <w:rPr>
                <w:rFonts w:eastAsia="Times New Roman" w:cstheme="minorHAnsi"/>
                <w:color w:val="000000"/>
              </w:rPr>
            </w:pPr>
            <w:proofErr w:type="gramStart"/>
            <w:r w:rsidRPr="00776009">
              <w:rPr>
                <w:rFonts w:eastAsia="Times New Roman" w:cstheme="minorHAnsi"/>
                <w:color w:val="000000"/>
              </w:rPr>
              <w:t>is</w:t>
            </w:r>
            <w:proofErr w:type="gramEnd"/>
            <w:r w:rsidRPr="00776009">
              <w:rPr>
                <w:rFonts w:eastAsia="Times New Roman" w:cstheme="minorHAnsi"/>
                <w:color w:val="000000"/>
              </w:rPr>
              <w:t xml:space="preserve"> the total annual funding pool for the Higher Education Disability Support Program minus the amount allocated to the Australian Disability Clearinghouse on Education and Training component.</w:t>
            </w:r>
          </w:p>
        </w:tc>
      </w:tr>
    </w:tbl>
    <w:p w14:paraId="578986FD" w14:textId="77777777" w:rsidR="001E73B5" w:rsidRPr="00776009" w:rsidRDefault="001E73B5" w:rsidP="001E73B5">
      <w:pPr>
        <w:keepLines/>
        <w:spacing w:after="0" w:line="240" w:lineRule="auto"/>
        <w:rPr>
          <w:rFonts w:eastAsia="Times New Roman" w:cstheme="minorHAnsi"/>
        </w:rPr>
      </w:pPr>
    </w:p>
    <w:p w14:paraId="520C6E01" w14:textId="77777777" w:rsidR="001E73B5" w:rsidRPr="00776009" w:rsidRDefault="001E73B5" w:rsidP="001E73B5">
      <w:pPr>
        <w:keepLines/>
        <w:spacing w:after="0" w:line="240" w:lineRule="auto"/>
        <w:rPr>
          <w:rFonts w:eastAsia="Times New Roman" w:cstheme="minorHAnsi"/>
          <w:b/>
        </w:rPr>
      </w:pPr>
    </w:p>
    <w:p w14:paraId="41E4EAE3" w14:textId="6712943A" w:rsidR="001E73B5" w:rsidRPr="00776009" w:rsidRDefault="001E73B5" w:rsidP="001E73B5">
      <w:pPr>
        <w:keepLines/>
        <w:spacing w:after="0" w:line="240" w:lineRule="auto"/>
        <w:ind w:left="1100" w:hanging="1100"/>
        <w:rPr>
          <w:rFonts w:eastAsia="Times New Roman" w:cstheme="minorHAnsi"/>
          <w:b/>
          <w:bCs/>
          <w:iCs/>
          <w:color w:val="000000"/>
        </w:rPr>
      </w:pPr>
      <w:r w:rsidRPr="00776009">
        <w:rPr>
          <w:rFonts w:eastAsia="Times New Roman" w:cstheme="minorHAnsi"/>
          <w:b/>
          <w:bCs/>
          <w:iCs/>
          <w:color w:val="000000"/>
        </w:rPr>
        <w:t>DSF Payments</w:t>
      </w:r>
    </w:p>
    <w:p w14:paraId="0613EE18" w14:textId="77777777" w:rsidR="001E73B5" w:rsidRPr="00776009" w:rsidRDefault="001E73B5" w:rsidP="001E73B5">
      <w:pPr>
        <w:keepLines/>
        <w:spacing w:after="0" w:line="240" w:lineRule="auto"/>
        <w:ind w:left="1100" w:hanging="1100"/>
        <w:rPr>
          <w:rFonts w:eastAsia="Times New Roman" w:cstheme="minorHAnsi"/>
          <w:b/>
          <w:bCs/>
          <w:iCs/>
          <w:color w:val="000000"/>
        </w:rPr>
      </w:pPr>
    </w:p>
    <w:p w14:paraId="45A1CA36" w14:textId="4ECD538E" w:rsidR="001E73B5" w:rsidRPr="00776009" w:rsidRDefault="001E73B5" w:rsidP="00361FBB">
      <w:pPr>
        <w:keepLines/>
        <w:tabs>
          <w:tab w:val="left" w:pos="1134"/>
        </w:tabs>
        <w:spacing w:after="0" w:line="240" w:lineRule="auto"/>
        <w:rPr>
          <w:rFonts w:eastAsia="Times New Roman" w:cstheme="minorHAnsi"/>
        </w:rPr>
      </w:pPr>
      <w:r w:rsidRPr="00776009">
        <w:rPr>
          <w:rFonts w:eastAsia="Times New Roman" w:cstheme="minorHAnsi"/>
        </w:rPr>
        <w:t>Providers will receive their allocation of funds for each calendar year prior to the end of that calendar year.</w:t>
      </w:r>
    </w:p>
    <w:p w14:paraId="6AD75BFF" w14:textId="77777777" w:rsidR="001E73B5" w:rsidRPr="00776009" w:rsidRDefault="001E73B5" w:rsidP="001E73B5">
      <w:pPr>
        <w:keepLines/>
        <w:tabs>
          <w:tab w:val="left" w:pos="1134"/>
        </w:tabs>
        <w:spacing w:after="0" w:line="240" w:lineRule="auto"/>
        <w:rPr>
          <w:rFonts w:eastAsia="Times New Roman" w:cstheme="minorHAnsi"/>
          <w:b/>
        </w:rPr>
      </w:pPr>
    </w:p>
    <w:p w14:paraId="62F1326E" w14:textId="360B4A4D" w:rsidR="001E73B5" w:rsidRPr="00776009" w:rsidRDefault="001E73B5" w:rsidP="001E73B5">
      <w:pPr>
        <w:keepLines/>
        <w:tabs>
          <w:tab w:val="left" w:pos="1134"/>
        </w:tabs>
        <w:spacing w:after="0" w:line="240" w:lineRule="auto"/>
        <w:rPr>
          <w:rFonts w:eastAsia="Times New Roman" w:cstheme="minorHAnsi"/>
          <w:b/>
        </w:rPr>
      </w:pPr>
      <w:r w:rsidRPr="00776009">
        <w:rPr>
          <w:rFonts w:eastAsia="Times New Roman" w:cstheme="minorHAnsi"/>
          <w:b/>
        </w:rPr>
        <w:t>Interest</w:t>
      </w:r>
    </w:p>
    <w:p w14:paraId="65849958" w14:textId="77777777" w:rsidR="00C73B9B" w:rsidRPr="00776009" w:rsidRDefault="00C73B9B" w:rsidP="001E73B5">
      <w:pPr>
        <w:keepLines/>
        <w:spacing w:after="0" w:line="240" w:lineRule="auto"/>
        <w:rPr>
          <w:rFonts w:eastAsia="Times New Roman" w:cstheme="minorHAnsi"/>
        </w:rPr>
      </w:pPr>
    </w:p>
    <w:p w14:paraId="62FFFC00" w14:textId="6A2E2C09" w:rsidR="001E73B5" w:rsidRPr="00776009" w:rsidRDefault="001E73B5" w:rsidP="00361FBB">
      <w:pPr>
        <w:keepLines/>
        <w:tabs>
          <w:tab w:val="left" w:pos="1134"/>
        </w:tabs>
        <w:spacing w:after="0" w:line="240" w:lineRule="auto"/>
        <w:rPr>
          <w:rFonts w:eastAsia="Times New Roman" w:cstheme="minorHAnsi"/>
        </w:rPr>
      </w:pPr>
      <w:r w:rsidRPr="00776009">
        <w:rPr>
          <w:rFonts w:eastAsia="Times New Roman" w:cstheme="minorHAnsi"/>
        </w:rPr>
        <w:t>Where a higher education provider earns interest on DSF funds, the provider must spend that interest on eligible DSF activities.</w:t>
      </w:r>
    </w:p>
    <w:p w14:paraId="11736C49" w14:textId="77777777" w:rsidR="001E73B5" w:rsidRPr="00776009" w:rsidRDefault="001E73B5" w:rsidP="001E73B5">
      <w:pPr>
        <w:keepLines/>
        <w:spacing w:after="0" w:line="240" w:lineRule="auto"/>
        <w:rPr>
          <w:rFonts w:eastAsia="Times New Roman" w:cstheme="minorHAnsi"/>
        </w:rPr>
      </w:pPr>
    </w:p>
    <w:p w14:paraId="140DEFA9" w14:textId="085C3ABA" w:rsidR="001E73B5" w:rsidRPr="00776009" w:rsidRDefault="001E73B5" w:rsidP="001E73B5">
      <w:pPr>
        <w:keepLines/>
        <w:tabs>
          <w:tab w:val="left" w:pos="1134"/>
        </w:tabs>
        <w:spacing w:after="0" w:line="240" w:lineRule="auto"/>
        <w:rPr>
          <w:rFonts w:eastAsia="Times New Roman" w:cstheme="minorHAnsi"/>
          <w:b/>
        </w:rPr>
      </w:pPr>
      <w:r w:rsidRPr="00776009">
        <w:rPr>
          <w:rFonts w:eastAsia="Times New Roman" w:cstheme="minorHAnsi"/>
          <w:b/>
        </w:rPr>
        <w:t>Eligible DSF activities</w:t>
      </w:r>
    </w:p>
    <w:p w14:paraId="75AFD047" w14:textId="77777777" w:rsidR="001E73B5" w:rsidRPr="00776009" w:rsidRDefault="001E73B5" w:rsidP="001E73B5">
      <w:pPr>
        <w:keepLines/>
        <w:spacing w:after="0" w:line="240" w:lineRule="auto"/>
        <w:rPr>
          <w:rFonts w:eastAsia="Times New Roman" w:cstheme="minorHAnsi"/>
        </w:rPr>
      </w:pPr>
    </w:p>
    <w:p w14:paraId="74D6223C" w14:textId="6B8352E9" w:rsidR="001E73B5" w:rsidRPr="00776009" w:rsidRDefault="001E73B5" w:rsidP="00361FBB">
      <w:pPr>
        <w:keepLines/>
        <w:tabs>
          <w:tab w:val="left" w:pos="0"/>
        </w:tabs>
        <w:spacing w:after="0" w:line="240" w:lineRule="auto"/>
        <w:rPr>
          <w:rFonts w:eastAsia="Times New Roman" w:cstheme="minorHAnsi"/>
        </w:rPr>
      </w:pPr>
      <w:r w:rsidRPr="00776009">
        <w:rPr>
          <w:rFonts w:eastAsia="Times New Roman" w:cstheme="minorHAnsi"/>
        </w:rPr>
        <w:t>A higher education provider must only spend DSF funds for the purposes of students with disability</w:t>
      </w:r>
      <w:r w:rsidR="00C73B9B" w:rsidRPr="00776009">
        <w:rPr>
          <w:rFonts w:eastAsia="Times New Roman" w:cstheme="minorHAnsi"/>
        </w:rPr>
        <w:t xml:space="preserve"> </w:t>
      </w:r>
      <w:r w:rsidRPr="00776009">
        <w:rPr>
          <w:rFonts w:eastAsia="Times New Roman" w:cstheme="minorHAnsi"/>
        </w:rPr>
        <w:t>on:</w:t>
      </w:r>
    </w:p>
    <w:p w14:paraId="55EC4DF5" w14:textId="77777777" w:rsidR="001E73B5" w:rsidRPr="00776009" w:rsidRDefault="001E73B5" w:rsidP="001E73B5">
      <w:pPr>
        <w:keepLines/>
        <w:spacing w:after="0" w:line="240" w:lineRule="auto"/>
        <w:ind w:left="1134"/>
        <w:rPr>
          <w:rFonts w:eastAsia="Times New Roman" w:cstheme="minorHAnsi"/>
        </w:rPr>
      </w:pPr>
    </w:p>
    <w:p w14:paraId="65779B13" w14:textId="77777777" w:rsidR="001E73B5" w:rsidRPr="00776009" w:rsidRDefault="001E73B5" w:rsidP="001E73B5">
      <w:pPr>
        <w:keepLines/>
        <w:numPr>
          <w:ilvl w:val="0"/>
          <w:numId w:val="11"/>
        </w:numPr>
        <w:spacing w:after="0" w:line="240" w:lineRule="auto"/>
        <w:ind w:left="1843" w:hanging="709"/>
        <w:contextualSpacing/>
        <w:rPr>
          <w:rFonts w:eastAsia="Times New Roman" w:cstheme="minorHAnsi"/>
        </w:rPr>
      </w:pPr>
      <w:r w:rsidRPr="00776009">
        <w:rPr>
          <w:rFonts w:eastAsia="Times New Roman" w:cstheme="minorHAnsi"/>
        </w:rPr>
        <w:t xml:space="preserve">activities aimed at attracting and supporting students with disability; </w:t>
      </w:r>
    </w:p>
    <w:p w14:paraId="38851765" w14:textId="77777777" w:rsidR="001E73B5" w:rsidRPr="00776009" w:rsidRDefault="001E73B5" w:rsidP="001E73B5">
      <w:pPr>
        <w:keepLines/>
        <w:spacing w:after="0" w:line="240" w:lineRule="auto"/>
        <w:ind w:left="1134"/>
        <w:rPr>
          <w:rFonts w:eastAsia="Times New Roman" w:cstheme="minorHAnsi"/>
        </w:rPr>
      </w:pPr>
    </w:p>
    <w:p w14:paraId="64DF6251" w14:textId="77777777" w:rsidR="001E73B5" w:rsidRPr="00776009" w:rsidRDefault="001E73B5" w:rsidP="001E73B5">
      <w:pPr>
        <w:keepLines/>
        <w:numPr>
          <w:ilvl w:val="0"/>
          <w:numId w:val="11"/>
        </w:numPr>
        <w:spacing w:after="0" w:line="240" w:lineRule="auto"/>
        <w:ind w:left="1843" w:hanging="709"/>
        <w:contextualSpacing/>
        <w:rPr>
          <w:rFonts w:eastAsia="Times New Roman" w:cstheme="minorHAnsi"/>
        </w:rPr>
      </w:pPr>
      <w:r w:rsidRPr="00776009">
        <w:rPr>
          <w:rFonts w:eastAsia="Times New Roman" w:cstheme="minorHAnsi"/>
        </w:rPr>
        <w:t>educational support and equipment for students with disability;</w:t>
      </w:r>
    </w:p>
    <w:p w14:paraId="68CBBB74" w14:textId="77777777" w:rsidR="001E73B5" w:rsidRPr="00776009" w:rsidRDefault="001E73B5" w:rsidP="001E73B5">
      <w:pPr>
        <w:spacing w:after="0" w:line="240" w:lineRule="auto"/>
        <w:ind w:left="1843"/>
        <w:contextualSpacing/>
        <w:rPr>
          <w:rFonts w:eastAsia="Times New Roman" w:cstheme="minorHAnsi"/>
        </w:rPr>
      </w:pPr>
    </w:p>
    <w:p w14:paraId="6AE33EE9" w14:textId="77777777" w:rsidR="001E73B5" w:rsidRPr="00776009" w:rsidRDefault="001E73B5" w:rsidP="001E73B5">
      <w:pPr>
        <w:keepLines/>
        <w:numPr>
          <w:ilvl w:val="0"/>
          <w:numId w:val="11"/>
        </w:numPr>
        <w:spacing w:after="0" w:line="240" w:lineRule="auto"/>
        <w:ind w:left="1843" w:hanging="709"/>
        <w:contextualSpacing/>
        <w:rPr>
          <w:rFonts w:eastAsia="Times New Roman" w:cstheme="minorHAnsi"/>
        </w:rPr>
      </w:pPr>
      <w:r w:rsidRPr="00776009">
        <w:rPr>
          <w:rFonts w:eastAsia="Times New Roman" w:cstheme="minorHAnsi"/>
        </w:rPr>
        <w:t>modifications to course content, teaching materials and delivery methods to better meet the needs of students with disability; or</w:t>
      </w:r>
    </w:p>
    <w:p w14:paraId="2AF14E75" w14:textId="77777777" w:rsidR="001E73B5" w:rsidRPr="00776009" w:rsidRDefault="001E73B5" w:rsidP="001E73B5">
      <w:pPr>
        <w:spacing w:after="0" w:line="240" w:lineRule="auto"/>
        <w:ind w:left="1843"/>
        <w:contextualSpacing/>
        <w:rPr>
          <w:rFonts w:eastAsia="Times New Roman" w:cstheme="minorHAnsi"/>
        </w:rPr>
      </w:pPr>
    </w:p>
    <w:p w14:paraId="065BA1DE" w14:textId="77777777" w:rsidR="001E73B5" w:rsidRPr="00776009" w:rsidRDefault="001E73B5" w:rsidP="001E73B5">
      <w:pPr>
        <w:keepLines/>
        <w:numPr>
          <w:ilvl w:val="0"/>
          <w:numId w:val="11"/>
        </w:numPr>
        <w:spacing w:after="0" w:line="240" w:lineRule="auto"/>
        <w:ind w:left="1843" w:hanging="709"/>
        <w:contextualSpacing/>
        <w:rPr>
          <w:rFonts w:eastAsia="Times New Roman" w:cstheme="minorHAnsi"/>
        </w:rPr>
      </w:pPr>
      <w:proofErr w:type="gramStart"/>
      <w:r w:rsidRPr="00776009">
        <w:rPr>
          <w:rFonts w:eastAsia="Times New Roman" w:cstheme="minorHAnsi"/>
        </w:rPr>
        <w:t>training</w:t>
      </w:r>
      <w:proofErr w:type="gramEnd"/>
      <w:r w:rsidRPr="00776009">
        <w:rPr>
          <w:rFonts w:eastAsia="Times New Roman" w:cstheme="minorHAnsi"/>
        </w:rPr>
        <w:t xml:space="preserve"> of higher education provider staff to support students with disability.</w:t>
      </w:r>
    </w:p>
    <w:p w14:paraId="1BD9C0F3" w14:textId="353D2A7E" w:rsidR="001E73B5" w:rsidRPr="00776009" w:rsidRDefault="001E73B5">
      <w:pPr>
        <w:rPr>
          <w:rFonts w:eastAsia="Times New Roman" w:cstheme="minorHAnsi"/>
          <w:b/>
        </w:rPr>
      </w:pPr>
    </w:p>
    <w:p w14:paraId="12152AC6" w14:textId="28109694" w:rsidR="001E73B5" w:rsidRPr="00776009" w:rsidRDefault="001E73B5" w:rsidP="001E73B5">
      <w:pPr>
        <w:keepLines/>
        <w:tabs>
          <w:tab w:val="left" w:pos="1134"/>
        </w:tabs>
        <w:spacing w:after="0" w:line="240" w:lineRule="auto"/>
        <w:rPr>
          <w:rFonts w:eastAsia="Times New Roman" w:cstheme="minorHAnsi"/>
          <w:b/>
        </w:rPr>
      </w:pPr>
      <w:r w:rsidRPr="00776009">
        <w:rPr>
          <w:rFonts w:eastAsia="Times New Roman" w:cstheme="minorHAnsi"/>
          <w:b/>
        </w:rPr>
        <w:t>Ineligible DSF activities</w:t>
      </w:r>
    </w:p>
    <w:p w14:paraId="5116987D" w14:textId="77777777" w:rsidR="001E73B5" w:rsidRPr="00776009" w:rsidRDefault="001E73B5" w:rsidP="001E73B5">
      <w:pPr>
        <w:keepLines/>
        <w:spacing w:after="0" w:line="240" w:lineRule="auto"/>
        <w:rPr>
          <w:rFonts w:eastAsia="Times New Roman" w:cstheme="minorHAnsi"/>
        </w:rPr>
      </w:pPr>
    </w:p>
    <w:p w14:paraId="6AE4D3D7" w14:textId="1F6D6ED4" w:rsidR="001E73B5" w:rsidRPr="00776009" w:rsidRDefault="001E73B5" w:rsidP="001E73B5">
      <w:pPr>
        <w:keepLines/>
        <w:tabs>
          <w:tab w:val="left" w:pos="1134"/>
        </w:tabs>
        <w:spacing w:after="0" w:line="240" w:lineRule="auto"/>
        <w:ind w:left="1100" w:hanging="1100"/>
        <w:rPr>
          <w:rFonts w:eastAsia="Times New Roman" w:cstheme="minorHAnsi"/>
        </w:rPr>
      </w:pPr>
      <w:r w:rsidRPr="00776009">
        <w:rPr>
          <w:rFonts w:eastAsia="Times New Roman" w:cstheme="minorHAnsi"/>
        </w:rPr>
        <w:t xml:space="preserve">A higher education provider must not spend DSF funds on: </w:t>
      </w:r>
    </w:p>
    <w:p w14:paraId="679FD68A" w14:textId="77777777" w:rsidR="001E73B5" w:rsidRPr="00776009" w:rsidRDefault="001E73B5" w:rsidP="001E73B5">
      <w:pPr>
        <w:keepLines/>
        <w:spacing w:after="0" w:line="240" w:lineRule="auto"/>
        <w:ind w:left="1134"/>
        <w:rPr>
          <w:rFonts w:eastAsia="Times New Roman" w:cstheme="minorHAnsi"/>
        </w:rPr>
      </w:pPr>
    </w:p>
    <w:p w14:paraId="79F65A80" w14:textId="77777777" w:rsidR="001E73B5" w:rsidRPr="00776009" w:rsidRDefault="001E73B5" w:rsidP="001E73B5">
      <w:pPr>
        <w:keepLines/>
        <w:numPr>
          <w:ilvl w:val="0"/>
          <w:numId w:val="12"/>
        </w:numPr>
        <w:spacing w:after="0" w:line="240" w:lineRule="auto"/>
        <w:ind w:left="1843" w:hanging="709"/>
        <w:contextualSpacing/>
        <w:rPr>
          <w:rFonts w:eastAsia="Times New Roman" w:cstheme="minorHAnsi"/>
        </w:rPr>
      </w:pPr>
      <w:r w:rsidRPr="00776009">
        <w:rPr>
          <w:rFonts w:eastAsia="Times New Roman" w:cstheme="minorHAnsi"/>
        </w:rPr>
        <w:t xml:space="preserve">infrastructure - including but not limited to buildings, fixtures, roads, pathways and modifications thereof; </w:t>
      </w:r>
    </w:p>
    <w:p w14:paraId="7AFACFB1" w14:textId="77777777" w:rsidR="001E73B5" w:rsidRPr="00776009" w:rsidRDefault="001E73B5" w:rsidP="001E73B5">
      <w:pPr>
        <w:keepLines/>
        <w:spacing w:after="0" w:line="240" w:lineRule="auto"/>
        <w:rPr>
          <w:rFonts w:eastAsia="Times New Roman" w:cstheme="minorHAnsi"/>
        </w:rPr>
      </w:pPr>
    </w:p>
    <w:p w14:paraId="02FEA86C" w14:textId="77777777" w:rsidR="001E73B5" w:rsidRPr="00776009" w:rsidRDefault="001E73B5" w:rsidP="001E73B5">
      <w:pPr>
        <w:keepLines/>
        <w:numPr>
          <w:ilvl w:val="0"/>
          <w:numId w:val="12"/>
        </w:numPr>
        <w:spacing w:after="0" w:line="240" w:lineRule="auto"/>
        <w:ind w:left="1843" w:hanging="709"/>
        <w:contextualSpacing/>
        <w:rPr>
          <w:rFonts w:eastAsia="Times New Roman" w:cstheme="minorHAnsi"/>
        </w:rPr>
      </w:pPr>
      <w:r w:rsidRPr="00776009">
        <w:rPr>
          <w:rFonts w:eastAsia="Times New Roman" w:cstheme="minorHAnsi"/>
        </w:rPr>
        <w:lastRenderedPageBreak/>
        <w:t>the provision of personal care for students with disability, including but not limited to, assistance provided by a paid or unpaid carer to ensure that basic activities of daily living and self-care (such as eating, dressing, grooming and commuting) are accomplished, as well as providing assistance with medications and medical treatments; or</w:t>
      </w:r>
    </w:p>
    <w:p w14:paraId="7E8FF918" w14:textId="77777777" w:rsidR="001E73B5" w:rsidRPr="00776009" w:rsidRDefault="001E73B5" w:rsidP="001E73B5">
      <w:pPr>
        <w:keepLines/>
        <w:spacing w:after="0" w:line="240" w:lineRule="auto"/>
        <w:ind w:left="720"/>
        <w:contextualSpacing/>
        <w:rPr>
          <w:rFonts w:eastAsia="Times New Roman" w:cstheme="minorHAnsi"/>
        </w:rPr>
      </w:pPr>
    </w:p>
    <w:p w14:paraId="745400F5" w14:textId="77777777" w:rsidR="001E73B5" w:rsidRPr="00776009" w:rsidRDefault="001E73B5" w:rsidP="001E73B5">
      <w:pPr>
        <w:keepLines/>
        <w:numPr>
          <w:ilvl w:val="0"/>
          <w:numId w:val="12"/>
        </w:numPr>
        <w:spacing w:after="0" w:line="240" w:lineRule="auto"/>
        <w:ind w:left="1843" w:hanging="709"/>
        <w:contextualSpacing/>
        <w:rPr>
          <w:rFonts w:eastAsia="Times New Roman" w:cstheme="minorHAnsi"/>
        </w:rPr>
      </w:pPr>
      <w:proofErr w:type="gramStart"/>
      <w:r w:rsidRPr="00776009">
        <w:rPr>
          <w:rFonts w:eastAsia="Times New Roman" w:cstheme="minorHAnsi"/>
        </w:rPr>
        <w:t>any</w:t>
      </w:r>
      <w:proofErr w:type="gramEnd"/>
      <w:r w:rsidRPr="00776009">
        <w:rPr>
          <w:rFonts w:eastAsia="Times New Roman" w:cstheme="minorHAnsi"/>
        </w:rPr>
        <w:t xml:space="preserve"> support covered by the National Disability Insurance Scheme (NDIS).</w:t>
      </w:r>
    </w:p>
    <w:p w14:paraId="55B5B5B5" w14:textId="77777777" w:rsidR="001E73B5" w:rsidRPr="00776009" w:rsidRDefault="001E73B5" w:rsidP="001E73B5">
      <w:pPr>
        <w:keepLines/>
        <w:spacing w:after="0" w:line="240" w:lineRule="auto"/>
        <w:ind w:left="720"/>
        <w:contextualSpacing/>
        <w:rPr>
          <w:rFonts w:eastAsia="Times New Roman" w:cstheme="minorHAnsi"/>
        </w:rPr>
      </w:pPr>
    </w:p>
    <w:p w14:paraId="3708C097" w14:textId="207D23D0" w:rsidR="001E73B5" w:rsidRPr="00776009" w:rsidRDefault="001E73B5" w:rsidP="001E73B5">
      <w:pPr>
        <w:keepLines/>
        <w:numPr>
          <w:ilvl w:val="0"/>
          <w:numId w:val="12"/>
        </w:numPr>
        <w:spacing w:after="0" w:line="240" w:lineRule="auto"/>
        <w:ind w:left="1843" w:hanging="709"/>
        <w:contextualSpacing/>
        <w:rPr>
          <w:rFonts w:eastAsia="Times New Roman" w:cstheme="minorHAnsi"/>
        </w:rPr>
      </w:pPr>
      <w:proofErr w:type="gramStart"/>
      <w:r w:rsidRPr="00776009">
        <w:rPr>
          <w:rFonts w:eastAsia="Times New Roman" w:cstheme="minorHAnsi"/>
        </w:rPr>
        <w:t>any</w:t>
      </w:r>
      <w:proofErr w:type="gramEnd"/>
      <w:r w:rsidRPr="00776009">
        <w:rPr>
          <w:rFonts w:eastAsia="Times New Roman" w:cstheme="minorHAnsi"/>
        </w:rPr>
        <w:t xml:space="preserve"> activity not listed under </w:t>
      </w:r>
      <w:r w:rsidR="00DC6F84" w:rsidRPr="00776009">
        <w:rPr>
          <w:rFonts w:eastAsia="Times New Roman" w:cstheme="minorHAnsi"/>
        </w:rPr>
        <w:t xml:space="preserve">‘Eligible DSF </w:t>
      </w:r>
      <w:r w:rsidR="00776009" w:rsidRPr="00776009">
        <w:rPr>
          <w:rFonts w:eastAsia="Times New Roman" w:cstheme="minorHAnsi"/>
        </w:rPr>
        <w:t>Activities</w:t>
      </w:r>
      <w:r w:rsidR="00DC6F84" w:rsidRPr="00776009">
        <w:rPr>
          <w:rFonts w:eastAsia="Times New Roman" w:cstheme="minorHAnsi"/>
        </w:rPr>
        <w:t>’</w:t>
      </w:r>
      <w:r w:rsidRPr="00776009">
        <w:rPr>
          <w:rFonts w:eastAsia="Times New Roman" w:cstheme="minorHAnsi"/>
        </w:rPr>
        <w:t xml:space="preserve"> above.</w:t>
      </w:r>
    </w:p>
    <w:p w14:paraId="65D1208B" w14:textId="77777777" w:rsidR="001E73B5" w:rsidRPr="00776009" w:rsidRDefault="001E73B5" w:rsidP="001E73B5">
      <w:pPr>
        <w:keepLines/>
        <w:tabs>
          <w:tab w:val="left" w:pos="1134"/>
        </w:tabs>
        <w:spacing w:after="0" w:line="240" w:lineRule="auto"/>
        <w:rPr>
          <w:rFonts w:eastAsia="Times New Roman" w:cstheme="minorHAnsi"/>
          <w:b/>
        </w:rPr>
      </w:pPr>
    </w:p>
    <w:p w14:paraId="22DA5D79" w14:textId="77777777" w:rsidR="001E73B5" w:rsidRPr="00776009" w:rsidRDefault="001E73B5" w:rsidP="001E73B5">
      <w:pPr>
        <w:keepLines/>
        <w:tabs>
          <w:tab w:val="left" w:pos="1134"/>
        </w:tabs>
        <w:spacing w:after="0" w:line="240" w:lineRule="auto"/>
        <w:rPr>
          <w:rFonts w:eastAsia="Times New Roman" w:cstheme="minorHAnsi"/>
          <w:b/>
        </w:rPr>
      </w:pPr>
    </w:p>
    <w:p w14:paraId="2E40B0CB" w14:textId="7BD3B1FC" w:rsidR="001E73B5" w:rsidRPr="00776009" w:rsidRDefault="001E73B5" w:rsidP="001E73B5">
      <w:pPr>
        <w:keepLines/>
        <w:tabs>
          <w:tab w:val="left" w:pos="1134"/>
        </w:tabs>
        <w:spacing w:after="0" w:line="240" w:lineRule="auto"/>
        <w:rPr>
          <w:rFonts w:eastAsia="Times New Roman" w:cstheme="minorHAnsi"/>
          <w:b/>
        </w:rPr>
      </w:pPr>
      <w:r w:rsidRPr="00776009">
        <w:rPr>
          <w:rFonts w:eastAsia="Times New Roman" w:cstheme="minorHAnsi"/>
          <w:b/>
        </w:rPr>
        <w:t>Expenditure of DSF grant funds</w:t>
      </w:r>
    </w:p>
    <w:p w14:paraId="02CB1A51" w14:textId="77777777" w:rsidR="001E73B5" w:rsidRPr="00776009" w:rsidRDefault="001E73B5" w:rsidP="001E73B5">
      <w:pPr>
        <w:keepLines/>
        <w:spacing w:after="0" w:line="240" w:lineRule="auto"/>
        <w:rPr>
          <w:rFonts w:eastAsia="Times New Roman" w:cstheme="minorHAnsi"/>
        </w:rPr>
      </w:pPr>
    </w:p>
    <w:p w14:paraId="2ABCCD73" w14:textId="0FD64E12" w:rsidR="001E73B5" w:rsidRPr="00776009" w:rsidRDefault="001E73B5" w:rsidP="00361FBB">
      <w:pPr>
        <w:keepLines/>
        <w:tabs>
          <w:tab w:val="left" w:pos="1134"/>
        </w:tabs>
        <w:spacing w:after="0" w:line="240" w:lineRule="auto"/>
        <w:rPr>
          <w:rFonts w:eastAsia="Times New Roman" w:cstheme="minorHAnsi"/>
        </w:rPr>
      </w:pPr>
      <w:r w:rsidRPr="00776009">
        <w:rPr>
          <w:rFonts w:eastAsia="Times New Roman" w:cstheme="minorHAnsi"/>
        </w:rPr>
        <w:t>The grant must only be used on eligible DSF activities for the purposes of students with disability</w:t>
      </w:r>
      <w:r w:rsidR="00DC6F84" w:rsidRPr="00776009">
        <w:rPr>
          <w:rFonts w:eastAsia="Times New Roman" w:cstheme="minorHAnsi"/>
        </w:rPr>
        <w:t>.</w:t>
      </w:r>
    </w:p>
    <w:p w14:paraId="2AA2F86C" w14:textId="77777777" w:rsidR="001E73B5" w:rsidRPr="00776009" w:rsidRDefault="001E73B5" w:rsidP="001E73B5">
      <w:pPr>
        <w:keepLines/>
        <w:tabs>
          <w:tab w:val="left" w:pos="1134"/>
        </w:tabs>
        <w:spacing w:after="0" w:line="240" w:lineRule="auto"/>
        <w:ind w:left="1100" w:hanging="1100"/>
        <w:rPr>
          <w:rFonts w:eastAsia="Times New Roman" w:cstheme="minorHAnsi"/>
        </w:rPr>
      </w:pPr>
    </w:p>
    <w:p w14:paraId="282284BA" w14:textId="26500964" w:rsidR="001E73B5" w:rsidRPr="00776009" w:rsidRDefault="001E73B5" w:rsidP="001E73B5">
      <w:pPr>
        <w:keepLines/>
        <w:tabs>
          <w:tab w:val="left" w:pos="1134"/>
        </w:tabs>
        <w:spacing w:after="0" w:line="240" w:lineRule="auto"/>
        <w:rPr>
          <w:rFonts w:eastAsia="Times New Roman" w:cstheme="minorHAnsi"/>
          <w:b/>
        </w:rPr>
      </w:pPr>
      <w:r w:rsidRPr="00776009">
        <w:rPr>
          <w:rFonts w:eastAsia="Times New Roman" w:cstheme="minorHAnsi"/>
          <w:b/>
        </w:rPr>
        <w:t>Repayment of DSF grant funds</w:t>
      </w:r>
    </w:p>
    <w:p w14:paraId="4F4AA624" w14:textId="77777777" w:rsidR="001E73B5" w:rsidRPr="00776009" w:rsidRDefault="001E73B5" w:rsidP="001E73B5">
      <w:pPr>
        <w:keepLines/>
        <w:tabs>
          <w:tab w:val="left" w:pos="1134"/>
        </w:tabs>
        <w:spacing w:after="0" w:line="240" w:lineRule="auto"/>
        <w:rPr>
          <w:rFonts w:eastAsia="Times New Roman" w:cstheme="minorHAnsi"/>
          <w:b/>
        </w:rPr>
      </w:pPr>
    </w:p>
    <w:p w14:paraId="7DD4935C" w14:textId="678500A4" w:rsidR="001E73B5" w:rsidRPr="00776009" w:rsidRDefault="001E73B5" w:rsidP="00361FBB">
      <w:pPr>
        <w:keepLines/>
        <w:tabs>
          <w:tab w:val="left" w:pos="1134"/>
        </w:tabs>
        <w:spacing w:after="0" w:line="240" w:lineRule="auto"/>
        <w:rPr>
          <w:rFonts w:eastAsia="Times New Roman" w:cstheme="minorHAnsi"/>
        </w:rPr>
      </w:pPr>
      <w:r w:rsidRPr="00776009">
        <w:rPr>
          <w:rFonts w:eastAsia="Times New Roman" w:cstheme="minorHAnsi"/>
        </w:rPr>
        <w:t>Where a provider fails to spend any part of the DSF funds at the end of the grant period, the provider must return the unspent amount to the Commonwealth in accordance with instructions received from the department.</w:t>
      </w:r>
    </w:p>
    <w:p w14:paraId="5F2619EB" w14:textId="77777777" w:rsidR="001E73B5" w:rsidRPr="00776009" w:rsidRDefault="001E73B5" w:rsidP="001E73B5">
      <w:pPr>
        <w:keepLines/>
        <w:spacing w:after="0" w:line="240" w:lineRule="auto"/>
        <w:rPr>
          <w:rFonts w:eastAsia="Times New Roman" w:cstheme="minorHAnsi"/>
        </w:rPr>
      </w:pPr>
    </w:p>
    <w:p w14:paraId="53BD42FB" w14:textId="74768012" w:rsidR="001E73B5" w:rsidRPr="00776009" w:rsidRDefault="001E73B5" w:rsidP="001E73B5">
      <w:pPr>
        <w:keepLines/>
        <w:tabs>
          <w:tab w:val="left" w:pos="1134"/>
        </w:tabs>
        <w:spacing w:after="0" w:line="240" w:lineRule="auto"/>
        <w:rPr>
          <w:rFonts w:eastAsia="Times New Roman" w:cstheme="minorHAnsi"/>
          <w:b/>
        </w:rPr>
      </w:pPr>
      <w:r w:rsidRPr="00776009">
        <w:rPr>
          <w:rFonts w:eastAsia="Times New Roman" w:cstheme="minorHAnsi"/>
          <w:b/>
        </w:rPr>
        <w:t xml:space="preserve">Educational support services and equipment </w:t>
      </w:r>
    </w:p>
    <w:p w14:paraId="1EBF85A1" w14:textId="77777777" w:rsidR="001E73B5" w:rsidRPr="00776009" w:rsidRDefault="001E73B5" w:rsidP="001E73B5">
      <w:pPr>
        <w:keepLines/>
        <w:spacing w:after="0" w:line="240" w:lineRule="auto"/>
        <w:rPr>
          <w:rFonts w:eastAsia="Times New Roman" w:cstheme="minorHAnsi"/>
        </w:rPr>
      </w:pPr>
    </w:p>
    <w:p w14:paraId="3476414A" w14:textId="0A66D90E" w:rsidR="001E73B5" w:rsidRPr="00776009" w:rsidRDefault="001E73B5" w:rsidP="00361FBB">
      <w:pPr>
        <w:keepLines/>
        <w:tabs>
          <w:tab w:val="left" w:pos="1134"/>
        </w:tabs>
        <w:spacing w:after="0" w:line="240" w:lineRule="auto"/>
        <w:rPr>
          <w:rFonts w:eastAsia="Times New Roman" w:cstheme="minorHAnsi"/>
          <w:color w:val="000000"/>
          <w:lang w:eastAsia="en-AU"/>
        </w:rPr>
      </w:pPr>
      <w:r w:rsidRPr="00776009">
        <w:rPr>
          <w:rFonts w:eastAsia="Times New Roman" w:cstheme="minorHAnsi"/>
          <w:color w:val="000000"/>
          <w:lang w:eastAsia="en-AU"/>
        </w:rPr>
        <w:t>Before providing an educational support service or equipment item to a student, higher education providers must:</w:t>
      </w:r>
    </w:p>
    <w:p w14:paraId="37B37885" w14:textId="77777777" w:rsidR="001E73B5" w:rsidRPr="00776009" w:rsidRDefault="001E73B5" w:rsidP="001E73B5">
      <w:pPr>
        <w:keepLines/>
        <w:tabs>
          <w:tab w:val="left" w:pos="1134"/>
        </w:tabs>
        <w:spacing w:after="0" w:line="240" w:lineRule="auto"/>
        <w:ind w:left="1134" w:hanging="1134"/>
        <w:rPr>
          <w:rFonts w:eastAsia="Times New Roman" w:cstheme="minorHAnsi"/>
          <w:color w:val="000000"/>
          <w:lang w:eastAsia="en-AU"/>
        </w:rPr>
      </w:pPr>
    </w:p>
    <w:p w14:paraId="7B23487A" w14:textId="77777777" w:rsidR="001E73B5" w:rsidRPr="00776009" w:rsidRDefault="001E73B5" w:rsidP="001E73B5">
      <w:pPr>
        <w:keepLines/>
        <w:numPr>
          <w:ilvl w:val="0"/>
          <w:numId w:val="13"/>
        </w:numPr>
        <w:spacing w:after="0" w:line="240" w:lineRule="auto"/>
        <w:ind w:left="1843" w:hanging="709"/>
        <w:contextualSpacing/>
        <w:rPr>
          <w:rFonts w:eastAsia="Times New Roman" w:cstheme="minorHAnsi"/>
          <w:color w:val="000000"/>
          <w:lang w:eastAsia="en-AU"/>
        </w:rPr>
      </w:pPr>
      <w:r w:rsidRPr="00776009">
        <w:rPr>
          <w:rFonts w:eastAsia="Times New Roman" w:cstheme="minorHAnsi"/>
          <w:color w:val="000000"/>
          <w:lang w:eastAsia="en-AU"/>
        </w:rPr>
        <w:t xml:space="preserve">obtain evidence of the student’s disability and support needs; </w:t>
      </w:r>
    </w:p>
    <w:p w14:paraId="13A05913" w14:textId="77777777" w:rsidR="001E73B5" w:rsidRPr="00776009" w:rsidRDefault="001E73B5" w:rsidP="001E73B5">
      <w:pPr>
        <w:spacing w:after="0" w:line="240" w:lineRule="auto"/>
        <w:ind w:left="1843"/>
        <w:contextualSpacing/>
        <w:rPr>
          <w:rFonts w:eastAsia="Times New Roman" w:cstheme="minorHAnsi"/>
          <w:color w:val="000000"/>
          <w:lang w:eastAsia="en-AU"/>
        </w:rPr>
      </w:pPr>
    </w:p>
    <w:p w14:paraId="0985DED6" w14:textId="77777777" w:rsidR="001E73B5" w:rsidRPr="00776009" w:rsidRDefault="001E73B5" w:rsidP="001E73B5">
      <w:pPr>
        <w:keepLines/>
        <w:numPr>
          <w:ilvl w:val="0"/>
          <w:numId w:val="13"/>
        </w:numPr>
        <w:spacing w:after="0" w:line="240" w:lineRule="auto"/>
        <w:ind w:left="1843" w:hanging="709"/>
        <w:contextualSpacing/>
        <w:rPr>
          <w:rFonts w:eastAsia="Times New Roman" w:cstheme="minorHAnsi"/>
          <w:color w:val="000000"/>
          <w:lang w:eastAsia="en-AU"/>
        </w:rPr>
      </w:pPr>
      <w:r w:rsidRPr="00776009">
        <w:rPr>
          <w:rFonts w:eastAsia="Times New Roman" w:cstheme="minorHAnsi"/>
          <w:color w:val="000000"/>
          <w:lang w:eastAsia="en-AU"/>
        </w:rPr>
        <w:t xml:space="preserve">undertake a needs </w:t>
      </w:r>
      <w:r w:rsidRPr="00776009">
        <w:rPr>
          <w:rFonts w:eastAsia="Times New Roman" w:cstheme="minorHAnsi"/>
        </w:rPr>
        <w:t>assessment of that student’s needs</w:t>
      </w:r>
      <w:r w:rsidRPr="00776009">
        <w:rPr>
          <w:rFonts w:eastAsia="Times New Roman" w:cstheme="minorHAnsi"/>
          <w:color w:val="000000"/>
          <w:lang w:eastAsia="en-AU"/>
        </w:rPr>
        <w:t xml:space="preserve"> in accordance with the higher education provider’s published procedure; and</w:t>
      </w:r>
    </w:p>
    <w:p w14:paraId="6FC25C4E" w14:textId="77777777" w:rsidR="001E73B5" w:rsidRPr="00776009" w:rsidRDefault="001E73B5" w:rsidP="001E73B5">
      <w:pPr>
        <w:keepLines/>
        <w:spacing w:after="0" w:line="240" w:lineRule="auto"/>
        <w:ind w:left="720"/>
        <w:contextualSpacing/>
        <w:rPr>
          <w:rFonts w:eastAsia="Times New Roman" w:cstheme="minorHAnsi"/>
          <w:color w:val="000000"/>
          <w:lang w:eastAsia="en-AU"/>
        </w:rPr>
      </w:pPr>
    </w:p>
    <w:p w14:paraId="0E5C0EC1" w14:textId="77777777" w:rsidR="001E73B5" w:rsidRPr="00776009" w:rsidRDefault="001E73B5" w:rsidP="001E73B5">
      <w:pPr>
        <w:keepLines/>
        <w:numPr>
          <w:ilvl w:val="0"/>
          <w:numId w:val="13"/>
        </w:numPr>
        <w:spacing w:after="0" w:line="240" w:lineRule="auto"/>
        <w:ind w:left="1843" w:hanging="709"/>
        <w:contextualSpacing/>
        <w:rPr>
          <w:rFonts w:eastAsia="Times New Roman" w:cstheme="minorHAnsi"/>
          <w:color w:val="000000"/>
          <w:lang w:eastAsia="en-AU"/>
        </w:rPr>
      </w:pPr>
      <w:proofErr w:type="gramStart"/>
      <w:r w:rsidRPr="00776009">
        <w:rPr>
          <w:rFonts w:eastAsia="Times New Roman" w:cstheme="minorHAnsi"/>
          <w:color w:val="000000"/>
          <w:lang w:eastAsia="en-AU"/>
        </w:rPr>
        <w:t>ensure</w:t>
      </w:r>
      <w:proofErr w:type="gramEnd"/>
      <w:r w:rsidRPr="00776009">
        <w:rPr>
          <w:rFonts w:eastAsia="Times New Roman" w:cstheme="minorHAnsi"/>
          <w:color w:val="000000"/>
          <w:lang w:eastAsia="en-AU"/>
        </w:rPr>
        <w:t xml:space="preserve"> any educational support service or equipment item to be provided is required to meet that student’s needs.</w:t>
      </w:r>
    </w:p>
    <w:p w14:paraId="7CAEC3AC" w14:textId="77777777" w:rsidR="001E73B5" w:rsidRPr="00776009" w:rsidRDefault="001E73B5" w:rsidP="001E73B5">
      <w:pPr>
        <w:keepLines/>
        <w:spacing w:after="0" w:line="240" w:lineRule="auto"/>
        <w:ind w:left="1134"/>
        <w:rPr>
          <w:rFonts w:eastAsia="Times New Roman" w:cstheme="minorHAnsi"/>
          <w:b/>
          <w:bCs/>
          <w:color w:val="000000"/>
          <w:lang w:eastAsia="en-AU"/>
        </w:rPr>
      </w:pPr>
    </w:p>
    <w:p w14:paraId="57959B37" w14:textId="26A1A054" w:rsidR="001E73B5" w:rsidRPr="00776009" w:rsidRDefault="001E73B5" w:rsidP="00361FBB">
      <w:pPr>
        <w:keepLines/>
        <w:tabs>
          <w:tab w:val="left" w:pos="1134"/>
        </w:tabs>
        <w:spacing w:after="0" w:line="240" w:lineRule="auto"/>
        <w:rPr>
          <w:rFonts w:eastAsia="Times New Roman" w:cstheme="minorHAnsi"/>
          <w:color w:val="000000"/>
          <w:lang w:eastAsia="en-AU"/>
        </w:rPr>
      </w:pPr>
      <w:r w:rsidRPr="00776009">
        <w:rPr>
          <w:rFonts w:eastAsia="Times New Roman" w:cstheme="minorHAnsi"/>
          <w:color w:val="000000"/>
          <w:lang w:eastAsia="en-AU"/>
        </w:rPr>
        <w:t xml:space="preserve">Higher education providers must maintain records of the evidence and assessment process, including details of the medical, specialist or other advice obtained in verifying disability and support needs.  </w:t>
      </w:r>
    </w:p>
    <w:p w14:paraId="21705EE1" w14:textId="77777777" w:rsidR="001E73B5" w:rsidRPr="00776009" w:rsidRDefault="001E73B5" w:rsidP="001E73B5">
      <w:pPr>
        <w:keepLines/>
        <w:spacing w:after="0" w:line="240" w:lineRule="auto"/>
        <w:ind w:left="1134"/>
        <w:rPr>
          <w:rFonts w:eastAsia="Times New Roman" w:cstheme="minorHAnsi"/>
          <w:color w:val="000000"/>
          <w:lang w:eastAsia="en-AU"/>
        </w:rPr>
      </w:pPr>
    </w:p>
    <w:p w14:paraId="6EF4A5AB" w14:textId="2190751F" w:rsidR="001E73B5" w:rsidRPr="00776009" w:rsidRDefault="001E73B5" w:rsidP="00361FBB">
      <w:pPr>
        <w:keepLines/>
        <w:tabs>
          <w:tab w:val="left" w:pos="1134"/>
        </w:tabs>
        <w:spacing w:after="0" w:line="240" w:lineRule="auto"/>
        <w:rPr>
          <w:rFonts w:eastAsia="Times New Roman" w:cstheme="minorHAnsi"/>
          <w:color w:val="000000"/>
          <w:lang w:eastAsia="en-AU"/>
        </w:rPr>
      </w:pPr>
      <w:r w:rsidRPr="00776009">
        <w:rPr>
          <w:rFonts w:eastAsia="Times New Roman" w:cstheme="minorHAnsi"/>
          <w:color w:val="000000"/>
          <w:lang w:eastAsia="en-AU"/>
        </w:rPr>
        <w:t>Higher education providers must publish their needs assessment procedure in a format that is readily available and accessible to the public, including people with disability.</w:t>
      </w:r>
    </w:p>
    <w:p w14:paraId="3A847959" w14:textId="77777777" w:rsidR="001E73B5" w:rsidRPr="00776009" w:rsidRDefault="001E73B5" w:rsidP="001E73B5">
      <w:pPr>
        <w:keepLines/>
        <w:spacing w:after="0" w:line="240" w:lineRule="auto"/>
        <w:rPr>
          <w:rFonts w:eastAsia="Times New Roman" w:cstheme="minorHAnsi"/>
        </w:rPr>
      </w:pPr>
    </w:p>
    <w:p w14:paraId="0730184A" w14:textId="3DE9E3BE" w:rsidR="001E73B5" w:rsidRPr="00776009" w:rsidRDefault="001E73B5" w:rsidP="001E73B5">
      <w:pPr>
        <w:keepLines/>
        <w:tabs>
          <w:tab w:val="left" w:pos="1134"/>
        </w:tabs>
        <w:spacing w:after="0" w:line="240" w:lineRule="auto"/>
        <w:rPr>
          <w:rFonts w:eastAsia="Times New Roman" w:cstheme="minorHAnsi"/>
          <w:b/>
        </w:rPr>
      </w:pPr>
      <w:r w:rsidRPr="00776009">
        <w:rPr>
          <w:rFonts w:eastAsia="Times New Roman" w:cstheme="minorHAnsi"/>
          <w:b/>
        </w:rPr>
        <w:t xml:space="preserve">Reporting </w:t>
      </w:r>
    </w:p>
    <w:p w14:paraId="1451D016" w14:textId="77777777" w:rsidR="00C73B9B" w:rsidRPr="00776009" w:rsidRDefault="00C73B9B" w:rsidP="001E73B5">
      <w:pPr>
        <w:keepLines/>
        <w:spacing w:after="0" w:line="240" w:lineRule="auto"/>
        <w:rPr>
          <w:rFonts w:eastAsia="Times New Roman" w:cstheme="minorHAnsi"/>
        </w:rPr>
      </w:pPr>
    </w:p>
    <w:p w14:paraId="0698133B" w14:textId="77777777" w:rsidR="001E73B5" w:rsidRPr="00776009" w:rsidRDefault="001E73B5" w:rsidP="00361FBB">
      <w:pPr>
        <w:keepLines/>
        <w:spacing w:after="0" w:line="240" w:lineRule="auto"/>
        <w:rPr>
          <w:rFonts w:eastAsia="Times New Roman" w:cstheme="minorHAnsi"/>
          <w:color w:val="000000"/>
          <w:lang w:eastAsia="en-AU"/>
        </w:rPr>
      </w:pPr>
      <w:r w:rsidRPr="00776009">
        <w:rPr>
          <w:rFonts w:eastAsia="Times New Roman" w:cstheme="minorHAnsi"/>
          <w:color w:val="000000"/>
          <w:lang w:eastAsia="en-AU"/>
        </w:rPr>
        <w:t>A higher education provider must report to the department annually on the progress and outcomes of any DSP activities in the format specified by the department.</w:t>
      </w:r>
    </w:p>
    <w:p w14:paraId="13267296" w14:textId="77777777" w:rsidR="001E73B5" w:rsidRPr="00776009" w:rsidRDefault="001E73B5" w:rsidP="001E73B5">
      <w:pPr>
        <w:keepLines/>
        <w:tabs>
          <w:tab w:val="left" w:pos="567"/>
          <w:tab w:val="left" w:pos="851"/>
          <w:tab w:val="left" w:pos="1134"/>
        </w:tabs>
        <w:spacing w:after="0" w:line="240" w:lineRule="auto"/>
        <w:rPr>
          <w:rFonts w:eastAsia="Times New Roman" w:cstheme="minorHAnsi"/>
          <w:b/>
          <w:color w:val="000000"/>
        </w:rPr>
      </w:pPr>
    </w:p>
    <w:p w14:paraId="356F9F8D" w14:textId="77777777" w:rsidR="00B77BEC" w:rsidRPr="00776009" w:rsidRDefault="00B77BEC">
      <w:pPr>
        <w:rPr>
          <w:rFonts w:eastAsia="Times New Roman"/>
          <w:b/>
        </w:rPr>
      </w:pPr>
      <w:bookmarkStart w:id="18" w:name="_Toc406581150"/>
      <w:r w:rsidRPr="00776009">
        <w:rPr>
          <w:rFonts w:eastAsia="Times New Roman"/>
          <w:b/>
        </w:rPr>
        <w:br w:type="page"/>
      </w:r>
    </w:p>
    <w:p w14:paraId="2B6DBAD5" w14:textId="70F656DF" w:rsidR="001E73B5" w:rsidRPr="00776009" w:rsidRDefault="001E73B5" w:rsidP="00357014">
      <w:pPr>
        <w:rPr>
          <w:rFonts w:eastAsia="Times New Roman"/>
          <w:b/>
          <w:i/>
          <w:iCs/>
          <w:color w:val="000000"/>
        </w:rPr>
      </w:pPr>
      <w:r w:rsidRPr="00776009">
        <w:rPr>
          <w:rFonts w:eastAsia="Times New Roman"/>
          <w:b/>
        </w:rPr>
        <w:lastRenderedPageBreak/>
        <w:t>Australian Disability Clearinghouse on Education and Training</w:t>
      </w:r>
      <w:bookmarkEnd w:id="18"/>
    </w:p>
    <w:p w14:paraId="2BA54EFA" w14:textId="50D2B811" w:rsidR="001E73B5" w:rsidRPr="00776009" w:rsidRDefault="001E73B5" w:rsidP="001E73B5">
      <w:pPr>
        <w:keepLines/>
        <w:spacing w:after="0" w:line="240" w:lineRule="auto"/>
        <w:ind w:left="1100" w:hanging="1100"/>
        <w:rPr>
          <w:rFonts w:eastAsia="Times New Roman" w:cstheme="minorHAnsi"/>
          <w:b/>
          <w:color w:val="000000"/>
        </w:rPr>
      </w:pPr>
      <w:r w:rsidRPr="00776009">
        <w:rPr>
          <w:rFonts w:eastAsia="Times New Roman" w:cstheme="minorHAnsi"/>
          <w:b/>
          <w:color w:val="000000"/>
        </w:rPr>
        <w:t>Objective</w:t>
      </w:r>
    </w:p>
    <w:p w14:paraId="7FD39F3D" w14:textId="77777777" w:rsidR="001E73B5" w:rsidRPr="00776009" w:rsidRDefault="001E73B5" w:rsidP="001E73B5">
      <w:pPr>
        <w:spacing w:after="0" w:line="240" w:lineRule="auto"/>
        <w:ind w:left="1200" w:hanging="1200"/>
        <w:rPr>
          <w:rFonts w:eastAsia="Times New Roman" w:cstheme="minorHAnsi"/>
          <w:b/>
          <w:bCs/>
          <w:color w:val="000000"/>
        </w:rPr>
      </w:pPr>
    </w:p>
    <w:p w14:paraId="7490DFDE" w14:textId="08EE674D" w:rsidR="001E73B5" w:rsidRPr="00776009" w:rsidRDefault="001E73B5" w:rsidP="00361FBB">
      <w:pPr>
        <w:keepLines/>
        <w:spacing w:after="0" w:line="240" w:lineRule="auto"/>
        <w:rPr>
          <w:rFonts w:eastAsia="Times New Roman" w:cstheme="minorHAnsi"/>
          <w:i/>
          <w:iCs/>
          <w:color w:val="000000"/>
          <w:lang w:eastAsia="en-AU"/>
        </w:rPr>
      </w:pPr>
      <w:r w:rsidRPr="00776009">
        <w:rPr>
          <w:rFonts w:eastAsia="Times New Roman" w:cstheme="minorHAnsi"/>
          <w:color w:val="000000"/>
          <w:lang w:eastAsia="en-AU"/>
        </w:rPr>
        <w:t xml:space="preserve">The objective of the Australian Disability Clearinghouse on Education and Training </w:t>
      </w:r>
      <w:r w:rsidRPr="00776009">
        <w:rPr>
          <w:rFonts w:eastAsia="Times New Roman" w:cstheme="minorHAnsi"/>
          <w:lang w:eastAsia="en-AU"/>
        </w:rPr>
        <w:t xml:space="preserve">(ADCET) </w:t>
      </w:r>
      <w:r w:rsidRPr="00776009">
        <w:rPr>
          <w:rFonts w:eastAsia="Times New Roman" w:cstheme="minorHAnsi"/>
          <w:color w:val="000000"/>
          <w:lang w:eastAsia="en-AU"/>
        </w:rPr>
        <w:t xml:space="preserve">component is to provide information, advice, and resources through a website to disability practitioners, teachers and students to promote inclusive teaching and learning practices for students with disability. </w:t>
      </w:r>
    </w:p>
    <w:p w14:paraId="74E93976" w14:textId="77777777" w:rsidR="001E73B5" w:rsidRPr="00776009" w:rsidRDefault="001E73B5" w:rsidP="001E73B5">
      <w:pPr>
        <w:keepLines/>
        <w:tabs>
          <w:tab w:val="left" w:pos="1400"/>
          <w:tab w:val="left" w:pos="1700"/>
        </w:tabs>
        <w:spacing w:after="0" w:line="240" w:lineRule="auto"/>
        <w:ind w:left="1200" w:hanging="1200"/>
        <w:rPr>
          <w:rFonts w:eastAsia="Times New Roman" w:cstheme="minorHAnsi"/>
          <w:b/>
          <w:bCs/>
          <w:color w:val="000000"/>
        </w:rPr>
      </w:pPr>
    </w:p>
    <w:p w14:paraId="324E60C6" w14:textId="69316116" w:rsidR="001E73B5" w:rsidRPr="00776009" w:rsidRDefault="001E73B5" w:rsidP="00361FBB">
      <w:pPr>
        <w:keepLines/>
        <w:spacing w:after="0" w:line="240" w:lineRule="auto"/>
        <w:rPr>
          <w:rFonts w:eastAsia="Times New Roman" w:cstheme="minorHAnsi"/>
          <w:color w:val="000000"/>
        </w:rPr>
      </w:pPr>
      <w:r w:rsidRPr="00776009">
        <w:rPr>
          <w:rFonts w:eastAsia="Times New Roman" w:cstheme="minorHAnsi"/>
          <w:color w:val="000000"/>
        </w:rPr>
        <w:t>The ADCET will be hosted by a higher education provider appointed by the Minister</w:t>
      </w:r>
      <w:r w:rsidR="00DC6F84" w:rsidRPr="00776009">
        <w:rPr>
          <w:rFonts w:eastAsia="Times New Roman" w:cstheme="minorHAnsi"/>
          <w:color w:val="000000"/>
        </w:rPr>
        <w:t xml:space="preserve"> for Education and Training.</w:t>
      </w:r>
    </w:p>
    <w:p w14:paraId="03E35DFB" w14:textId="77777777" w:rsidR="001E73B5" w:rsidRPr="00776009" w:rsidRDefault="001E73B5" w:rsidP="001E73B5">
      <w:pPr>
        <w:keepLines/>
        <w:spacing w:after="0" w:line="240" w:lineRule="auto"/>
        <w:ind w:left="1100" w:hanging="1100"/>
        <w:rPr>
          <w:rFonts w:eastAsia="Times New Roman" w:cstheme="minorHAnsi"/>
        </w:rPr>
      </w:pPr>
    </w:p>
    <w:p w14:paraId="449915B0" w14:textId="26667C02" w:rsidR="001E73B5" w:rsidRPr="00776009" w:rsidRDefault="001E73B5" w:rsidP="00361FBB">
      <w:pPr>
        <w:keepLines/>
        <w:spacing w:after="0" w:line="240" w:lineRule="auto"/>
        <w:rPr>
          <w:rFonts w:eastAsia="Times New Roman" w:cstheme="minorHAnsi"/>
          <w:color w:val="000000"/>
          <w:lang w:eastAsia="en-AU"/>
        </w:rPr>
      </w:pPr>
      <w:r w:rsidRPr="00776009">
        <w:rPr>
          <w:rFonts w:eastAsia="Times New Roman" w:cstheme="minorHAnsi"/>
          <w:color w:val="000000"/>
          <w:lang w:eastAsia="en-AU"/>
        </w:rPr>
        <w:t xml:space="preserve">Funds will be provided to the higher education provider hosting the ADCET as determined by the Minister under paragraph 41-30(b) of the </w:t>
      </w:r>
      <w:r w:rsidR="00DC6F84" w:rsidRPr="00361FBB">
        <w:rPr>
          <w:rFonts w:eastAsia="Times New Roman" w:cstheme="minorHAnsi"/>
          <w:i/>
          <w:color w:val="000000"/>
          <w:lang w:eastAsia="en-AU"/>
        </w:rPr>
        <w:t xml:space="preserve">Higher Education Support </w:t>
      </w:r>
      <w:r w:rsidRPr="00361FBB">
        <w:rPr>
          <w:rFonts w:eastAsia="Times New Roman" w:cstheme="minorHAnsi"/>
          <w:i/>
          <w:color w:val="000000"/>
          <w:lang w:eastAsia="en-AU"/>
        </w:rPr>
        <w:t>Act</w:t>
      </w:r>
      <w:r w:rsidR="00DC6F84" w:rsidRPr="00361FBB">
        <w:rPr>
          <w:rFonts w:eastAsia="Times New Roman" w:cstheme="minorHAnsi"/>
          <w:i/>
          <w:color w:val="000000"/>
          <w:lang w:eastAsia="en-AU"/>
        </w:rPr>
        <w:t xml:space="preserve"> 2003</w:t>
      </w:r>
      <w:r w:rsidRPr="00776009">
        <w:rPr>
          <w:rFonts w:eastAsia="Times New Roman" w:cstheme="minorHAnsi"/>
          <w:color w:val="000000"/>
          <w:lang w:eastAsia="en-AU"/>
        </w:rPr>
        <w:t>.</w:t>
      </w:r>
    </w:p>
    <w:p w14:paraId="3FE1E0EC" w14:textId="77777777" w:rsidR="001E73B5" w:rsidRPr="00776009" w:rsidRDefault="001E73B5" w:rsidP="001E73B5">
      <w:pPr>
        <w:keepLines/>
        <w:spacing w:after="0" w:line="240" w:lineRule="auto"/>
        <w:ind w:left="1100" w:hanging="1100"/>
        <w:rPr>
          <w:rFonts w:eastAsia="Times New Roman" w:cstheme="minorHAnsi"/>
          <w:color w:val="000000"/>
          <w:lang w:eastAsia="en-AU"/>
        </w:rPr>
      </w:pPr>
    </w:p>
    <w:p w14:paraId="55D8849C" w14:textId="35856260" w:rsidR="00F25990" w:rsidRDefault="001E73B5" w:rsidP="00361FBB">
      <w:pPr>
        <w:keepLines/>
        <w:spacing w:after="0" w:line="240" w:lineRule="auto"/>
        <w:rPr>
          <w:rFonts w:eastAsia="Times New Roman" w:cstheme="minorHAnsi"/>
          <w:color w:val="000000"/>
          <w:lang w:eastAsia="en-AU"/>
        </w:rPr>
        <w:sectPr w:rsidR="00F25990" w:rsidSect="004050C1">
          <w:headerReference w:type="default" r:id="rId21"/>
          <w:footerReference w:type="default" r:id="rId22"/>
          <w:pgSz w:w="11906" w:h="16838"/>
          <w:pgMar w:top="1985" w:right="1440" w:bottom="1440" w:left="1440" w:header="708" w:footer="1011" w:gutter="0"/>
          <w:cols w:space="708"/>
          <w:docGrid w:linePitch="360"/>
        </w:sectPr>
      </w:pPr>
      <w:r w:rsidRPr="00776009">
        <w:rPr>
          <w:rFonts w:eastAsia="Times New Roman" w:cstheme="minorHAnsi"/>
          <w:color w:val="000000"/>
          <w:lang w:eastAsia="en-AU"/>
        </w:rPr>
        <w:t xml:space="preserve">The Minister will determine the conditions of grant to the higher education provider hosting the ADCET under paragraph 41-25(b) of the </w:t>
      </w:r>
      <w:r w:rsidR="00DC6F84" w:rsidRPr="00361FBB">
        <w:rPr>
          <w:rFonts w:eastAsia="Times New Roman" w:cstheme="minorHAnsi"/>
          <w:i/>
          <w:color w:val="000000"/>
          <w:lang w:eastAsia="en-AU"/>
        </w:rPr>
        <w:t>Higher Education Support Act 2003</w:t>
      </w:r>
      <w:r w:rsidRPr="00776009">
        <w:rPr>
          <w:rFonts w:eastAsia="Times New Roman" w:cstheme="minorHAnsi"/>
          <w:color w:val="000000"/>
          <w:lang w:eastAsia="en-AU"/>
        </w:rPr>
        <w:t>.</w:t>
      </w:r>
    </w:p>
    <w:p w14:paraId="7A8CB296" w14:textId="77777777" w:rsidR="006A22B0" w:rsidRPr="00776009" w:rsidRDefault="006A22B0" w:rsidP="006A22B0">
      <w:pPr>
        <w:pStyle w:val="Heading1"/>
        <w:jc w:val="right"/>
      </w:pPr>
      <w:bookmarkStart w:id="19" w:name="_Toc465412632"/>
      <w:r w:rsidRPr="00776009">
        <w:lastRenderedPageBreak/>
        <w:t>Appendix B</w:t>
      </w:r>
      <w:bookmarkEnd w:id="19"/>
    </w:p>
    <w:p w14:paraId="02AC1B55" w14:textId="77777777" w:rsidR="006A22B0" w:rsidRPr="00776009" w:rsidRDefault="006A22B0" w:rsidP="006A22B0">
      <w:pPr>
        <w:pStyle w:val="Heading1"/>
        <w:jc w:val="center"/>
      </w:pPr>
      <w:bookmarkStart w:id="20" w:name="_Toc465412633"/>
      <w:r w:rsidRPr="00776009">
        <w:t>Evaluation Findings</w:t>
      </w:r>
      <w:bookmarkEnd w:id="20"/>
    </w:p>
    <w:p w14:paraId="1FA14281" w14:textId="77777777" w:rsidR="006A22B0" w:rsidRPr="00776009" w:rsidRDefault="006A22B0" w:rsidP="006A22B0">
      <w:r w:rsidRPr="00776009">
        <w:t xml:space="preserve">The evaluation report is available at </w:t>
      </w:r>
      <w:hyperlink r:id="rId23" w:history="1">
        <w:r w:rsidRPr="00776009">
          <w:rPr>
            <w:rStyle w:val="Hyperlink"/>
          </w:rPr>
          <w:t>https://docs.education.gov.au/documents/evaluation-disability-support-programme-final-report</w:t>
        </w:r>
      </w:hyperlink>
      <w:r w:rsidRPr="00776009">
        <w:t>.  The key findings are quoted below:</w:t>
      </w:r>
    </w:p>
    <w:p w14:paraId="0881124E" w14:textId="77777777" w:rsidR="006A22B0" w:rsidRPr="00776009" w:rsidRDefault="006A22B0" w:rsidP="006A22B0">
      <w:pPr>
        <w:pStyle w:val="Heading2"/>
        <w:spacing w:before="240" w:after="120"/>
        <w:rPr>
          <w:sz w:val="20"/>
          <w:szCs w:val="20"/>
        </w:rPr>
      </w:pPr>
      <w:bookmarkStart w:id="21" w:name="_Toc465412634"/>
      <w:r w:rsidRPr="00776009">
        <w:rPr>
          <w:sz w:val="20"/>
          <w:szCs w:val="20"/>
        </w:rPr>
        <w:t>Appropriateness</w:t>
      </w:r>
      <w:bookmarkEnd w:id="21"/>
    </w:p>
    <w:p w14:paraId="5AA7F0BC" w14:textId="77777777" w:rsidR="006A22B0" w:rsidRPr="00776009" w:rsidRDefault="006A22B0" w:rsidP="006A22B0">
      <w:pPr>
        <w:pStyle w:val="ListBullet"/>
        <w:ind w:left="369" w:hanging="369"/>
        <w:contextualSpacing w:val="0"/>
        <w:rPr>
          <w:sz w:val="20"/>
          <w:szCs w:val="20"/>
        </w:rPr>
      </w:pPr>
      <w:r w:rsidRPr="00776009">
        <w:rPr>
          <w:sz w:val="20"/>
          <w:szCs w:val="20"/>
        </w:rPr>
        <w:t>Under the Disability Standards for Education, higher education providers must make adjustments to ensure that students with disability have the same or similar choices and opportunities as students without disability, particularly in regard to enrolment, participation, curriculum, harassment and support services.</w:t>
      </w:r>
    </w:p>
    <w:p w14:paraId="77CB3130" w14:textId="77777777" w:rsidR="006A22B0" w:rsidRPr="00776009" w:rsidRDefault="006A22B0" w:rsidP="006A22B0">
      <w:pPr>
        <w:pStyle w:val="ListBullet"/>
        <w:ind w:left="369" w:hanging="369"/>
        <w:contextualSpacing w:val="0"/>
        <w:rPr>
          <w:sz w:val="20"/>
          <w:szCs w:val="20"/>
        </w:rPr>
      </w:pPr>
      <w:r w:rsidRPr="00776009">
        <w:rPr>
          <w:sz w:val="20"/>
          <w:szCs w:val="20"/>
        </w:rPr>
        <w:t>The objectives of the DSP align most strongly with higher education providers’ legal obligations in relation to promoting participation and the provision of support services.</w:t>
      </w:r>
    </w:p>
    <w:p w14:paraId="492AF6EC" w14:textId="77777777" w:rsidR="006A22B0" w:rsidRPr="00776009" w:rsidRDefault="006A22B0" w:rsidP="006A22B0">
      <w:pPr>
        <w:pStyle w:val="ListBullet"/>
        <w:ind w:left="369" w:hanging="369"/>
        <w:contextualSpacing w:val="0"/>
        <w:rPr>
          <w:sz w:val="20"/>
          <w:szCs w:val="20"/>
        </w:rPr>
      </w:pPr>
      <w:r w:rsidRPr="00776009">
        <w:rPr>
          <w:sz w:val="20"/>
          <w:szCs w:val="20"/>
        </w:rPr>
        <w:t>Eighty-five percent of DSP funding is provided to higher education providers via the ASSD component of the program. The majority of these funds are for the provision of educational support services, such as note taking services, invigilation, participation assistants, Auslan services, accessible formatting and transcription services.</w:t>
      </w:r>
    </w:p>
    <w:p w14:paraId="104F9893" w14:textId="77777777" w:rsidR="006A22B0" w:rsidRPr="00776009" w:rsidRDefault="006A22B0" w:rsidP="006A22B0">
      <w:pPr>
        <w:pStyle w:val="ListBullet"/>
        <w:ind w:left="369" w:hanging="369"/>
        <w:contextualSpacing w:val="0"/>
        <w:rPr>
          <w:sz w:val="20"/>
          <w:szCs w:val="20"/>
        </w:rPr>
      </w:pPr>
      <w:r w:rsidRPr="00776009">
        <w:rPr>
          <w:sz w:val="20"/>
          <w:szCs w:val="20"/>
        </w:rPr>
        <w:t>The ASSD generally meets about 50-60 percent of the costs claimed by higher education providers in any given year.</w:t>
      </w:r>
    </w:p>
    <w:p w14:paraId="589CF4E6" w14:textId="77777777" w:rsidR="006A22B0" w:rsidRPr="00776009" w:rsidRDefault="006A22B0" w:rsidP="006A22B0">
      <w:pPr>
        <w:pStyle w:val="ListBullet"/>
        <w:ind w:left="369" w:hanging="369"/>
        <w:contextualSpacing w:val="0"/>
        <w:rPr>
          <w:sz w:val="20"/>
          <w:szCs w:val="20"/>
        </w:rPr>
      </w:pPr>
      <w:r w:rsidRPr="00776009">
        <w:rPr>
          <w:sz w:val="20"/>
          <w:szCs w:val="20"/>
        </w:rPr>
        <w:t>Sixty-seven percent of all educational support claims in 2013 were classified as ‘high cost’ (over $6,000 in value). These supports were often provided to a small proportion of students with significant disability, such as visual or hearing impairment and other physical disabilities.</w:t>
      </w:r>
    </w:p>
    <w:p w14:paraId="186C0FEC" w14:textId="77777777" w:rsidR="006A22B0" w:rsidRPr="00776009" w:rsidRDefault="006A22B0" w:rsidP="006A22B0">
      <w:pPr>
        <w:pStyle w:val="ListBullet"/>
        <w:ind w:left="369" w:hanging="369"/>
        <w:contextualSpacing w:val="0"/>
        <w:rPr>
          <w:sz w:val="20"/>
          <w:szCs w:val="20"/>
        </w:rPr>
      </w:pPr>
      <w:r w:rsidRPr="00776009">
        <w:rPr>
          <w:sz w:val="20"/>
          <w:szCs w:val="20"/>
        </w:rPr>
        <w:t>University staff generally perceived the DSP was supporting higher education providers to meet their obligations to students.</w:t>
      </w:r>
    </w:p>
    <w:p w14:paraId="04AB8796" w14:textId="77777777" w:rsidR="006A22B0" w:rsidRPr="00776009" w:rsidRDefault="006A22B0" w:rsidP="006A22B0">
      <w:pPr>
        <w:pStyle w:val="ListBullet"/>
        <w:ind w:left="369" w:hanging="369"/>
        <w:contextualSpacing w:val="0"/>
        <w:rPr>
          <w:sz w:val="20"/>
          <w:szCs w:val="20"/>
        </w:rPr>
      </w:pPr>
      <w:r w:rsidRPr="00776009">
        <w:rPr>
          <w:sz w:val="20"/>
          <w:szCs w:val="20"/>
        </w:rPr>
        <w:t>The disability profile of students is changing but funding is focused on physical and sensory disabilities. The evaluation found that, while more students with mental health issues and learning disorders are accessing university disability services, the bulk of funding under the program is still supporting students with hearing and visual impairments, and other physical disabilities.</w:t>
      </w:r>
    </w:p>
    <w:p w14:paraId="437D3778" w14:textId="77777777" w:rsidR="006A22B0" w:rsidRPr="00776009" w:rsidRDefault="006A22B0" w:rsidP="006A22B0">
      <w:pPr>
        <w:pStyle w:val="ListBullet"/>
        <w:ind w:left="369" w:hanging="369"/>
        <w:contextualSpacing w:val="0"/>
        <w:rPr>
          <w:sz w:val="20"/>
          <w:szCs w:val="20"/>
        </w:rPr>
      </w:pPr>
      <w:r w:rsidRPr="00776009">
        <w:rPr>
          <w:sz w:val="20"/>
          <w:szCs w:val="20"/>
        </w:rPr>
        <w:t>Changes in educational practices and improvements in technology have meant that universal design principles are incorporated to a greater extent in contemporary higher education settings. Universal design refers to ‘design of products and environments to be usable by all people to the greatest extent possible, without the need for adaptation or of specialised design’.</w:t>
      </w:r>
    </w:p>
    <w:p w14:paraId="35C5D65A" w14:textId="77777777" w:rsidR="006A22B0" w:rsidRPr="00776009" w:rsidRDefault="006A22B0" w:rsidP="006A22B0">
      <w:pPr>
        <w:pStyle w:val="ListBullet"/>
        <w:ind w:left="369" w:hanging="369"/>
        <w:contextualSpacing w:val="0"/>
        <w:rPr>
          <w:sz w:val="20"/>
          <w:szCs w:val="20"/>
        </w:rPr>
      </w:pPr>
      <w:r w:rsidRPr="00776009">
        <w:rPr>
          <w:sz w:val="20"/>
          <w:szCs w:val="20"/>
        </w:rPr>
        <w:t>The introduction of the National Disability Insurance Scheme (NDIS) further reinforces the focus of the DSP on direct higher education costs, such as equipment and education support. The NDIS will support students to physically access and attend higher education providers.</w:t>
      </w:r>
    </w:p>
    <w:p w14:paraId="01BD19C9" w14:textId="77777777" w:rsidR="006A22B0" w:rsidRPr="00776009" w:rsidRDefault="006A22B0" w:rsidP="006A22B0">
      <w:pPr>
        <w:rPr>
          <w:b/>
          <w:sz w:val="20"/>
          <w:szCs w:val="20"/>
        </w:rPr>
      </w:pPr>
    </w:p>
    <w:p w14:paraId="4E92D463" w14:textId="77777777" w:rsidR="006A22B0" w:rsidRPr="00776009" w:rsidRDefault="006A22B0" w:rsidP="006A22B0">
      <w:pPr>
        <w:pStyle w:val="Heading2"/>
        <w:spacing w:after="120"/>
        <w:rPr>
          <w:sz w:val="20"/>
          <w:szCs w:val="20"/>
        </w:rPr>
      </w:pPr>
      <w:bookmarkStart w:id="22" w:name="_Toc465412635"/>
      <w:r w:rsidRPr="00776009">
        <w:rPr>
          <w:sz w:val="20"/>
          <w:szCs w:val="20"/>
        </w:rPr>
        <w:t>Effectiveness</w:t>
      </w:r>
      <w:bookmarkEnd w:id="22"/>
    </w:p>
    <w:p w14:paraId="71EAC5C9" w14:textId="77777777" w:rsidR="006A22B0" w:rsidRPr="00776009" w:rsidRDefault="006A22B0" w:rsidP="006A22B0">
      <w:pPr>
        <w:pStyle w:val="ListBullet"/>
        <w:ind w:left="369" w:hanging="369"/>
        <w:contextualSpacing w:val="0"/>
        <w:rPr>
          <w:sz w:val="20"/>
          <w:szCs w:val="20"/>
        </w:rPr>
      </w:pPr>
      <w:r w:rsidRPr="00776009">
        <w:rPr>
          <w:sz w:val="20"/>
          <w:szCs w:val="20"/>
        </w:rPr>
        <w:t>The DSP is supporting higher education providers to meet student needs in areas that are of particular concern to students - completing course assignments and exams and fully participating in lectures and tutorials.</w:t>
      </w:r>
    </w:p>
    <w:p w14:paraId="56B2AF79" w14:textId="77777777" w:rsidR="006A22B0" w:rsidRPr="00776009" w:rsidRDefault="006A22B0" w:rsidP="006A22B0">
      <w:pPr>
        <w:pStyle w:val="ListBullet"/>
        <w:ind w:left="369" w:hanging="369"/>
        <w:contextualSpacing w:val="0"/>
        <w:rPr>
          <w:sz w:val="20"/>
          <w:szCs w:val="20"/>
        </w:rPr>
      </w:pPr>
      <w:r w:rsidRPr="00776009">
        <w:rPr>
          <w:sz w:val="20"/>
          <w:szCs w:val="20"/>
        </w:rPr>
        <w:lastRenderedPageBreak/>
        <w:t>The DSP contributes to facilitating access to supports and equipment for students with a disability.</w:t>
      </w:r>
    </w:p>
    <w:p w14:paraId="20028DC0" w14:textId="77777777" w:rsidR="006A22B0" w:rsidRPr="00776009" w:rsidRDefault="006A22B0" w:rsidP="006A22B0">
      <w:pPr>
        <w:pStyle w:val="ListBullet"/>
        <w:ind w:left="369" w:hanging="369"/>
        <w:contextualSpacing w:val="0"/>
        <w:rPr>
          <w:sz w:val="20"/>
          <w:szCs w:val="20"/>
        </w:rPr>
      </w:pPr>
      <w:r w:rsidRPr="00776009">
        <w:rPr>
          <w:sz w:val="20"/>
          <w:szCs w:val="20"/>
        </w:rPr>
        <w:t>Higher education providers are using ASSD funding to provide a range of equipment and educational supports to remove barriers and facilitate access and participation.</w:t>
      </w:r>
    </w:p>
    <w:p w14:paraId="1D04BB98" w14:textId="77777777" w:rsidR="006A22B0" w:rsidRPr="00776009" w:rsidRDefault="006A22B0" w:rsidP="006A22B0">
      <w:pPr>
        <w:pStyle w:val="ListBullet"/>
        <w:ind w:left="369" w:hanging="369"/>
        <w:contextualSpacing w:val="0"/>
        <w:rPr>
          <w:sz w:val="20"/>
          <w:szCs w:val="20"/>
        </w:rPr>
      </w:pPr>
      <w:r w:rsidRPr="00776009">
        <w:rPr>
          <w:sz w:val="20"/>
          <w:szCs w:val="20"/>
        </w:rPr>
        <w:t>The DSP contributes to minimising or removing barriers for students with a disability to participate in higher education and has contributed to students with a disability being effectively supported in higher education throughout their studies. While students do not have a high level of awareness of the DSP, they are generally positive about their experience at university and the support they receive.</w:t>
      </w:r>
    </w:p>
    <w:p w14:paraId="599D7C93" w14:textId="77777777" w:rsidR="006A22B0" w:rsidRPr="00776009" w:rsidRDefault="006A22B0" w:rsidP="006A22B0">
      <w:pPr>
        <w:pStyle w:val="ListBullet"/>
        <w:ind w:left="369" w:hanging="369"/>
        <w:contextualSpacing w:val="0"/>
        <w:rPr>
          <w:sz w:val="20"/>
          <w:szCs w:val="20"/>
        </w:rPr>
      </w:pPr>
      <w:r w:rsidRPr="00776009">
        <w:rPr>
          <w:sz w:val="20"/>
          <w:szCs w:val="20"/>
        </w:rPr>
        <w:t>DSP funding could be better utilised to improve higher education providers’ capacity and resources to attract and retain students with a disability.</w:t>
      </w:r>
    </w:p>
    <w:p w14:paraId="09C102C0" w14:textId="77777777" w:rsidR="006A22B0" w:rsidRPr="00776009" w:rsidRDefault="006A22B0" w:rsidP="006A22B0">
      <w:pPr>
        <w:pStyle w:val="ListBullet"/>
        <w:ind w:left="369" w:hanging="369"/>
        <w:contextualSpacing w:val="0"/>
        <w:rPr>
          <w:sz w:val="20"/>
          <w:szCs w:val="20"/>
        </w:rPr>
      </w:pPr>
      <w:r w:rsidRPr="00776009">
        <w:rPr>
          <w:sz w:val="20"/>
          <w:szCs w:val="20"/>
        </w:rPr>
        <w:t>The DSP contributes to building higher education providers’ awareness of and access to contemporary research and practice materials relating to inclusive teaching and learning practices and support for students with a disability. This has primarily occurred via funding for ADCET.</w:t>
      </w:r>
    </w:p>
    <w:p w14:paraId="4C933014" w14:textId="77777777" w:rsidR="006A22B0" w:rsidRPr="00776009" w:rsidRDefault="006A22B0" w:rsidP="006A22B0">
      <w:pPr>
        <w:pStyle w:val="Heading2"/>
        <w:spacing w:after="120"/>
        <w:rPr>
          <w:sz w:val="20"/>
          <w:szCs w:val="20"/>
        </w:rPr>
      </w:pPr>
      <w:bookmarkStart w:id="23" w:name="_Toc465412636"/>
      <w:r w:rsidRPr="00776009">
        <w:rPr>
          <w:sz w:val="20"/>
          <w:szCs w:val="20"/>
        </w:rPr>
        <w:t>Administration and Operational Efficiency</w:t>
      </w:r>
      <w:bookmarkEnd w:id="23"/>
    </w:p>
    <w:p w14:paraId="45A84F2C" w14:textId="77777777" w:rsidR="006A22B0" w:rsidRPr="00776009" w:rsidRDefault="006A22B0" w:rsidP="006A22B0">
      <w:pPr>
        <w:pStyle w:val="ListBullet"/>
        <w:ind w:left="369" w:hanging="369"/>
        <w:contextualSpacing w:val="0"/>
        <w:rPr>
          <w:sz w:val="20"/>
          <w:szCs w:val="20"/>
        </w:rPr>
      </w:pPr>
      <w:r w:rsidRPr="00776009">
        <w:rPr>
          <w:sz w:val="20"/>
          <w:szCs w:val="20"/>
        </w:rPr>
        <w:t xml:space="preserve">The DSP’s objectives and guidelines are well understood by university </w:t>
      </w:r>
      <w:proofErr w:type="gramStart"/>
      <w:r w:rsidRPr="00776009">
        <w:rPr>
          <w:sz w:val="20"/>
          <w:szCs w:val="20"/>
        </w:rPr>
        <w:t>staff that are</w:t>
      </w:r>
      <w:proofErr w:type="gramEnd"/>
      <w:r w:rsidRPr="00776009">
        <w:rPr>
          <w:sz w:val="20"/>
          <w:szCs w:val="20"/>
        </w:rPr>
        <w:t xml:space="preserve"> involved in administering the program. Staff generally considered the program objectives and guidelines were clear, with 60 percent of staff responding to the online survey either ‘agreeing’ or ‘strongly agreeing’ with the statement ‘the DSP program guidelines are accessible and easy to understand’, while 93 percent felt they understood the program’s objectives.</w:t>
      </w:r>
    </w:p>
    <w:p w14:paraId="64F23801" w14:textId="77777777" w:rsidR="006A22B0" w:rsidRPr="00776009" w:rsidRDefault="006A22B0" w:rsidP="006A22B0">
      <w:pPr>
        <w:pStyle w:val="ListBullet"/>
        <w:ind w:left="369" w:hanging="369"/>
        <w:contextualSpacing w:val="0"/>
        <w:rPr>
          <w:sz w:val="20"/>
          <w:szCs w:val="20"/>
        </w:rPr>
      </w:pPr>
      <w:r w:rsidRPr="00776009">
        <w:rPr>
          <w:sz w:val="20"/>
          <w:szCs w:val="20"/>
        </w:rPr>
        <w:t>The evaluation found there are a range of opportunities to streamline the program and reduce the administrative burden on higher education providers.</w:t>
      </w:r>
    </w:p>
    <w:p w14:paraId="3B5B6338" w14:textId="77777777" w:rsidR="006A22B0" w:rsidRPr="00776009" w:rsidRDefault="006A22B0" w:rsidP="006A22B0">
      <w:pPr>
        <w:pStyle w:val="ListBullet"/>
        <w:ind w:left="369" w:hanging="369"/>
        <w:contextualSpacing w:val="0"/>
        <w:rPr>
          <w:sz w:val="20"/>
          <w:szCs w:val="20"/>
        </w:rPr>
      </w:pPr>
      <w:r w:rsidRPr="00776009">
        <w:rPr>
          <w:sz w:val="20"/>
          <w:szCs w:val="20"/>
        </w:rPr>
        <w:t>Thirty-one percent of respondents reported that it took their university more than 20 days to prepare the claim.</w:t>
      </w:r>
    </w:p>
    <w:p w14:paraId="3BFA218D" w14:textId="77777777" w:rsidR="006A22B0" w:rsidRPr="00776009" w:rsidRDefault="006A22B0" w:rsidP="006A22B0">
      <w:pPr>
        <w:pStyle w:val="ListBullet"/>
        <w:ind w:left="369" w:hanging="369"/>
        <w:contextualSpacing w:val="0"/>
        <w:rPr>
          <w:sz w:val="20"/>
          <w:szCs w:val="20"/>
        </w:rPr>
      </w:pPr>
      <w:r w:rsidRPr="00776009">
        <w:rPr>
          <w:sz w:val="20"/>
          <w:szCs w:val="20"/>
        </w:rPr>
        <w:t>Eighty-three percent of respondents reported that it took two to five people to prepare the claim.</w:t>
      </w:r>
    </w:p>
    <w:p w14:paraId="05E5FFA2" w14:textId="77777777" w:rsidR="006A22B0" w:rsidRPr="00776009" w:rsidRDefault="006A22B0" w:rsidP="006A22B0">
      <w:pPr>
        <w:pStyle w:val="ListBullet"/>
        <w:ind w:left="369" w:hanging="369"/>
        <w:contextualSpacing w:val="0"/>
        <w:rPr>
          <w:sz w:val="20"/>
          <w:szCs w:val="20"/>
        </w:rPr>
      </w:pPr>
      <w:r w:rsidRPr="00776009">
        <w:rPr>
          <w:sz w:val="20"/>
          <w:szCs w:val="20"/>
        </w:rPr>
        <w:t>Higher education providers are completing a large number of claims for small amounts of money. A review of 2013 claims for educational support carried out by KPMG found that 57 percent of claims accounts for only 6 percent of the total amount of funds provided.</w:t>
      </w:r>
    </w:p>
    <w:p w14:paraId="638CA26C" w14:textId="77777777" w:rsidR="006A22B0" w:rsidRPr="00776009" w:rsidRDefault="006A22B0" w:rsidP="006A22B0">
      <w:pPr>
        <w:pStyle w:val="ListBullet"/>
        <w:ind w:left="369" w:hanging="369"/>
        <w:contextualSpacing w:val="0"/>
      </w:pPr>
      <w:r w:rsidRPr="00776009">
        <w:rPr>
          <w:sz w:val="20"/>
          <w:szCs w:val="20"/>
        </w:rPr>
        <w:t>The majority of claims by value are for a limited number of ‘high cost’ students. A review of 2012 and 2013 claims carried out by KPMG found that the bulk of claims for educational support was for services provided to ‘high cost’ students – those whose costs were $6,000 or more for the period 1 January to 31 December.</w:t>
      </w:r>
    </w:p>
    <w:p w14:paraId="5C166C6F" w14:textId="590371B2" w:rsidR="00593A87" w:rsidRPr="00776009" w:rsidRDefault="00593A87" w:rsidP="00686AD5">
      <w:pPr>
        <w:pStyle w:val="Heading1"/>
        <w:jc w:val="right"/>
      </w:pPr>
    </w:p>
    <w:p w14:paraId="3130CA84" w14:textId="77777777" w:rsidR="00686AD5" w:rsidRPr="00776009" w:rsidRDefault="00686AD5" w:rsidP="00FA4883">
      <w:pPr>
        <w:pStyle w:val="Heading1"/>
        <w:jc w:val="center"/>
      </w:pPr>
    </w:p>
    <w:p w14:paraId="01D5CBC4" w14:textId="67E91014" w:rsidR="00EB622B" w:rsidRPr="00776009" w:rsidRDefault="00EB622B">
      <w:r w:rsidRPr="00776009">
        <w:br w:type="page"/>
      </w:r>
    </w:p>
    <w:p w14:paraId="6EED0DAF" w14:textId="742D99F2" w:rsidR="00EB622B" w:rsidRPr="00776009" w:rsidRDefault="00EB622B" w:rsidP="00E94D7E">
      <w:pPr>
        <w:pStyle w:val="Heading1"/>
        <w:jc w:val="right"/>
      </w:pPr>
      <w:bookmarkStart w:id="24" w:name="_Toc465412637"/>
      <w:r w:rsidRPr="00776009">
        <w:lastRenderedPageBreak/>
        <w:t xml:space="preserve">Appendix </w:t>
      </w:r>
      <w:r w:rsidR="0004797B" w:rsidRPr="00776009">
        <w:t>C</w:t>
      </w:r>
      <w:bookmarkEnd w:id="24"/>
    </w:p>
    <w:p w14:paraId="76A7C26D" w14:textId="77777777" w:rsidR="00E94D7E" w:rsidRPr="00776009" w:rsidRDefault="00E94D7E" w:rsidP="00E94D7E">
      <w:pPr>
        <w:pStyle w:val="Heading1"/>
        <w:jc w:val="center"/>
      </w:pPr>
    </w:p>
    <w:p w14:paraId="1732D5EF" w14:textId="11AD59B2" w:rsidR="00EB622B" w:rsidRPr="00776009" w:rsidRDefault="00EB622B" w:rsidP="00FA4883">
      <w:pPr>
        <w:pStyle w:val="Heading1"/>
        <w:jc w:val="center"/>
      </w:pPr>
      <w:bookmarkStart w:id="25" w:name="_Toc465412638"/>
      <w:r w:rsidRPr="00776009">
        <w:t>DSP</w:t>
      </w:r>
      <w:r w:rsidR="00E94D7E" w:rsidRPr="00776009">
        <w:t xml:space="preserve"> Funding Model Comparison</w:t>
      </w:r>
      <w:bookmarkEnd w:id="25"/>
    </w:p>
    <w:p w14:paraId="1685B59F" w14:textId="77777777" w:rsidR="00FA4883" w:rsidRPr="00776009" w:rsidRDefault="00FA4883" w:rsidP="00E94D7E"/>
    <w:p w14:paraId="27AF793B" w14:textId="21002F50" w:rsidR="00E94D7E" w:rsidRPr="00776009" w:rsidRDefault="00E94D7E" w:rsidP="00E94D7E">
      <w:r w:rsidRPr="00776009">
        <w:t xml:space="preserve">The table </w:t>
      </w:r>
      <w:r w:rsidR="00F97472" w:rsidRPr="00776009">
        <w:t xml:space="preserve">and chart </w:t>
      </w:r>
      <w:r w:rsidRPr="00776009">
        <w:t xml:space="preserve">below compare the 2015 DSP allocations received by </w:t>
      </w:r>
      <w:r w:rsidR="00F97472" w:rsidRPr="00776009">
        <w:t>h</w:t>
      </w:r>
      <w:r w:rsidRPr="00776009">
        <w:t xml:space="preserve">igher </w:t>
      </w:r>
      <w:r w:rsidR="00F97472" w:rsidRPr="00776009">
        <w:t>e</w:t>
      </w:r>
      <w:r w:rsidRPr="00776009">
        <w:t xml:space="preserve">ducation providers with the amount of money they would have received had all </w:t>
      </w:r>
      <w:r w:rsidR="00F97472" w:rsidRPr="00776009">
        <w:t xml:space="preserve">provider </w:t>
      </w:r>
      <w:r w:rsidRPr="00776009">
        <w:t>funding been distributed by the formula proposed in this consultation paper.</w:t>
      </w:r>
    </w:p>
    <w:p w14:paraId="1703F64D" w14:textId="77777777" w:rsidR="00E94D7E" w:rsidRPr="00776009" w:rsidRDefault="00E94D7E" w:rsidP="00E94D7E"/>
    <w:tbl>
      <w:tblPr>
        <w:tblW w:w="9476" w:type="dxa"/>
        <w:tblInd w:w="93" w:type="dxa"/>
        <w:tblLook w:val="04A0" w:firstRow="1" w:lastRow="0" w:firstColumn="1" w:lastColumn="0" w:noHBand="0" w:noVBand="1"/>
      </w:tblPr>
      <w:tblGrid>
        <w:gridCol w:w="4417"/>
        <w:gridCol w:w="1785"/>
        <w:gridCol w:w="1540"/>
        <w:gridCol w:w="1734"/>
      </w:tblGrid>
      <w:tr w:rsidR="00EB622B" w:rsidRPr="00776009" w14:paraId="63E709CA" w14:textId="77777777" w:rsidTr="00E94D7E">
        <w:trPr>
          <w:trHeight w:val="510"/>
        </w:trPr>
        <w:tc>
          <w:tcPr>
            <w:tcW w:w="0" w:type="auto"/>
            <w:tcBorders>
              <w:top w:val="nil"/>
              <w:left w:val="nil"/>
              <w:bottom w:val="nil"/>
              <w:right w:val="nil"/>
            </w:tcBorders>
            <w:shd w:val="clear" w:color="000000" w:fill="522761"/>
            <w:vAlign w:val="center"/>
            <w:hideMark/>
          </w:tcPr>
          <w:p w14:paraId="59E57E3C" w14:textId="77777777" w:rsidR="00EB622B" w:rsidRPr="00776009" w:rsidRDefault="00EB622B" w:rsidP="00EB622B">
            <w:pPr>
              <w:spacing w:after="0" w:line="240" w:lineRule="auto"/>
              <w:rPr>
                <w:rFonts w:ascii="Calibri" w:eastAsia="Times New Roman" w:hAnsi="Calibri" w:cs="Calibri"/>
                <w:b/>
                <w:bCs/>
                <w:color w:val="EEECE1"/>
                <w:sz w:val="20"/>
                <w:szCs w:val="20"/>
                <w:lang w:eastAsia="en-AU"/>
              </w:rPr>
            </w:pPr>
            <w:r w:rsidRPr="00776009">
              <w:rPr>
                <w:rFonts w:ascii="Calibri" w:eastAsia="Times New Roman" w:hAnsi="Calibri" w:cs="Calibri"/>
                <w:b/>
                <w:bCs/>
                <w:color w:val="EEECE1"/>
                <w:sz w:val="20"/>
                <w:szCs w:val="20"/>
                <w:lang w:eastAsia="en-AU"/>
              </w:rPr>
              <w:t>Institution</w:t>
            </w:r>
          </w:p>
        </w:tc>
        <w:tc>
          <w:tcPr>
            <w:tcW w:w="0" w:type="auto"/>
            <w:tcBorders>
              <w:top w:val="nil"/>
              <w:left w:val="nil"/>
              <w:bottom w:val="nil"/>
              <w:right w:val="nil"/>
            </w:tcBorders>
            <w:shd w:val="clear" w:color="000000" w:fill="522761"/>
            <w:vAlign w:val="center"/>
            <w:hideMark/>
          </w:tcPr>
          <w:p w14:paraId="54289877" w14:textId="77777777" w:rsidR="00EB622B" w:rsidRPr="00776009" w:rsidRDefault="00EB622B" w:rsidP="00EB622B">
            <w:pPr>
              <w:spacing w:after="0" w:line="240" w:lineRule="auto"/>
              <w:rPr>
                <w:rFonts w:ascii="Calibri" w:eastAsia="Times New Roman" w:hAnsi="Calibri" w:cs="Calibri"/>
                <w:b/>
                <w:bCs/>
                <w:color w:val="EEECE1"/>
                <w:sz w:val="20"/>
                <w:szCs w:val="20"/>
                <w:lang w:eastAsia="en-AU"/>
              </w:rPr>
            </w:pPr>
            <w:r w:rsidRPr="00776009">
              <w:rPr>
                <w:rFonts w:ascii="Calibri" w:eastAsia="Times New Roman" w:hAnsi="Calibri" w:cs="Calibri"/>
                <w:b/>
                <w:bCs/>
                <w:color w:val="EEECE1"/>
                <w:sz w:val="20"/>
                <w:szCs w:val="20"/>
                <w:lang w:eastAsia="en-AU"/>
              </w:rPr>
              <w:t>Students with disability</w:t>
            </w:r>
          </w:p>
        </w:tc>
        <w:tc>
          <w:tcPr>
            <w:tcW w:w="1540" w:type="dxa"/>
            <w:tcBorders>
              <w:top w:val="nil"/>
              <w:left w:val="nil"/>
              <w:bottom w:val="nil"/>
              <w:right w:val="nil"/>
            </w:tcBorders>
            <w:shd w:val="clear" w:color="000000" w:fill="522761"/>
            <w:vAlign w:val="center"/>
            <w:hideMark/>
          </w:tcPr>
          <w:p w14:paraId="346DF0D0" w14:textId="77777777" w:rsidR="00EB622B" w:rsidRPr="00776009" w:rsidRDefault="00EB622B" w:rsidP="00EB622B">
            <w:pPr>
              <w:spacing w:after="0" w:line="240" w:lineRule="auto"/>
              <w:rPr>
                <w:rFonts w:ascii="Calibri" w:eastAsia="Times New Roman" w:hAnsi="Calibri" w:cs="Calibri"/>
                <w:b/>
                <w:bCs/>
                <w:color w:val="EEECE1"/>
                <w:sz w:val="20"/>
                <w:szCs w:val="20"/>
                <w:lang w:eastAsia="en-AU"/>
              </w:rPr>
            </w:pPr>
            <w:r w:rsidRPr="00776009">
              <w:rPr>
                <w:rFonts w:ascii="Calibri" w:eastAsia="Times New Roman" w:hAnsi="Calibri" w:cs="Calibri"/>
                <w:b/>
                <w:bCs/>
                <w:color w:val="EEECE1"/>
                <w:sz w:val="20"/>
                <w:szCs w:val="20"/>
                <w:lang w:eastAsia="en-AU"/>
              </w:rPr>
              <w:t>Existing Model</w:t>
            </w:r>
          </w:p>
        </w:tc>
        <w:tc>
          <w:tcPr>
            <w:tcW w:w="1734" w:type="dxa"/>
            <w:tcBorders>
              <w:top w:val="nil"/>
              <w:left w:val="nil"/>
              <w:bottom w:val="nil"/>
              <w:right w:val="nil"/>
            </w:tcBorders>
            <w:shd w:val="clear" w:color="000000" w:fill="522761"/>
            <w:vAlign w:val="center"/>
            <w:hideMark/>
          </w:tcPr>
          <w:p w14:paraId="78BC1E65" w14:textId="56C8777A" w:rsidR="00EB622B" w:rsidRPr="00776009" w:rsidRDefault="00E94D7E" w:rsidP="00EB622B">
            <w:pPr>
              <w:spacing w:after="0" w:line="240" w:lineRule="auto"/>
              <w:rPr>
                <w:rFonts w:ascii="Calibri" w:eastAsia="Times New Roman" w:hAnsi="Calibri" w:cs="Calibri"/>
                <w:b/>
                <w:bCs/>
                <w:color w:val="EEECE1"/>
                <w:sz w:val="20"/>
                <w:szCs w:val="20"/>
                <w:lang w:eastAsia="en-AU"/>
              </w:rPr>
            </w:pPr>
            <w:r w:rsidRPr="00776009">
              <w:rPr>
                <w:rFonts w:ascii="Calibri" w:eastAsia="Times New Roman" w:hAnsi="Calibri" w:cs="Calibri"/>
                <w:b/>
                <w:bCs/>
                <w:color w:val="EEECE1"/>
                <w:sz w:val="20"/>
                <w:szCs w:val="20"/>
                <w:lang w:eastAsia="en-AU"/>
              </w:rPr>
              <w:t>Proposed</w:t>
            </w:r>
            <w:r w:rsidR="00EB622B" w:rsidRPr="00776009">
              <w:rPr>
                <w:rFonts w:ascii="Calibri" w:eastAsia="Times New Roman" w:hAnsi="Calibri" w:cs="Calibri"/>
                <w:b/>
                <w:bCs/>
                <w:color w:val="EEECE1"/>
                <w:sz w:val="20"/>
                <w:szCs w:val="20"/>
                <w:lang w:eastAsia="en-AU"/>
              </w:rPr>
              <w:t xml:space="preserve"> Model </w:t>
            </w:r>
          </w:p>
        </w:tc>
      </w:tr>
      <w:tr w:rsidR="00EB622B" w:rsidRPr="00776009" w14:paraId="20D95742" w14:textId="77777777" w:rsidTr="00E94D7E">
        <w:trPr>
          <w:trHeight w:val="300"/>
        </w:trPr>
        <w:tc>
          <w:tcPr>
            <w:tcW w:w="0" w:type="auto"/>
            <w:tcBorders>
              <w:top w:val="nil"/>
              <w:left w:val="nil"/>
              <w:bottom w:val="nil"/>
              <w:right w:val="nil"/>
            </w:tcBorders>
            <w:shd w:val="clear" w:color="auto" w:fill="auto"/>
            <w:noWrap/>
            <w:vAlign w:val="bottom"/>
            <w:hideMark/>
          </w:tcPr>
          <w:p w14:paraId="316F8963"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Australian Catholic University</w:t>
            </w:r>
          </w:p>
        </w:tc>
        <w:tc>
          <w:tcPr>
            <w:tcW w:w="0" w:type="auto"/>
            <w:tcBorders>
              <w:top w:val="nil"/>
              <w:left w:val="nil"/>
              <w:bottom w:val="nil"/>
              <w:right w:val="nil"/>
            </w:tcBorders>
            <w:shd w:val="clear" w:color="auto" w:fill="auto"/>
            <w:noWrap/>
            <w:vAlign w:val="bottom"/>
            <w:hideMark/>
          </w:tcPr>
          <w:p w14:paraId="1EF6703C"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1426</w:t>
            </w:r>
          </w:p>
        </w:tc>
        <w:tc>
          <w:tcPr>
            <w:tcW w:w="1540" w:type="dxa"/>
            <w:tcBorders>
              <w:top w:val="nil"/>
              <w:left w:val="nil"/>
              <w:bottom w:val="nil"/>
              <w:right w:val="nil"/>
            </w:tcBorders>
            <w:shd w:val="clear" w:color="auto" w:fill="auto"/>
            <w:noWrap/>
            <w:vAlign w:val="bottom"/>
            <w:hideMark/>
          </w:tcPr>
          <w:p w14:paraId="6F3C7C65"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$72,658.61</w:t>
            </w:r>
          </w:p>
        </w:tc>
        <w:tc>
          <w:tcPr>
            <w:tcW w:w="1734" w:type="dxa"/>
            <w:tcBorders>
              <w:top w:val="nil"/>
              <w:left w:val="nil"/>
              <w:bottom w:val="nil"/>
              <w:right w:val="nil"/>
            </w:tcBorders>
            <w:shd w:val="clear" w:color="auto" w:fill="auto"/>
            <w:noWrap/>
            <w:vAlign w:val="bottom"/>
            <w:hideMark/>
          </w:tcPr>
          <w:p w14:paraId="7E7D1D48"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$195,846.06</w:t>
            </w:r>
          </w:p>
        </w:tc>
      </w:tr>
      <w:tr w:rsidR="00EB622B" w:rsidRPr="00776009" w14:paraId="1FB6FF8E" w14:textId="77777777" w:rsidTr="00E94D7E">
        <w:trPr>
          <w:trHeight w:val="300"/>
        </w:trPr>
        <w:tc>
          <w:tcPr>
            <w:tcW w:w="0" w:type="auto"/>
            <w:tcBorders>
              <w:top w:val="nil"/>
              <w:left w:val="nil"/>
              <w:bottom w:val="nil"/>
              <w:right w:val="nil"/>
            </w:tcBorders>
            <w:shd w:val="clear" w:color="auto" w:fill="auto"/>
            <w:noWrap/>
            <w:vAlign w:val="bottom"/>
            <w:hideMark/>
          </w:tcPr>
          <w:p w14:paraId="4CF53B71"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Australian National University</w:t>
            </w:r>
          </w:p>
        </w:tc>
        <w:tc>
          <w:tcPr>
            <w:tcW w:w="0" w:type="auto"/>
            <w:tcBorders>
              <w:top w:val="nil"/>
              <w:left w:val="nil"/>
              <w:bottom w:val="nil"/>
              <w:right w:val="nil"/>
            </w:tcBorders>
            <w:shd w:val="clear" w:color="auto" w:fill="auto"/>
            <w:noWrap/>
            <w:vAlign w:val="bottom"/>
            <w:hideMark/>
          </w:tcPr>
          <w:p w14:paraId="76F64E4A"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1129</w:t>
            </w:r>
          </w:p>
        </w:tc>
        <w:tc>
          <w:tcPr>
            <w:tcW w:w="1540" w:type="dxa"/>
            <w:tcBorders>
              <w:top w:val="nil"/>
              <w:left w:val="nil"/>
              <w:bottom w:val="nil"/>
              <w:right w:val="nil"/>
            </w:tcBorders>
            <w:shd w:val="clear" w:color="auto" w:fill="auto"/>
            <w:noWrap/>
            <w:vAlign w:val="bottom"/>
            <w:hideMark/>
          </w:tcPr>
          <w:p w14:paraId="622670D4"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$67,240.87</w:t>
            </w:r>
          </w:p>
        </w:tc>
        <w:tc>
          <w:tcPr>
            <w:tcW w:w="1734" w:type="dxa"/>
            <w:tcBorders>
              <w:top w:val="nil"/>
              <w:left w:val="nil"/>
              <w:bottom w:val="nil"/>
              <w:right w:val="nil"/>
            </w:tcBorders>
            <w:shd w:val="clear" w:color="auto" w:fill="auto"/>
            <w:noWrap/>
            <w:vAlign w:val="bottom"/>
            <w:hideMark/>
          </w:tcPr>
          <w:p w14:paraId="77C37045"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$155,056.24</w:t>
            </w:r>
          </w:p>
        </w:tc>
      </w:tr>
      <w:tr w:rsidR="00EB622B" w:rsidRPr="00776009" w14:paraId="77E57084" w14:textId="77777777" w:rsidTr="00E94D7E">
        <w:trPr>
          <w:trHeight w:val="300"/>
        </w:trPr>
        <w:tc>
          <w:tcPr>
            <w:tcW w:w="0" w:type="auto"/>
            <w:tcBorders>
              <w:top w:val="nil"/>
              <w:left w:val="nil"/>
              <w:bottom w:val="nil"/>
              <w:right w:val="nil"/>
            </w:tcBorders>
            <w:shd w:val="clear" w:color="auto" w:fill="auto"/>
            <w:noWrap/>
            <w:vAlign w:val="bottom"/>
            <w:hideMark/>
          </w:tcPr>
          <w:p w14:paraId="4A76A10F"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Batchelor Institute of Indigenous Tertiary Education</w:t>
            </w:r>
          </w:p>
        </w:tc>
        <w:tc>
          <w:tcPr>
            <w:tcW w:w="0" w:type="auto"/>
            <w:tcBorders>
              <w:top w:val="nil"/>
              <w:left w:val="nil"/>
              <w:bottom w:val="nil"/>
              <w:right w:val="nil"/>
            </w:tcBorders>
            <w:shd w:val="clear" w:color="auto" w:fill="auto"/>
            <w:noWrap/>
            <w:vAlign w:val="bottom"/>
            <w:hideMark/>
          </w:tcPr>
          <w:p w14:paraId="440D9850"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w:t>
            </w:r>
          </w:p>
        </w:tc>
        <w:tc>
          <w:tcPr>
            <w:tcW w:w="1540" w:type="dxa"/>
            <w:tcBorders>
              <w:top w:val="nil"/>
              <w:left w:val="nil"/>
              <w:bottom w:val="nil"/>
              <w:right w:val="nil"/>
            </w:tcBorders>
            <w:shd w:val="clear" w:color="auto" w:fill="auto"/>
            <w:noWrap/>
            <w:vAlign w:val="bottom"/>
            <w:hideMark/>
          </w:tcPr>
          <w:p w14:paraId="58990310"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$720.45</w:t>
            </w:r>
          </w:p>
        </w:tc>
        <w:tc>
          <w:tcPr>
            <w:tcW w:w="1734" w:type="dxa"/>
            <w:tcBorders>
              <w:top w:val="nil"/>
              <w:left w:val="nil"/>
              <w:bottom w:val="nil"/>
              <w:right w:val="nil"/>
            </w:tcBorders>
            <w:shd w:val="clear" w:color="auto" w:fill="auto"/>
            <w:noWrap/>
            <w:vAlign w:val="bottom"/>
            <w:hideMark/>
          </w:tcPr>
          <w:p w14:paraId="01175A07"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$274.68</w:t>
            </w:r>
          </w:p>
        </w:tc>
      </w:tr>
      <w:tr w:rsidR="00EB622B" w:rsidRPr="00776009" w14:paraId="74D8F478" w14:textId="77777777" w:rsidTr="00E94D7E">
        <w:trPr>
          <w:trHeight w:val="300"/>
        </w:trPr>
        <w:tc>
          <w:tcPr>
            <w:tcW w:w="0" w:type="auto"/>
            <w:tcBorders>
              <w:top w:val="nil"/>
              <w:left w:val="nil"/>
              <w:bottom w:val="nil"/>
              <w:right w:val="nil"/>
            </w:tcBorders>
            <w:shd w:val="clear" w:color="auto" w:fill="auto"/>
            <w:noWrap/>
            <w:vAlign w:val="bottom"/>
            <w:hideMark/>
          </w:tcPr>
          <w:p w14:paraId="381A7E14"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Central Queensland University</w:t>
            </w:r>
          </w:p>
        </w:tc>
        <w:tc>
          <w:tcPr>
            <w:tcW w:w="0" w:type="auto"/>
            <w:tcBorders>
              <w:top w:val="nil"/>
              <w:left w:val="nil"/>
              <w:bottom w:val="nil"/>
              <w:right w:val="nil"/>
            </w:tcBorders>
            <w:shd w:val="clear" w:color="auto" w:fill="auto"/>
            <w:noWrap/>
            <w:vAlign w:val="bottom"/>
            <w:hideMark/>
          </w:tcPr>
          <w:p w14:paraId="6B638986"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774</w:t>
            </w:r>
          </w:p>
        </w:tc>
        <w:tc>
          <w:tcPr>
            <w:tcW w:w="1540" w:type="dxa"/>
            <w:tcBorders>
              <w:top w:val="nil"/>
              <w:left w:val="nil"/>
              <w:bottom w:val="nil"/>
              <w:right w:val="nil"/>
            </w:tcBorders>
            <w:shd w:val="clear" w:color="auto" w:fill="auto"/>
            <w:noWrap/>
            <w:vAlign w:val="bottom"/>
            <w:hideMark/>
          </w:tcPr>
          <w:p w14:paraId="649FC5B9"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$49,557.40</w:t>
            </w:r>
          </w:p>
        </w:tc>
        <w:tc>
          <w:tcPr>
            <w:tcW w:w="1734" w:type="dxa"/>
            <w:tcBorders>
              <w:top w:val="nil"/>
              <w:left w:val="nil"/>
              <w:bottom w:val="nil"/>
              <w:right w:val="nil"/>
            </w:tcBorders>
            <w:shd w:val="clear" w:color="auto" w:fill="auto"/>
            <w:noWrap/>
            <w:vAlign w:val="bottom"/>
            <w:hideMark/>
          </w:tcPr>
          <w:p w14:paraId="607147B6"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$106,300.74</w:t>
            </w:r>
          </w:p>
        </w:tc>
      </w:tr>
      <w:tr w:rsidR="00EB622B" w:rsidRPr="00776009" w14:paraId="2C46E725" w14:textId="77777777" w:rsidTr="00E94D7E">
        <w:trPr>
          <w:trHeight w:val="300"/>
        </w:trPr>
        <w:tc>
          <w:tcPr>
            <w:tcW w:w="0" w:type="auto"/>
            <w:tcBorders>
              <w:top w:val="nil"/>
              <w:left w:val="nil"/>
              <w:bottom w:val="nil"/>
              <w:right w:val="nil"/>
            </w:tcBorders>
            <w:shd w:val="clear" w:color="auto" w:fill="auto"/>
            <w:noWrap/>
            <w:vAlign w:val="bottom"/>
            <w:hideMark/>
          </w:tcPr>
          <w:p w14:paraId="42279A40"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Charles Darwin University</w:t>
            </w:r>
          </w:p>
        </w:tc>
        <w:tc>
          <w:tcPr>
            <w:tcW w:w="0" w:type="auto"/>
            <w:tcBorders>
              <w:top w:val="nil"/>
              <w:left w:val="nil"/>
              <w:bottom w:val="nil"/>
              <w:right w:val="nil"/>
            </w:tcBorders>
            <w:shd w:val="clear" w:color="auto" w:fill="auto"/>
            <w:noWrap/>
            <w:vAlign w:val="bottom"/>
            <w:hideMark/>
          </w:tcPr>
          <w:p w14:paraId="0455706E"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507</w:t>
            </w:r>
          </w:p>
        </w:tc>
        <w:tc>
          <w:tcPr>
            <w:tcW w:w="1540" w:type="dxa"/>
            <w:tcBorders>
              <w:top w:val="nil"/>
              <w:left w:val="nil"/>
              <w:bottom w:val="nil"/>
              <w:right w:val="nil"/>
            </w:tcBorders>
            <w:shd w:val="clear" w:color="auto" w:fill="auto"/>
            <w:noWrap/>
            <w:vAlign w:val="bottom"/>
            <w:hideMark/>
          </w:tcPr>
          <w:p w14:paraId="5CC6E402"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$11,145.41</w:t>
            </w:r>
          </w:p>
        </w:tc>
        <w:tc>
          <w:tcPr>
            <w:tcW w:w="1734" w:type="dxa"/>
            <w:tcBorders>
              <w:top w:val="nil"/>
              <w:left w:val="nil"/>
              <w:bottom w:val="nil"/>
              <w:right w:val="nil"/>
            </w:tcBorders>
            <w:shd w:val="clear" w:color="auto" w:fill="auto"/>
            <w:noWrap/>
            <w:vAlign w:val="bottom"/>
            <w:hideMark/>
          </w:tcPr>
          <w:p w14:paraId="5525F578"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$69,631.10</w:t>
            </w:r>
          </w:p>
        </w:tc>
      </w:tr>
      <w:tr w:rsidR="00EB622B" w:rsidRPr="00776009" w14:paraId="5FF045E7" w14:textId="77777777" w:rsidTr="00E94D7E">
        <w:trPr>
          <w:trHeight w:val="300"/>
        </w:trPr>
        <w:tc>
          <w:tcPr>
            <w:tcW w:w="0" w:type="auto"/>
            <w:tcBorders>
              <w:top w:val="nil"/>
              <w:left w:val="nil"/>
              <w:bottom w:val="nil"/>
              <w:right w:val="nil"/>
            </w:tcBorders>
            <w:shd w:val="clear" w:color="auto" w:fill="auto"/>
            <w:noWrap/>
            <w:vAlign w:val="bottom"/>
            <w:hideMark/>
          </w:tcPr>
          <w:p w14:paraId="371E3528"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Charles Sturt University</w:t>
            </w:r>
          </w:p>
        </w:tc>
        <w:tc>
          <w:tcPr>
            <w:tcW w:w="0" w:type="auto"/>
            <w:tcBorders>
              <w:top w:val="nil"/>
              <w:left w:val="nil"/>
              <w:bottom w:val="nil"/>
              <w:right w:val="nil"/>
            </w:tcBorders>
            <w:shd w:val="clear" w:color="auto" w:fill="auto"/>
            <w:noWrap/>
            <w:vAlign w:val="bottom"/>
            <w:hideMark/>
          </w:tcPr>
          <w:p w14:paraId="1CEA1AA6"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1288</w:t>
            </w:r>
          </w:p>
        </w:tc>
        <w:tc>
          <w:tcPr>
            <w:tcW w:w="1540" w:type="dxa"/>
            <w:tcBorders>
              <w:top w:val="nil"/>
              <w:left w:val="nil"/>
              <w:bottom w:val="nil"/>
              <w:right w:val="nil"/>
            </w:tcBorders>
            <w:shd w:val="clear" w:color="auto" w:fill="auto"/>
            <w:noWrap/>
            <w:vAlign w:val="bottom"/>
            <w:hideMark/>
          </w:tcPr>
          <w:p w14:paraId="5C0D00FC"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$117,219.50</w:t>
            </w:r>
          </w:p>
        </w:tc>
        <w:tc>
          <w:tcPr>
            <w:tcW w:w="1734" w:type="dxa"/>
            <w:tcBorders>
              <w:top w:val="nil"/>
              <w:left w:val="nil"/>
              <w:bottom w:val="nil"/>
              <w:right w:val="nil"/>
            </w:tcBorders>
            <w:shd w:val="clear" w:color="auto" w:fill="auto"/>
            <w:noWrap/>
            <w:vAlign w:val="bottom"/>
            <w:hideMark/>
          </w:tcPr>
          <w:p w14:paraId="79EBA39A"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$176,893.22</w:t>
            </w:r>
          </w:p>
        </w:tc>
      </w:tr>
      <w:tr w:rsidR="00EB622B" w:rsidRPr="00776009" w14:paraId="1A7FFB1B" w14:textId="77777777" w:rsidTr="00E94D7E">
        <w:trPr>
          <w:trHeight w:val="300"/>
        </w:trPr>
        <w:tc>
          <w:tcPr>
            <w:tcW w:w="0" w:type="auto"/>
            <w:tcBorders>
              <w:top w:val="nil"/>
              <w:left w:val="nil"/>
              <w:bottom w:val="nil"/>
              <w:right w:val="nil"/>
            </w:tcBorders>
            <w:shd w:val="clear" w:color="auto" w:fill="auto"/>
            <w:noWrap/>
            <w:vAlign w:val="bottom"/>
            <w:hideMark/>
          </w:tcPr>
          <w:p w14:paraId="1FB68B9B"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Curtin University of Technology</w:t>
            </w:r>
          </w:p>
        </w:tc>
        <w:tc>
          <w:tcPr>
            <w:tcW w:w="0" w:type="auto"/>
            <w:tcBorders>
              <w:top w:val="nil"/>
              <w:left w:val="nil"/>
              <w:bottom w:val="nil"/>
              <w:right w:val="nil"/>
            </w:tcBorders>
            <w:shd w:val="clear" w:color="auto" w:fill="auto"/>
            <w:noWrap/>
            <w:vAlign w:val="bottom"/>
            <w:hideMark/>
          </w:tcPr>
          <w:p w14:paraId="3916873C"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1040</w:t>
            </w:r>
          </w:p>
        </w:tc>
        <w:tc>
          <w:tcPr>
            <w:tcW w:w="1540" w:type="dxa"/>
            <w:tcBorders>
              <w:top w:val="nil"/>
              <w:left w:val="nil"/>
              <w:bottom w:val="nil"/>
              <w:right w:val="nil"/>
            </w:tcBorders>
            <w:shd w:val="clear" w:color="auto" w:fill="auto"/>
            <w:noWrap/>
            <w:vAlign w:val="bottom"/>
            <w:hideMark/>
          </w:tcPr>
          <w:p w14:paraId="304EDF0A"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$111,532.30</w:t>
            </w:r>
          </w:p>
        </w:tc>
        <w:tc>
          <w:tcPr>
            <w:tcW w:w="1734" w:type="dxa"/>
            <w:tcBorders>
              <w:top w:val="nil"/>
              <w:left w:val="nil"/>
              <w:bottom w:val="nil"/>
              <w:right w:val="nil"/>
            </w:tcBorders>
            <w:shd w:val="clear" w:color="auto" w:fill="auto"/>
            <w:noWrap/>
            <w:vAlign w:val="bottom"/>
            <w:hideMark/>
          </w:tcPr>
          <w:p w14:paraId="5CCF5F18"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$142,833.03</w:t>
            </w:r>
          </w:p>
        </w:tc>
      </w:tr>
      <w:tr w:rsidR="00EB622B" w:rsidRPr="00776009" w14:paraId="01EE6537" w14:textId="77777777" w:rsidTr="00E94D7E">
        <w:trPr>
          <w:trHeight w:val="300"/>
        </w:trPr>
        <w:tc>
          <w:tcPr>
            <w:tcW w:w="0" w:type="auto"/>
            <w:tcBorders>
              <w:top w:val="nil"/>
              <w:left w:val="nil"/>
              <w:bottom w:val="nil"/>
              <w:right w:val="nil"/>
            </w:tcBorders>
            <w:shd w:val="clear" w:color="auto" w:fill="auto"/>
            <w:noWrap/>
            <w:vAlign w:val="bottom"/>
            <w:hideMark/>
          </w:tcPr>
          <w:p w14:paraId="3AD0F70D"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Deakin University</w:t>
            </w:r>
          </w:p>
        </w:tc>
        <w:tc>
          <w:tcPr>
            <w:tcW w:w="0" w:type="auto"/>
            <w:tcBorders>
              <w:top w:val="nil"/>
              <w:left w:val="nil"/>
              <w:bottom w:val="nil"/>
              <w:right w:val="nil"/>
            </w:tcBorders>
            <w:shd w:val="clear" w:color="auto" w:fill="auto"/>
            <w:noWrap/>
            <w:vAlign w:val="bottom"/>
            <w:hideMark/>
          </w:tcPr>
          <w:p w14:paraId="7DA2890F"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2503</w:t>
            </w:r>
          </w:p>
        </w:tc>
        <w:tc>
          <w:tcPr>
            <w:tcW w:w="1540" w:type="dxa"/>
            <w:tcBorders>
              <w:top w:val="nil"/>
              <w:left w:val="nil"/>
              <w:bottom w:val="nil"/>
              <w:right w:val="nil"/>
            </w:tcBorders>
            <w:shd w:val="clear" w:color="auto" w:fill="auto"/>
            <w:noWrap/>
            <w:vAlign w:val="bottom"/>
            <w:hideMark/>
          </w:tcPr>
          <w:p w14:paraId="5F70EE65"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$397,735.99</w:t>
            </w:r>
          </w:p>
        </w:tc>
        <w:tc>
          <w:tcPr>
            <w:tcW w:w="1734" w:type="dxa"/>
            <w:tcBorders>
              <w:top w:val="nil"/>
              <w:left w:val="nil"/>
              <w:bottom w:val="nil"/>
              <w:right w:val="nil"/>
            </w:tcBorders>
            <w:shd w:val="clear" w:color="auto" w:fill="auto"/>
            <w:noWrap/>
            <w:vAlign w:val="bottom"/>
            <w:hideMark/>
          </w:tcPr>
          <w:p w14:paraId="0A7692E7"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$343,760.65</w:t>
            </w:r>
          </w:p>
        </w:tc>
      </w:tr>
      <w:tr w:rsidR="00EB622B" w:rsidRPr="00776009" w14:paraId="4095B66D" w14:textId="77777777" w:rsidTr="00E94D7E">
        <w:trPr>
          <w:trHeight w:val="300"/>
        </w:trPr>
        <w:tc>
          <w:tcPr>
            <w:tcW w:w="0" w:type="auto"/>
            <w:tcBorders>
              <w:top w:val="nil"/>
              <w:left w:val="nil"/>
              <w:bottom w:val="nil"/>
              <w:right w:val="nil"/>
            </w:tcBorders>
            <w:shd w:val="clear" w:color="auto" w:fill="auto"/>
            <w:noWrap/>
            <w:vAlign w:val="bottom"/>
            <w:hideMark/>
          </w:tcPr>
          <w:p w14:paraId="31AD926C"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Edith Cowan University</w:t>
            </w:r>
          </w:p>
        </w:tc>
        <w:tc>
          <w:tcPr>
            <w:tcW w:w="0" w:type="auto"/>
            <w:tcBorders>
              <w:top w:val="nil"/>
              <w:left w:val="nil"/>
              <w:bottom w:val="nil"/>
              <w:right w:val="nil"/>
            </w:tcBorders>
            <w:shd w:val="clear" w:color="auto" w:fill="auto"/>
            <w:noWrap/>
            <w:vAlign w:val="bottom"/>
            <w:hideMark/>
          </w:tcPr>
          <w:p w14:paraId="6AD70FDA"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1175</w:t>
            </w:r>
          </w:p>
        </w:tc>
        <w:tc>
          <w:tcPr>
            <w:tcW w:w="1540" w:type="dxa"/>
            <w:tcBorders>
              <w:top w:val="nil"/>
              <w:left w:val="nil"/>
              <w:bottom w:val="nil"/>
              <w:right w:val="nil"/>
            </w:tcBorders>
            <w:shd w:val="clear" w:color="auto" w:fill="auto"/>
            <w:noWrap/>
            <w:vAlign w:val="bottom"/>
            <w:hideMark/>
          </w:tcPr>
          <w:p w14:paraId="57880E23"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$102,411.33</w:t>
            </w:r>
          </w:p>
        </w:tc>
        <w:tc>
          <w:tcPr>
            <w:tcW w:w="1734" w:type="dxa"/>
            <w:tcBorders>
              <w:top w:val="nil"/>
              <w:left w:val="nil"/>
              <w:bottom w:val="nil"/>
              <w:right w:val="nil"/>
            </w:tcBorders>
            <w:shd w:val="clear" w:color="auto" w:fill="auto"/>
            <w:noWrap/>
            <w:vAlign w:val="bottom"/>
            <w:hideMark/>
          </w:tcPr>
          <w:p w14:paraId="19933CF1"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$161,373.86</w:t>
            </w:r>
          </w:p>
        </w:tc>
      </w:tr>
      <w:tr w:rsidR="00EB622B" w:rsidRPr="00776009" w14:paraId="685C11C4" w14:textId="77777777" w:rsidTr="00E94D7E">
        <w:trPr>
          <w:trHeight w:val="300"/>
        </w:trPr>
        <w:tc>
          <w:tcPr>
            <w:tcW w:w="0" w:type="auto"/>
            <w:tcBorders>
              <w:top w:val="nil"/>
              <w:left w:val="nil"/>
              <w:bottom w:val="nil"/>
              <w:right w:val="nil"/>
            </w:tcBorders>
            <w:shd w:val="clear" w:color="auto" w:fill="auto"/>
            <w:noWrap/>
            <w:vAlign w:val="bottom"/>
            <w:hideMark/>
          </w:tcPr>
          <w:p w14:paraId="4A845B5F"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Federation University Australia</w:t>
            </w:r>
          </w:p>
        </w:tc>
        <w:tc>
          <w:tcPr>
            <w:tcW w:w="0" w:type="auto"/>
            <w:tcBorders>
              <w:top w:val="nil"/>
              <w:left w:val="nil"/>
              <w:bottom w:val="nil"/>
              <w:right w:val="nil"/>
            </w:tcBorders>
            <w:shd w:val="clear" w:color="auto" w:fill="auto"/>
            <w:noWrap/>
            <w:vAlign w:val="bottom"/>
            <w:hideMark/>
          </w:tcPr>
          <w:p w14:paraId="52B23B4E"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433</w:t>
            </w:r>
          </w:p>
        </w:tc>
        <w:tc>
          <w:tcPr>
            <w:tcW w:w="1540" w:type="dxa"/>
            <w:tcBorders>
              <w:top w:val="nil"/>
              <w:left w:val="nil"/>
              <w:bottom w:val="nil"/>
              <w:right w:val="nil"/>
            </w:tcBorders>
            <w:shd w:val="clear" w:color="auto" w:fill="auto"/>
            <w:noWrap/>
            <w:vAlign w:val="bottom"/>
            <w:hideMark/>
          </w:tcPr>
          <w:p w14:paraId="1A99F97A"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$128,344.48</w:t>
            </w:r>
          </w:p>
        </w:tc>
        <w:tc>
          <w:tcPr>
            <w:tcW w:w="1734" w:type="dxa"/>
            <w:tcBorders>
              <w:top w:val="nil"/>
              <w:left w:val="nil"/>
              <w:bottom w:val="nil"/>
              <w:right w:val="nil"/>
            </w:tcBorders>
            <w:shd w:val="clear" w:color="auto" w:fill="auto"/>
            <w:noWrap/>
            <w:vAlign w:val="bottom"/>
            <w:hideMark/>
          </w:tcPr>
          <w:p w14:paraId="20048481"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$59,467.98</w:t>
            </w:r>
          </w:p>
        </w:tc>
      </w:tr>
      <w:tr w:rsidR="00EB622B" w:rsidRPr="00776009" w14:paraId="043534DE" w14:textId="77777777" w:rsidTr="00E94D7E">
        <w:trPr>
          <w:trHeight w:val="300"/>
        </w:trPr>
        <w:tc>
          <w:tcPr>
            <w:tcW w:w="0" w:type="auto"/>
            <w:tcBorders>
              <w:top w:val="nil"/>
              <w:left w:val="nil"/>
              <w:bottom w:val="nil"/>
              <w:right w:val="nil"/>
            </w:tcBorders>
            <w:shd w:val="clear" w:color="auto" w:fill="auto"/>
            <w:noWrap/>
            <w:vAlign w:val="bottom"/>
            <w:hideMark/>
          </w:tcPr>
          <w:p w14:paraId="2F22824B"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Flinders University of South Australia</w:t>
            </w:r>
          </w:p>
        </w:tc>
        <w:tc>
          <w:tcPr>
            <w:tcW w:w="0" w:type="auto"/>
            <w:tcBorders>
              <w:top w:val="nil"/>
              <w:left w:val="nil"/>
              <w:bottom w:val="nil"/>
              <w:right w:val="nil"/>
            </w:tcBorders>
            <w:shd w:val="clear" w:color="auto" w:fill="auto"/>
            <w:noWrap/>
            <w:vAlign w:val="bottom"/>
            <w:hideMark/>
          </w:tcPr>
          <w:p w14:paraId="59ED34E9"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1305</w:t>
            </w:r>
          </w:p>
        </w:tc>
        <w:tc>
          <w:tcPr>
            <w:tcW w:w="1540" w:type="dxa"/>
            <w:tcBorders>
              <w:top w:val="nil"/>
              <w:left w:val="nil"/>
              <w:bottom w:val="nil"/>
              <w:right w:val="nil"/>
            </w:tcBorders>
            <w:shd w:val="clear" w:color="auto" w:fill="auto"/>
            <w:noWrap/>
            <w:vAlign w:val="bottom"/>
            <w:hideMark/>
          </w:tcPr>
          <w:p w14:paraId="7C13BB4A"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$249,510.57</w:t>
            </w:r>
          </w:p>
        </w:tc>
        <w:tc>
          <w:tcPr>
            <w:tcW w:w="1734" w:type="dxa"/>
            <w:tcBorders>
              <w:top w:val="nil"/>
              <w:left w:val="nil"/>
              <w:bottom w:val="nil"/>
              <w:right w:val="nil"/>
            </w:tcBorders>
            <w:shd w:val="clear" w:color="auto" w:fill="auto"/>
            <w:noWrap/>
            <w:vAlign w:val="bottom"/>
            <w:hideMark/>
          </w:tcPr>
          <w:p w14:paraId="1C04EE43"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$179,227.99</w:t>
            </w:r>
          </w:p>
        </w:tc>
      </w:tr>
      <w:tr w:rsidR="00EB622B" w:rsidRPr="00776009" w14:paraId="13501230" w14:textId="77777777" w:rsidTr="00E94D7E">
        <w:trPr>
          <w:trHeight w:val="300"/>
        </w:trPr>
        <w:tc>
          <w:tcPr>
            <w:tcW w:w="0" w:type="auto"/>
            <w:tcBorders>
              <w:top w:val="nil"/>
              <w:left w:val="nil"/>
              <w:bottom w:val="nil"/>
              <w:right w:val="nil"/>
            </w:tcBorders>
            <w:shd w:val="clear" w:color="auto" w:fill="auto"/>
            <w:noWrap/>
            <w:vAlign w:val="bottom"/>
            <w:hideMark/>
          </w:tcPr>
          <w:p w14:paraId="0839E8CA"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Griffith University</w:t>
            </w:r>
          </w:p>
        </w:tc>
        <w:tc>
          <w:tcPr>
            <w:tcW w:w="0" w:type="auto"/>
            <w:tcBorders>
              <w:top w:val="nil"/>
              <w:left w:val="nil"/>
              <w:bottom w:val="nil"/>
              <w:right w:val="nil"/>
            </w:tcBorders>
            <w:shd w:val="clear" w:color="auto" w:fill="auto"/>
            <w:noWrap/>
            <w:vAlign w:val="bottom"/>
            <w:hideMark/>
          </w:tcPr>
          <w:p w14:paraId="30A45371"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1704</w:t>
            </w:r>
          </w:p>
        </w:tc>
        <w:tc>
          <w:tcPr>
            <w:tcW w:w="1540" w:type="dxa"/>
            <w:tcBorders>
              <w:top w:val="nil"/>
              <w:left w:val="nil"/>
              <w:bottom w:val="nil"/>
              <w:right w:val="nil"/>
            </w:tcBorders>
            <w:shd w:val="clear" w:color="auto" w:fill="auto"/>
            <w:noWrap/>
            <w:vAlign w:val="bottom"/>
            <w:hideMark/>
          </w:tcPr>
          <w:p w14:paraId="2B21E986"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$223,047.00</w:t>
            </w:r>
          </w:p>
        </w:tc>
        <w:tc>
          <w:tcPr>
            <w:tcW w:w="1734" w:type="dxa"/>
            <w:tcBorders>
              <w:top w:val="nil"/>
              <w:left w:val="nil"/>
              <w:bottom w:val="nil"/>
              <w:right w:val="nil"/>
            </w:tcBorders>
            <w:shd w:val="clear" w:color="auto" w:fill="auto"/>
            <w:noWrap/>
            <w:vAlign w:val="bottom"/>
            <w:hideMark/>
          </w:tcPr>
          <w:p w14:paraId="4F087A7E"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$234,026.43</w:t>
            </w:r>
          </w:p>
        </w:tc>
      </w:tr>
      <w:tr w:rsidR="00EB622B" w:rsidRPr="00776009" w14:paraId="69FE44F1" w14:textId="77777777" w:rsidTr="00E94D7E">
        <w:trPr>
          <w:trHeight w:val="300"/>
        </w:trPr>
        <w:tc>
          <w:tcPr>
            <w:tcW w:w="0" w:type="auto"/>
            <w:tcBorders>
              <w:top w:val="nil"/>
              <w:left w:val="nil"/>
              <w:bottom w:val="nil"/>
              <w:right w:val="nil"/>
            </w:tcBorders>
            <w:shd w:val="clear" w:color="auto" w:fill="auto"/>
            <w:noWrap/>
            <w:vAlign w:val="bottom"/>
            <w:hideMark/>
          </w:tcPr>
          <w:p w14:paraId="01D669D2"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James Cook University</w:t>
            </w:r>
          </w:p>
        </w:tc>
        <w:tc>
          <w:tcPr>
            <w:tcW w:w="0" w:type="auto"/>
            <w:tcBorders>
              <w:top w:val="nil"/>
              <w:left w:val="nil"/>
              <w:bottom w:val="nil"/>
              <w:right w:val="nil"/>
            </w:tcBorders>
            <w:shd w:val="clear" w:color="auto" w:fill="auto"/>
            <w:noWrap/>
            <w:vAlign w:val="bottom"/>
            <w:hideMark/>
          </w:tcPr>
          <w:p w14:paraId="19A6617A"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851</w:t>
            </w:r>
          </w:p>
        </w:tc>
        <w:tc>
          <w:tcPr>
            <w:tcW w:w="1540" w:type="dxa"/>
            <w:tcBorders>
              <w:top w:val="nil"/>
              <w:left w:val="nil"/>
              <w:bottom w:val="nil"/>
              <w:right w:val="nil"/>
            </w:tcBorders>
            <w:shd w:val="clear" w:color="auto" w:fill="auto"/>
            <w:noWrap/>
            <w:vAlign w:val="bottom"/>
            <w:hideMark/>
          </w:tcPr>
          <w:p w14:paraId="1EF6440A"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$29,817.46</w:t>
            </w:r>
          </w:p>
        </w:tc>
        <w:tc>
          <w:tcPr>
            <w:tcW w:w="1734" w:type="dxa"/>
            <w:tcBorders>
              <w:top w:val="nil"/>
              <w:left w:val="nil"/>
              <w:bottom w:val="nil"/>
              <w:right w:val="nil"/>
            </w:tcBorders>
            <w:shd w:val="clear" w:color="auto" w:fill="auto"/>
            <w:noWrap/>
            <w:vAlign w:val="bottom"/>
            <w:hideMark/>
          </w:tcPr>
          <w:p w14:paraId="689CFF62"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$116,875.88</w:t>
            </w:r>
          </w:p>
        </w:tc>
      </w:tr>
      <w:tr w:rsidR="00EB622B" w:rsidRPr="00776009" w14:paraId="06BE6BE6" w14:textId="77777777" w:rsidTr="00E94D7E">
        <w:trPr>
          <w:trHeight w:val="300"/>
        </w:trPr>
        <w:tc>
          <w:tcPr>
            <w:tcW w:w="0" w:type="auto"/>
            <w:tcBorders>
              <w:top w:val="nil"/>
              <w:left w:val="nil"/>
              <w:bottom w:val="nil"/>
              <w:right w:val="nil"/>
            </w:tcBorders>
            <w:shd w:val="clear" w:color="auto" w:fill="auto"/>
            <w:noWrap/>
            <w:vAlign w:val="bottom"/>
            <w:hideMark/>
          </w:tcPr>
          <w:p w14:paraId="5AA7B26F"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La Trobe University</w:t>
            </w:r>
          </w:p>
        </w:tc>
        <w:tc>
          <w:tcPr>
            <w:tcW w:w="0" w:type="auto"/>
            <w:tcBorders>
              <w:top w:val="nil"/>
              <w:left w:val="nil"/>
              <w:bottom w:val="nil"/>
              <w:right w:val="nil"/>
            </w:tcBorders>
            <w:shd w:val="clear" w:color="auto" w:fill="auto"/>
            <w:noWrap/>
            <w:vAlign w:val="bottom"/>
            <w:hideMark/>
          </w:tcPr>
          <w:p w14:paraId="6E7520D7"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1822</w:t>
            </w:r>
          </w:p>
        </w:tc>
        <w:tc>
          <w:tcPr>
            <w:tcW w:w="1540" w:type="dxa"/>
            <w:tcBorders>
              <w:top w:val="nil"/>
              <w:left w:val="nil"/>
              <w:bottom w:val="nil"/>
              <w:right w:val="nil"/>
            </w:tcBorders>
            <w:shd w:val="clear" w:color="auto" w:fill="auto"/>
            <w:noWrap/>
            <w:vAlign w:val="bottom"/>
            <w:hideMark/>
          </w:tcPr>
          <w:p w14:paraId="1E79D41D"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$404,194.85</w:t>
            </w:r>
          </w:p>
        </w:tc>
        <w:tc>
          <w:tcPr>
            <w:tcW w:w="1734" w:type="dxa"/>
            <w:tcBorders>
              <w:top w:val="nil"/>
              <w:left w:val="nil"/>
              <w:bottom w:val="nil"/>
              <w:right w:val="nil"/>
            </w:tcBorders>
            <w:shd w:val="clear" w:color="auto" w:fill="auto"/>
            <w:noWrap/>
            <w:vAlign w:val="bottom"/>
            <w:hideMark/>
          </w:tcPr>
          <w:p w14:paraId="42CB27B0"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$250,232.49</w:t>
            </w:r>
          </w:p>
        </w:tc>
      </w:tr>
      <w:tr w:rsidR="00EB622B" w:rsidRPr="00776009" w14:paraId="51D63959" w14:textId="77777777" w:rsidTr="00E94D7E">
        <w:trPr>
          <w:trHeight w:val="300"/>
        </w:trPr>
        <w:tc>
          <w:tcPr>
            <w:tcW w:w="0" w:type="auto"/>
            <w:tcBorders>
              <w:top w:val="nil"/>
              <w:left w:val="nil"/>
              <w:bottom w:val="nil"/>
              <w:right w:val="nil"/>
            </w:tcBorders>
            <w:shd w:val="clear" w:color="auto" w:fill="auto"/>
            <w:noWrap/>
            <w:vAlign w:val="bottom"/>
            <w:hideMark/>
          </w:tcPr>
          <w:p w14:paraId="523E0BAE"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Macquarie University</w:t>
            </w:r>
          </w:p>
        </w:tc>
        <w:tc>
          <w:tcPr>
            <w:tcW w:w="0" w:type="auto"/>
            <w:tcBorders>
              <w:top w:val="nil"/>
              <w:left w:val="nil"/>
              <w:bottom w:val="nil"/>
              <w:right w:val="nil"/>
            </w:tcBorders>
            <w:shd w:val="clear" w:color="auto" w:fill="auto"/>
            <w:noWrap/>
            <w:vAlign w:val="bottom"/>
            <w:hideMark/>
          </w:tcPr>
          <w:p w14:paraId="3152E3BC"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1678</w:t>
            </w:r>
          </w:p>
        </w:tc>
        <w:tc>
          <w:tcPr>
            <w:tcW w:w="1540" w:type="dxa"/>
            <w:tcBorders>
              <w:top w:val="nil"/>
              <w:left w:val="nil"/>
              <w:bottom w:val="nil"/>
              <w:right w:val="nil"/>
            </w:tcBorders>
            <w:shd w:val="clear" w:color="auto" w:fill="auto"/>
            <w:noWrap/>
            <w:vAlign w:val="bottom"/>
            <w:hideMark/>
          </w:tcPr>
          <w:p w14:paraId="53F76EC0"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$850,889.27</w:t>
            </w:r>
          </w:p>
        </w:tc>
        <w:tc>
          <w:tcPr>
            <w:tcW w:w="1734" w:type="dxa"/>
            <w:tcBorders>
              <w:top w:val="nil"/>
              <w:left w:val="nil"/>
              <w:bottom w:val="nil"/>
              <w:right w:val="nil"/>
            </w:tcBorders>
            <w:shd w:val="clear" w:color="auto" w:fill="auto"/>
            <w:noWrap/>
            <w:vAlign w:val="bottom"/>
            <w:hideMark/>
          </w:tcPr>
          <w:p w14:paraId="56609237"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$230,455.60</w:t>
            </w:r>
          </w:p>
        </w:tc>
      </w:tr>
      <w:tr w:rsidR="00EB622B" w:rsidRPr="00776009" w14:paraId="7D998D1D" w14:textId="77777777" w:rsidTr="00E94D7E">
        <w:trPr>
          <w:trHeight w:val="300"/>
        </w:trPr>
        <w:tc>
          <w:tcPr>
            <w:tcW w:w="0" w:type="auto"/>
            <w:tcBorders>
              <w:top w:val="nil"/>
              <w:left w:val="nil"/>
              <w:bottom w:val="nil"/>
              <w:right w:val="nil"/>
            </w:tcBorders>
            <w:shd w:val="clear" w:color="auto" w:fill="auto"/>
            <w:noWrap/>
            <w:vAlign w:val="bottom"/>
            <w:hideMark/>
          </w:tcPr>
          <w:p w14:paraId="2262DE5B"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Monash University</w:t>
            </w:r>
          </w:p>
        </w:tc>
        <w:tc>
          <w:tcPr>
            <w:tcW w:w="0" w:type="auto"/>
            <w:tcBorders>
              <w:top w:val="nil"/>
              <w:left w:val="nil"/>
              <w:bottom w:val="nil"/>
              <w:right w:val="nil"/>
            </w:tcBorders>
            <w:shd w:val="clear" w:color="auto" w:fill="auto"/>
            <w:noWrap/>
            <w:vAlign w:val="bottom"/>
            <w:hideMark/>
          </w:tcPr>
          <w:p w14:paraId="45F9066D"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2001</w:t>
            </w:r>
          </w:p>
        </w:tc>
        <w:tc>
          <w:tcPr>
            <w:tcW w:w="1540" w:type="dxa"/>
            <w:tcBorders>
              <w:top w:val="nil"/>
              <w:left w:val="nil"/>
              <w:bottom w:val="nil"/>
              <w:right w:val="nil"/>
            </w:tcBorders>
            <w:shd w:val="clear" w:color="auto" w:fill="auto"/>
            <w:noWrap/>
            <w:vAlign w:val="bottom"/>
            <w:hideMark/>
          </w:tcPr>
          <w:p w14:paraId="7D78545E"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$177,657.33</w:t>
            </w:r>
          </w:p>
        </w:tc>
        <w:tc>
          <w:tcPr>
            <w:tcW w:w="1734" w:type="dxa"/>
            <w:tcBorders>
              <w:top w:val="nil"/>
              <w:left w:val="nil"/>
              <w:bottom w:val="nil"/>
              <w:right w:val="nil"/>
            </w:tcBorders>
            <w:shd w:val="clear" w:color="auto" w:fill="auto"/>
            <w:noWrap/>
            <w:vAlign w:val="bottom"/>
            <w:hideMark/>
          </w:tcPr>
          <w:p w14:paraId="0C499303"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$274,816.25</w:t>
            </w:r>
          </w:p>
        </w:tc>
      </w:tr>
      <w:tr w:rsidR="00EB622B" w:rsidRPr="00776009" w14:paraId="3FA2EECE" w14:textId="77777777" w:rsidTr="00E94D7E">
        <w:trPr>
          <w:trHeight w:val="300"/>
        </w:trPr>
        <w:tc>
          <w:tcPr>
            <w:tcW w:w="0" w:type="auto"/>
            <w:tcBorders>
              <w:top w:val="nil"/>
              <w:left w:val="nil"/>
              <w:bottom w:val="nil"/>
              <w:right w:val="nil"/>
            </w:tcBorders>
            <w:shd w:val="clear" w:color="auto" w:fill="auto"/>
            <w:noWrap/>
            <w:vAlign w:val="bottom"/>
            <w:hideMark/>
          </w:tcPr>
          <w:p w14:paraId="06C78621"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Murdoch University</w:t>
            </w:r>
          </w:p>
        </w:tc>
        <w:tc>
          <w:tcPr>
            <w:tcW w:w="0" w:type="auto"/>
            <w:tcBorders>
              <w:top w:val="nil"/>
              <w:left w:val="nil"/>
              <w:bottom w:val="nil"/>
              <w:right w:val="nil"/>
            </w:tcBorders>
            <w:shd w:val="clear" w:color="auto" w:fill="auto"/>
            <w:noWrap/>
            <w:vAlign w:val="bottom"/>
            <w:hideMark/>
          </w:tcPr>
          <w:p w14:paraId="2F714561"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1165</w:t>
            </w:r>
          </w:p>
        </w:tc>
        <w:tc>
          <w:tcPr>
            <w:tcW w:w="1540" w:type="dxa"/>
            <w:tcBorders>
              <w:top w:val="nil"/>
              <w:left w:val="nil"/>
              <w:bottom w:val="nil"/>
              <w:right w:val="nil"/>
            </w:tcBorders>
            <w:shd w:val="clear" w:color="auto" w:fill="auto"/>
            <w:noWrap/>
            <w:vAlign w:val="bottom"/>
            <w:hideMark/>
          </w:tcPr>
          <w:p w14:paraId="277F6638"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$76,056.87</w:t>
            </w:r>
          </w:p>
        </w:tc>
        <w:tc>
          <w:tcPr>
            <w:tcW w:w="1734" w:type="dxa"/>
            <w:tcBorders>
              <w:top w:val="nil"/>
              <w:left w:val="nil"/>
              <w:bottom w:val="nil"/>
              <w:right w:val="nil"/>
            </w:tcBorders>
            <w:shd w:val="clear" w:color="auto" w:fill="auto"/>
            <w:noWrap/>
            <w:vAlign w:val="bottom"/>
            <w:hideMark/>
          </w:tcPr>
          <w:p w14:paraId="5D812CDC"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$160,000.46</w:t>
            </w:r>
          </w:p>
        </w:tc>
      </w:tr>
      <w:tr w:rsidR="00EB622B" w:rsidRPr="00776009" w14:paraId="6BE2E845" w14:textId="77777777" w:rsidTr="00E94D7E">
        <w:trPr>
          <w:trHeight w:val="300"/>
        </w:trPr>
        <w:tc>
          <w:tcPr>
            <w:tcW w:w="0" w:type="auto"/>
            <w:tcBorders>
              <w:top w:val="nil"/>
              <w:left w:val="nil"/>
              <w:bottom w:val="nil"/>
              <w:right w:val="nil"/>
            </w:tcBorders>
            <w:shd w:val="clear" w:color="auto" w:fill="auto"/>
            <w:noWrap/>
            <w:vAlign w:val="bottom"/>
            <w:hideMark/>
          </w:tcPr>
          <w:p w14:paraId="68B02A7A"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Queensland University of Technology</w:t>
            </w:r>
          </w:p>
        </w:tc>
        <w:tc>
          <w:tcPr>
            <w:tcW w:w="0" w:type="auto"/>
            <w:tcBorders>
              <w:top w:val="nil"/>
              <w:left w:val="nil"/>
              <w:bottom w:val="nil"/>
              <w:right w:val="nil"/>
            </w:tcBorders>
            <w:shd w:val="clear" w:color="auto" w:fill="auto"/>
            <w:noWrap/>
            <w:vAlign w:val="bottom"/>
            <w:hideMark/>
          </w:tcPr>
          <w:p w14:paraId="495A7BC3"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1517</w:t>
            </w:r>
          </w:p>
        </w:tc>
        <w:tc>
          <w:tcPr>
            <w:tcW w:w="1540" w:type="dxa"/>
            <w:tcBorders>
              <w:top w:val="nil"/>
              <w:left w:val="nil"/>
              <w:bottom w:val="nil"/>
              <w:right w:val="nil"/>
            </w:tcBorders>
            <w:shd w:val="clear" w:color="auto" w:fill="auto"/>
            <w:noWrap/>
            <w:vAlign w:val="bottom"/>
            <w:hideMark/>
          </w:tcPr>
          <w:p w14:paraId="2F4AC1D4"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$309,745.85</w:t>
            </w:r>
          </w:p>
        </w:tc>
        <w:tc>
          <w:tcPr>
            <w:tcW w:w="1734" w:type="dxa"/>
            <w:tcBorders>
              <w:top w:val="nil"/>
              <w:left w:val="nil"/>
              <w:bottom w:val="nil"/>
              <w:right w:val="nil"/>
            </w:tcBorders>
            <w:shd w:val="clear" w:color="auto" w:fill="auto"/>
            <w:noWrap/>
            <w:vAlign w:val="bottom"/>
            <w:hideMark/>
          </w:tcPr>
          <w:p w14:paraId="61FAC19F"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$208,343.95</w:t>
            </w:r>
          </w:p>
        </w:tc>
      </w:tr>
      <w:tr w:rsidR="00EB622B" w:rsidRPr="00776009" w14:paraId="0CD526FA" w14:textId="77777777" w:rsidTr="00E94D7E">
        <w:trPr>
          <w:trHeight w:val="300"/>
        </w:trPr>
        <w:tc>
          <w:tcPr>
            <w:tcW w:w="0" w:type="auto"/>
            <w:tcBorders>
              <w:top w:val="nil"/>
              <w:left w:val="nil"/>
              <w:bottom w:val="nil"/>
              <w:right w:val="nil"/>
            </w:tcBorders>
            <w:shd w:val="clear" w:color="auto" w:fill="auto"/>
            <w:noWrap/>
            <w:vAlign w:val="bottom"/>
            <w:hideMark/>
          </w:tcPr>
          <w:p w14:paraId="7AF59467"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Royal Melbourne Institute of Technology</w:t>
            </w:r>
          </w:p>
        </w:tc>
        <w:tc>
          <w:tcPr>
            <w:tcW w:w="0" w:type="auto"/>
            <w:tcBorders>
              <w:top w:val="nil"/>
              <w:left w:val="nil"/>
              <w:bottom w:val="nil"/>
              <w:right w:val="nil"/>
            </w:tcBorders>
            <w:shd w:val="clear" w:color="auto" w:fill="auto"/>
            <w:noWrap/>
            <w:vAlign w:val="bottom"/>
            <w:hideMark/>
          </w:tcPr>
          <w:p w14:paraId="3A4B1EA4"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1476</w:t>
            </w:r>
          </w:p>
        </w:tc>
        <w:tc>
          <w:tcPr>
            <w:tcW w:w="1540" w:type="dxa"/>
            <w:tcBorders>
              <w:top w:val="nil"/>
              <w:left w:val="nil"/>
              <w:bottom w:val="nil"/>
              <w:right w:val="nil"/>
            </w:tcBorders>
            <w:shd w:val="clear" w:color="auto" w:fill="auto"/>
            <w:noWrap/>
            <w:vAlign w:val="bottom"/>
            <w:hideMark/>
          </w:tcPr>
          <w:p w14:paraId="6EE350B8"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$241,695.34</w:t>
            </w:r>
          </w:p>
        </w:tc>
        <w:tc>
          <w:tcPr>
            <w:tcW w:w="1734" w:type="dxa"/>
            <w:tcBorders>
              <w:top w:val="nil"/>
              <w:left w:val="nil"/>
              <w:bottom w:val="nil"/>
              <w:right w:val="nil"/>
            </w:tcBorders>
            <w:shd w:val="clear" w:color="auto" w:fill="auto"/>
            <w:noWrap/>
            <w:vAlign w:val="bottom"/>
            <w:hideMark/>
          </w:tcPr>
          <w:p w14:paraId="219C8633"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$202,713.04</w:t>
            </w:r>
          </w:p>
        </w:tc>
      </w:tr>
      <w:tr w:rsidR="00EB622B" w:rsidRPr="00776009" w14:paraId="746C3EC3" w14:textId="77777777" w:rsidTr="00E94D7E">
        <w:trPr>
          <w:trHeight w:val="300"/>
        </w:trPr>
        <w:tc>
          <w:tcPr>
            <w:tcW w:w="0" w:type="auto"/>
            <w:tcBorders>
              <w:top w:val="nil"/>
              <w:left w:val="nil"/>
              <w:bottom w:val="nil"/>
              <w:right w:val="nil"/>
            </w:tcBorders>
            <w:shd w:val="clear" w:color="auto" w:fill="auto"/>
            <w:noWrap/>
            <w:vAlign w:val="bottom"/>
            <w:hideMark/>
          </w:tcPr>
          <w:p w14:paraId="6844ED21"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Southern Cross University</w:t>
            </w:r>
          </w:p>
        </w:tc>
        <w:tc>
          <w:tcPr>
            <w:tcW w:w="0" w:type="auto"/>
            <w:tcBorders>
              <w:top w:val="nil"/>
              <w:left w:val="nil"/>
              <w:bottom w:val="nil"/>
              <w:right w:val="nil"/>
            </w:tcBorders>
            <w:shd w:val="clear" w:color="auto" w:fill="auto"/>
            <w:noWrap/>
            <w:vAlign w:val="bottom"/>
            <w:hideMark/>
          </w:tcPr>
          <w:p w14:paraId="374A008D"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982</w:t>
            </w:r>
          </w:p>
        </w:tc>
        <w:tc>
          <w:tcPr>
            <w:tcW w:w="1540" w:type="dxa"/>
            <w:tcBorders>
              <w:top w:val="nil"/>
              <w:left w:val="nil"/>
              <w:bottom w:val="nil"/>
              <w:right w:val="nil"/>
            </w:tcBorders>
            <w:shd w:val="clear" w:color="auto" w:fill="auto"/>
            <w:noWrap/>
            <w:vAlign w:val="bottom"/>
            <w:hideMark/>
          </w:tcPr>
          <w:p w14:paraId="2D03FAD7"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$110,573.99</w:t>
            </w:r>
          </w:p>
        </w:tc>
        <w:tc>
          <w:tcPr>
            <w:tcW w:w="1734" w:type="dxa"/>
            <w:tcBorders>
              <w:top w:val="nil"/>
              <w:left w:val="nil"/>
              <w:bottom w:val="nil"/>
              <w:right w:val="nil"/>
            </w:tcBorders>
            <w:shd w:val="clear" w:color="auto" w:fill="auto"/>
            <w:noWrap/>
            <w:vAlign w:val="bottom"/>
            <w:hideMark/>
          </w:tcPr>
          <w:p w14:paraId="0CBAC6E0"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$134,867.34</w:t>
            </w:r>
          </w:p>
        </w:tc>
      </w:tr>
      <w:tr w:rsidR="00EB622B" w:rsidRPr="00776009" w14:paraId="6E21690A" w14:textId="77777777" w:rsidTr="00E94D7E">
        <w:trPr>
          <w:trHeight w:val="300"/>
        </w:trPr>
        <w:tc>
          <w:tcPr>
            <w:tcW w:w="0" w:type="auto"/>
            <w:tcBorders>
              <w:top w:val="nil"/>
              <w:left w:val="nil"/>
              <w:bottom w:val="nil"/>
              <w:right w:val="nil"/>
            </w:tcBorders>
            <w:shd w:val="clear" w:color="auto" w:fill="auto"/>
            <w:noWrap/>
            <w:vAlign w:val="bottom"/>
            <w:hideMark/>
          </w:tcPr>
          <w:p w14:paraId="77B0B24D"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Swinburne University of Technology</w:t>
            </w:r>
          </w:p>
        </w:tc>
        <w:tc>
          <w:tcPr>
            <w:tcW w:w="0" w:type="auto"/>
            <w:tcBorders>
              <w:top w:val="nil"/>
              <w:left w:val="nil"/>
              <w:bottom w:val="nil"/>
              <w:right w:val="nil"/>
            </w:tcBorders>
            <w:shd w:val="clear" w:color="auto" w:fill="auto"/>
            <w:noWrap/>
            <w:vAlign w:val="bottom"/>
            <w:hideMark/>
          </w:tcPr>
          <w:p w14:paraId="50B530BA"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1030</w:t>
            </w:r>
          </w:p>
        </w:tc>
        <w:tc>
          <w:tcPr>
            <w:tcW w:w="1540" w:type="dxa"/>
            <w:tcBorders>
              <w:top w:val="nil"/>
              <w:left w:val="nil"/>
              <w:bottom w:val="nil"/>
              <w:right w:val="nil"/>
            </w:tcBorders>
            <w:shd w:val="clear" w:color="auto" w:fill="auto"/>
            <w:noWrap/>
            <w:vAlign w:val="bottom"/>
            <w:hideMark/>
          </w:tcPr>
          <w:p w14:paraId="521B3A0B"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$188,973.86</w:t>
            </w:r>
          </w:p>
        </w:tc>
        <w:tc>
          <w:tcPr>
            <w:tcW w:w="1734" w:type="dxa"/>
            <w:tcBorders>
              <w:top w:val="nil"/>
              <w:left w:val="nil"/>
              <w:bottom w:val="nil"/>
              <w:right w:val="nil"/>
            </w:tcBorders>
            <w:shd w:val="clear" w:color="auto" w:fill="auto"/>
            <w:noWrap/>
            <w:vAlign w:val="bottom"/>
            <w:hideMark/>
          </w:tcPr>
          <w:p w14:paraId="798E961A"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$141,459.64</w:t>
            </w:r>
          </w:p>
        </w:tc>
      </w:tr>
      <w:tr w:rsidR="00EB622B" w:rsidRPr="00776009" w14:paraId="1EF71686" w14:textId="77777777" w:rsidTr="00E94D7E">
        <w:trPr>
          <w:trHeight w:val="300"/>
        </w:trPr>
        <w:tc>
          <w:tcPr>
            <w:tcW w:w="0" w:type="auto"/>
            <w:tcBorders>
              <w:top w:val="nil"/>
              <w:left w:val="nil"/>
              <w:bottom w:val="nil"/>
              <w:right w:val="nil"/>
            </w:tcBorders>
            <w:shd w:val="clear" w:color="auto" w:fill="auto"/>
            <w:noWrap/>
            <w:vAlign w:val="bottom"/>
            <w:hideMark/>
          </w:tcPr>
          <w:p w14:paraId="12C79FBE"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University of Adelaide</w:t>
            </w:r>
          </w:p>
        </w:tc>
        <w:tc>
          <w:tcPr>
            <w:tcW w:w="0" w:type="auto"/>
            <w:tcBorders>
              <w:top w:val="nil"/>
              <w:left w:val="nil"/>
              <w:bottom w:val="nil"/>
              <w:right w:val="nil"/>
            </w:tcBorders>
            <w:shd w:val="clear" w:color="auto" w:fill="auto"/>
            <w:noWrap/>
            <w:vAlign w:val="bottom"/>
            <w:hideMark/>
          </w:tcPr>
          <w:p w14:paraId="0F480049"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1545</w:t>
            </w:r>
          </w:p>
        </w:tc>
        <w:tc>
          <w:tcPr>
            <w:tcW w:w="1540" w:type="dxa"/>
            <w:tcBorders>
              <w:top w:val="nil"/>
              <w:left w:val="nil"/>
              <w:bottom w:val="nil"/>
              <w:right w:val="nil"/>
            </w:tcBorders>
            <w:shd w:val="clear" w:color="auto" w:fill="auto"/>
            <w:noWrap/>
            <w:vAlign w:val="bottom"/>
            <w:hideMark/>
          </w:tcPr>
          <w:p w14:paraId="583FB634"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$36,539.47</w:t>
            </w:r>
          </w:p>
        </w:tc>
        <w:tc>
          <w:tcPr>
            <w:tcW w:w="1734" w:type="dxa"/>
            <w:tcBorders>
              <w:top w:val="nil"/>
              <w:left w:val="nil"/>
              <w:bottom w:val="nil"/>
              <w:right w:val="nil"/>
            </w:tcBorders>
            <w:shd w:val="clear" w:color="auto" w:fill="auto"/>
            <w:noWrap/>
            <w:vAlign w:val="bottom"/>
            <w:hideMark/>
          </w:tcPr>
          <w:p w14:paraId="1F3DBFE2"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$212,189.46</w:t>
            </w:r>
          </w:p>
        </w:tc>
      </w:tr>
      <w:tr w:rsidR="00EB622B" w:rsidRPr="00776009" w14:paraId="51285682" w14:textId="77777777" w:rsidTr="00E94D7E">
        <w:trPr>
          <w:trHeight w:val="300"/>
        </w:trPr>
        <w:tc>
          <w:tcPr>
            <w:tcW w:w="0" w:type="auto"/>
            <w:tcBorders>
              <w:top w:val="nil"/>
              <w:left w:val="nil"/>
              <w:bottom w:val="nil"/>
              <w:right w:val="nil"/>
            </w:tcBorders>
            <w:shd w:val="clear" w:color="auto" w:fill="auto"/>
            <w:noWrap/>
            <w:vAlign w:val="bottom"/>
            <w:hideMark/>
          </w:tcPr>
          <w:p w14:paraId="0827C8DB"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University of Canberra</w:t>
            </w:r>
          </w:p>
        </w:tc>
        <w:tc>
          <w:tcPr>
            <w:tcW w:w="0" w:type="auto"/>
            <w:tcBorders>
              <w:top w:val="nil"/>
              <w:left w:val="nil"/>
              <w:bottom w:val="nil"/>
              <w:right w:val="nil"/>
            </w:tcBorders>
            <w:shd w:val="clear" w:color="auto" w:fill="auto"/>
            <w:noWrap/>
            <w:vAlign w:val="bottom"/>
            <w:hideMark/>
          </w:tcPr>
          <w:p w14:paraId="7951398B"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740</w:t>
            </w:r>
          </w:p>
        </w:tc>
        <w:tc>
          <w:tcPr>
            <w:tcW w:w="1540" w:type="dxa"/>
            <w:tcBorders>
              <w:top w:val="nil"/>
              <w:left w:val="nil"/>
              <w:bottom w:val="nil"/>
              <w:right w:val="nil"/>
            </w:tcBorders>
            <w:shd w:val="clear" w:color="auto" w:fill="auto"/>
            <w:noWrap/>
            <w:vAlign w:val="bottom"/>
            <w:hideMark/>
          </w:tcPr>
          <w:p w14:paraId="3C198E58"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$67,033.00</w:t>
            </w:r>
          </w:p>
        </w:tc>
        <w:tc>
          <w:tcPr>
            <w:tcW w:w="1734" w:type="dxa"/>
            <w:tcBorders>
              <w:top w:val="nil"/>
              <w:left w:val="nil"/>
              <w:bottom w:val="nil"/>
              <w:right w:val="nil"/>
            </w:tcBorders>
            <w:shd w:val="clear" w:color="auto" w:fill="auto"/>
            <w:noWrap/>
            <w:vAlign w:val="bottom"/>
            <w:hideMark/>
          </w:tcPr>
          <w:p w14:paraId="3B76A1C2"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$101,631.20</w:t>
            </w:r>
          </w:p>
        </w:tc>
      </w:tr>
      <w:tr w:rsidR="00EB622B" w:rsidRPr="00776009" w14:paraId="56EA3759" w14:textId="77777777" w:rsidTr="00E94D7E">
        <w:trPr>
          <w:trHeight w:val="300"/>
        </w:trPr>
        <w:tc>
          <w:tcPr>
            <w:tcW w:w="0" w:type="auto"/>
            <w:tcBorders>
              <w:top w:val="nil"/>
              <w:left w:val="nil"/>
              <w:bottom w:val="nil"/>
              <w:right w:val="nil"/>
            </w:tcBorders>
            <w:shd w:val="clear" w:color="auto" w:fill="auto"/>
            <w:noWrap/>
            <w:vAlign w:val="bottom"/>
            <w:hideMark/>
          </w:tcPr>
          <w:p w14:paraId="138B9A90"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University of Melbourne</w:t>
            </w:r>
          </w:p>
        </w:tc>
        <w:tc>
          <w:tcPr>
            <w:tcW w:w="0" w:type="auto"/>
            <w:tcBorders>
              <w:top w:val="nil"/>
              <w:left w:val="nil"/>
              <w:bottom w:val="nil"/>
              <w:right w:val="nil"/>
            </w:tcBorders>
            <w:shd w:val="clear" w:color="auto" w:fill="auto"/>
            <w:noWrap/>
            <w:vAlign w:val="bottom"/>
            <w:hideMark/>
          </w:tcPr>
          <w:p w14:paraId="6DB537EA"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2018</w:t>
            </w:r>
          </w:p>
        </w:tc>
        <w:tc>
          <w:tcPr>
            <w:tcW w:w="1540" w:type="dxa"/>
            <w:tcBorders>
              <w:top w:val="nil"/>
              <w:left w:val="nil"/>
              <w:bottom w:val="nil"/>
              <w:right w:val="nil"/>
            </w:tcBorders>
            <w:shd w:val="clear" w:color="auto" w:fill="auto"/>
            <w:noWrap/>
            <w:vAlign w:val="bottom"/>
            <w:hideMark/>
          </w:tcPr>
          <w:p w14:paraId="5C2EEF49"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$278,581.53</w:t>
            </w:r>
          </w:p>
        </w:tc>
        <w:tc>
          <w:tcPr>
            <w:tcW w:w="1734" w:type="dxa"/>
            <w:tcBorders>
              <w:top w:val="nil"/>
              <w:left w:val="nil"/>
              <w:bottom w:val="nil"/>
              <w:right w:val="nil"/>
            </w:tcBorders>
            <w:shd w:val="clear" w:color="auto" w:fill="auto"/>
            <w:noWrap/>
            <w:vAlign w:val="bottom"/>
            <w:hideMark/>
          </w:tcPr>
          <w:p w14:paraId="0F9EB749"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$277,151.02</w:t>
            </w:r>
          </w:p>
        </w:tc>
      </w:tr>
      <w:tr w:rsidR="00EB622B" w:rsidRPr="00776009" w14:paraId="598FAF74" w14:textId="77777777" w:rsidTr="00E94D7E">
        <w:trPr>
          <w:trHeight w:val="300"/>
        </w:trPr>
        <w:tc>
          <w:tcPr>
            <w:tcW w:w="0" w:type="auto"/>
            <w:tcBorders>
              <w:top w:val="nil"/>
              <w:left w:val="nil"/>
              <w:bottom w:val="nil"/>
              <w:right w:val="nil"/>
            </w:tcBorders>
            <w:shd w:val="clear" w:color="auto" w:fill="auto"/>
            <w:noWrap/>
            <w:vAlign w:val="bottom"/>
            <w:hideMark/>
          </w:tcPr>
          <w:p w14:paraId="725A2446"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University of New England</w:t>
            </w:r>
          </w:p>
        </w:tc>
        <w:tc>
          <w:tcPr>
            <w:tcW w:w="0" w:type="auto"/>
            <w:tcBorders>
              <w:top w:val="nil"/>
              <w:left w:val="nil"/>
              <w:bottom w:val="nil"/>
              <w:right w:val="nil"/>
            </w:tcBorders>
            <w:shd w:val="clear" w:color="auto" w:fill="auto"/>
            <w:noWrap/>
            <w:vAlign w:val="bottom"/>
            <w:hideMark/>
          </w:tcPr>
          <w:p w14:paraId="072E948F"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1657</w:t>
            </w:r>
          </w:p>
        </w:tc>
        <w:tc>
          <w:tcPr>
            <w:tcW w:w="1540" w:type="dxa"/>
            <w:tcBorders>
              <w:top w:val="nil"/>
              <w:left w:val="nil"/>
              <w:bottom w:val="nil"/>
              <w:right w:val="nil"/>
            </w:tcBorders>
            <w:shd w:val="clear" w:color="auto" w:fill="auto"/>
            <w:noWrap/>
            <w:vAlign w:val="bottom"/>
            <w:hideMark/>
          </w:tcPr>
          <w:p w14:paraId="2105E0A2"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$256,501.14</w:t>
            </w:r>
          </w:p>
        </w:tc>
        <w:tc>
          <w:tcPr>
            <w:tcW w:w="1734" w:type="dxa"/>
            <w:tcBorders>
              <w:top w:val="nil"/>
              <w:left w:val="nil"/>
              <w:bottom w:val="nil"/>
              <w:right w:val="nil"/>
            </w:tcBorders>
            <w:shd w:val="clear" w:color="auto" w:fill="auto"/>
            <w:noWrap/>
            <w:vAlign w:val="bottom"/>
            <w:hideMark/>
          </w:tcPr>
          <w:p w14:paraId="7987608B"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$227,571.48</w:t>
            </w:r>
          </w:p>
        </w:tc>
      </w:tr>
      <w:tr w:rsidR="00EB622B" w:rsidRPr="00776009" w14:paraId="4F6E3EA3" w14:textId="77777777" w:rsidTr="00E94D7E">
        <w:trPr>
          <w:trHeight w:val="300"/>
        </w:trPr>
        <w:tc>
          <w:tcPr>
            <w:tcW w:w="0" w:type="auto"/>
            <w:tcBorders>
              <w:top w:val="nil"/>
              <w:left w:val="nil"/>
              <w:bottom w:val="nil"/>
              <w:right w:val="nil"/>
            </w:tcBorders>
            <w:shd w:val="clear" w:color="auto" w:fill="auto"/>
            <w:noWrap/>
            <w:vAlign w:val="bottom"/>
            <w:hideMark/>
          </w:tcPr>
          <w:p w14:paraId="784AD1D3"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University of New South Wales</w:t>
            </w:r>
          </w:p>
        </w:tc>
        <w:tc>
          <w:tcPr>
            <w:tcW w:w="0" w:type="auto"/>
            <w:tcBorders>
              <w:top w:val="nil"/>
              <w:left w:val="nil"/>
              <w:bottom w:val="nil"/>
              <w:right w:val="nil"/>
            </w:tcBorders>
            <w:shd w:val="clear" w:color="auto" w:fill="auto"/>
            <w:noWrap/>
            <w:vAlign w:val="bottom"/>
            <w:hideMark/>
          </w:tcPr>
          <w:p w14:paraId="69607FF0"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1592</w:t>
            </w:r>
          </w:p>
        </w:tc>
        <w:tc>
          <w:tcPr>
            <w:tcW w:w="1540" w:type="dxa"/>
            <w:tcBorders>
              <w:top w:val="nil"/>
              <w:left w:val="nil"/>
              <w:bottom w:val="nil"/>
              <w:right w:val="nil"/>
            </w:tcBorders>
            <w:shd w:val="clear" w:color="auto" w:fill="auto"/>
            <w:noWrap/>
            <w:vAlign w:val="bottom"/>
            <w:hideMark/>
          </w:tcPr>
          <w:p w14:paraId="361916CB"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$188,913.60</w:t>
            </w:r>
          </w:p>
        </w:tc>
        <w:tc>
          <w:tcPr>
            <w:tcW w:w="1734" w:type="dxa"/>
            <w:tcBorders>
              <w:top w:val="nil"/>
              <w:left w:val="nil"/>
              <w:bottom w:val="nil"/>
              <w:right w:val="nil"/>
            </w:tcBorders>
            <w:shd w:val="clear" w:color="auto" w:fill="auto"/>
            <w:noWrap/>
            <w:vAlign w:val="bottom"/>
            <w:hideMark/>
          </w:tcPr>
          <w:p w14:paraId="7B8C4634"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$218,644.41</w:t>
            </w:r>
          </w:p>
        </w:tc>
      </w:tr>
      <w:tr w:rsidR="00EB622B" w:rsidRPr="00776009" w14:paraId="32D49EAC" w14:textId="77777777" w:rsidTr="00E94D7E">
        <w:trPr>
          <w:trHeight w:val="300"/>
        </w:trPr>
        <w:tc>
          <w:tcPr>
            <w:tcW w:w="0" w:type="auto"/>
            <w:tcBorders>
              <w:top w:val="nil"/>
              <w:left w:val="nil"/>
              <w:bottom w:val="nil"/>
              <w:right w:val="nil"/>
            </w:tcBorders>
            <w:shd w:val="clear" w:color="auto" w:fill="auto"/>
            <w:noWrap/>
            <w:vAlign w:val="bottom"/>
            <w:hideMark/>
          </w:tcPr>
          <w:p w14:paraId="5365D5E5"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University of Newcastle</w:t>
            </w:r>
          </w:p>
        </w:tc>
        <w:tc>
          <w:tcPr>
            <w:tcW w:w="0" w:type="auto"/>
            <w:tcBorders>
              <w:top w:val="nil"/>
              <w:left w:val="nil"/>
              <w:bottom w:val="nil"/>
              <w:right w:val="nil"/>
            </w:tcBorders>
            <w:shd w:val="clear" w:color="auto" w:fill="auto"/>
            <w:noWrap/>
            <w:vAlign w:val="bottom"/>
            <w:hideMark/>
          </w:tcPr>
          <w:p w14:paraId="04CB9480"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1863</w:t>
            </w:r>
          </w:p>
        </w:tc>
        <w:tc>
          <w:tcPr>
            <w:tcW w:w="1540" w:type="dxa"/>
            <w:tcBorders>
              <w:top w:val="nil"/>
              <w:left w:val="nil"/>
              <w:bottom w:val="nil"/>
              <w:right w:val="nil"/>
            </w:tcBorders>
            <w:shd w:val="clear" w:color="auto" w:fill="auto"/>
            <w:noWrap/>
            <w:vAlign w:val="bottom"/>
            <w:hideMark/>
          </w:tcPr>
          <w:p w14:paraId="110CB1F8"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$113,366.10</w:t>
            </w:r>
          </w:p>
        </w:tc>
        <w:tc>
          <w:tcPr>
            <w:tcW w:w="1734" w:type="dxa"/>
            <w:tcBorders>
              <w:top w:val="nil"/>
              <w:left w:val="nil"/>
              <w:bottom w:val="nil"/>
              <w:right w:val="nil"/>
            </w:tcBorders>
            <w:shd w:val="clear" w:color="auto" w:fill="auto"/>
            <w:noWrap/>
            <w:vAlign w:val="bottom"/>
            <w:hideMark/>
          </w:tcPr>
          <w:p w14:paraId="2F1424CD"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$255,863.40</w:t>
            </w:r>
          </w:p>
        </w:tc>
      </w:tr>
      <w:tr w:rsidR="00EB622B" w:rsidRPr="00776009" w14:paraId="1803C46E" w14:textId="77777777" w:rsidTr="00E94D7E">
        <w:trPr>
          <w:trHeight w:val="300"/>
        </w:trPr>
        <w:tc>
          <w:tcPr>
            <w:tcW w:w="0" w:type="auto"/>
            <w:tcBorders>
              <w:top w:val="nil"/>
              <w:left w:val="nil"/>
              <w:bottom w:val="nil"/>
              <w:right w:val="nil"/>
            </w:tcBorders>
            <w:shd w:val="clear" w:color="auto" w:fill="auto"/>
            <w:noWrap/>
            <w:vAlign w:val="bottom"/>
            <w:hideMark/>
          </w:tcPr>
          <w:p w14:paraId="21D7E9EE"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University of Queensland</w:t>
            </w:r>
          </w:p>
        </w:tc>
        <w:tc>
          <w:tcPr>
            <w:tcW w:w="0" w:type="auto"/>
            <w:tcBorders>
              <w:top w:val="nil"/>
              <w:left w:val="nil"/>
              <w:bottom w:val="nil"/>
              <w:right w:val="nil"/>
            </w:tcBorders>
            <w:shd w:val="clear" w:color="auto" w:fill="auto"/>
            <w:noWrap/>
            <w:vAlign w:val="bottom"/>
            <w:hideMark/>
          </w:tcPr>
          <w:p w14:paraId="733600D6"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1187</w:t>
            </w:r>
          </w:p>
        </w:tc>
        <w:tc>
          <w:tcPr>
            <w:tcW w:w="1540" w:type="dxa"/>
            <w:tcBorders>
              <w:top w:val="nil"/>
              <w:left w:val="nil"/>
              <w:bottom w:val="nil"/>
              <w:right w:val="nil"/>
            </w:tcBorders>
            <w:shd w:val="clear" w:color="auto" w:fill="auto"/>
            <w:noWrap/>
            <w:vAlign w:val="bottom"/>
            <w:hideMark/>
          </w:tcPr>
          <w:p w14:paraId="79CB067A"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$125,251.88</w:t>
            </w:r>
          </w:p>
        </w:tc>
        <w:tc>
          <w:tcPr>
            <w:tcW w:w="1734" w:type="dxa"/>
            <w:tcBorders>
              <w:top w:val="nil"/>
              <w:left w:val="nil"/>
              <w:bottom w:val="nil"/>
              <w:right w:val="nil"/>
            </w:tcBorders>
            <w:shd w:val="clear" w:color="auto" w:fill="auto"/>
            <w:noWrap/>
            <w:vAlign w:val="bottom"/>
            <w:hideMark/>
          </w:tcPr>
          <w:p w14:paraId="7CC47685"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$163,021.93</w:t>
            </w:r>
          </w:p>
        </w:tc>
      </w:tr>
      <w:tr w:rsidR="00EB622B" w:rsidRPr="00776009" w14:paraId="25F4959C" w14:textId="77777777" w:rsidTr="00E94D7E">
        <w:trPr>
          <w:trHeight w:val="300"/>
        </w:trPr>
        <w:tc>
          <w:tcPr>
            <w:tcW w:w="0" w:type="auto"/>
            <w:tcBorders>
              <w:top w:val="nil"/>
              <w:left w:val="nil"/>
              <w:bottom w:val="nil"/>
              <w:right w:val="nil"/>
            </w:tcBorders>
            <w:shd w:val="clear" w:color="auto" w:fill="auto"/>
            <w:noWrap/>
            <w:vAlign w:val="bottom"/>
            <w:hideMark/>
          </w:tcPr>
          <w:p w14:paraId="63936A07"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University of South Australia</w:t>
            </w:r>
          </w:p>
        </w:tc>
        <w:tc>
          <w:tcPr>
            <w:tcW w:w="0" w:type="auto"/>
            <w:tcBorders>
              <w:top w:val="nil"/>
              <w:left w:val="nil"/>
              <w:bottom w:val="nil"/>
              <w:right w:val="nil"/>
            </w:tcBorders>
            <w:shd w:val="clear" w:color="auto" w:fill="auto"/>
            <w:noWrap/>
            <w:vAlign w:val="bottom"/>
            <w:hideMark/>
          </w:tcPr>
          <w:p w14:paraId="295785FB"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2031</w:t>
            </w:r>
          </w:p>
        </w:tc>
        <w:tc>
          <w:tcPr>
            <w:tcW w:w="1540" w:type="dxa"/>
            <w:tcBorders>
              <w:top w:val="nil"/>
              <w:left w:val="nil"/>
              <w:bottom w:val="nil"/>
              <w:right w:val="nil"/>
            </w:tcBorders>
            <w:shd w:val="clear" w:color="auto" w:fill="auto"/>
            <w:noWrap/>
            <w:vAlign w:val="bottom"/>
            <w:hideMark/>
          </w:tcPr>
          <w:p w14:paraId="1DBBB631"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$106,770.88</w:t>
            </w:r>
          </w:p>
        </w:tc>
        <w:tc>
          <w:tcPr>
            <w:tcW w:w="1734" w:type="dxa"/>
            <w:tcBorders>
              <w:top w:val="nil"/>
              <w:left w:val="nil"/>
              <w:bottom w:val="nil"/>
              <w:right w:val="nil"/>
            </w:tcBorders>
            <w:shd w:val="clear" w:color="auto" w:fill="auto"/>
            <w:noWrap/>
            <w:vAlign w:val="bottom"/>
            <w:hideMark/>
          </w:tcPr>
          <w:p w14:paraId="45493EA2"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$278,936.43</w:t>
            </w:r>
          </w:p>
        </w:tc>
      </w:tr>
      <w:tr w:rsidR="00EB622B" w:rsidRPr="00776009" w14:paraId="6D7EAC46" w14:textId="77777777" w:rsidTr="00E94D7E">
        <w:trPr>
          <w:trHeight w:val="300"/>
        </w:trPr>
        <w:tc>
          <w:tcPr>
            <w:tcW w:w="0" w:type="auto"/>
            <w:tcBorders>
              <w:top w:val="nil"/>
              <w:left w:val="nil"/>
              <w:bottom w:val="nil"/>
              <w:right w:val="nil"/>
            </w:tcBorders>
            <w:shd w:val="clear" w:color="auto" w:fill="auto"/>
            <w:noWrap/>
            <w:vAlign w:val="bottom"/>
            <w:hideMark/>
          </w:tcPr>
          <w:p w14:paraId="331C4376"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University of Southern Queensland</w:t>
            </w:r>
          </w:p>
        </w:tc>
        <w:tc>
          <w:tcPr>
            <w:tcW w:w="0" w:type="auto"/>
            <w:tcBorders>
              <w:top w:val="nil"/>
              <w:left w:val="nil"/>
              <w:bottom w:val="nil"/>
              <w:right w:val="nil"/>
            </w:tcBorders>
            <w:shd w:val="clear" w:color="auto" w:fill="auto"/>
            <w:noWrap/>
            <w:vAlign w:val="bottom"/>
            <w:hideMark/>
          </w:tcPr>
          <w:p w14:paraId="5E54CBC6"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1462</w:t>
            </w:r>
          </w:p>
        </w:tc>
        <w:tc>
          <w:tcPr>
            <w:tcW w:w="1540" w:type="dxa"/>
            <w:tcBorders>
              <w:top w:val="nil"/>
              <w:left w:val="nil"/>
              <w:bottom w:val="nil"/>
              <w:right w:val="nil"/>
            </w:tcBorders>
            <w:shd w:val="clear" w:color="auto" w:fill="auto"/>
            <w:noWrap/>
            <w:vAlign w:val="bottom"/>
            <w:hideMark/>
          </w:tcPr>
          <w:p w14:paraId="761A56D3"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$113,092.33</w:t>
            </w:r>
          </w:p>
        </w:tc>
        <w:tc>
          <w:tcPr>
            <w:tcW w:w="1734" w:type="dxa"/>
            <w:tcBorders>
              <w:top w:val="nil"/>
              <w:left w:val="nil"/>
              <w:bottom w:val="nil"/>
              <w:right w:val="nil"/>
            </w:tcBorders>
            <w:shd w:val="clear" w:color="auto" w:fill="auto"/>
            <w:noWrap/>
            <w:vAlign w:val="bottom"/>
            <w:hideMark/>
          </w:tcPr>
          <w:p w14:paraId="6B81CC12"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$200,790.28</w:t>
            </w:r>
          </w:p>
        </w:tc>
      </w:tr>
      <w:tr w:rsidR="00EB622B" w:rsidRPr="00776009" w14:paraId="10E5D184" w14:textId="77777777" w:rsidTr="00E94D7E">
        <w:trPr>
          <w:trHeight w:val="300"/>
        </w:trPr>
        <w:tc>
          <w:tcPr>
            <w:tcW w:w="0" w:type="auto"/>
            <w:tcBorders>
              <w:top w:val="nil"/>
              <w:left w:val="nil"/>
              <w:bottom w:val="nil"/>
              <w:right w:val="nil"/>
            </w:tcBorders>
            <w:shd w:val="clear" w:color="auto" w:fill="auto"/>
            <w:noWrap/>
            <w:vAlign w:val="bottom"/>
            <w:hideMark/>
          </w:tcPr>
          <w:p w14:paraId="2FA3DC43"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lastRenderedPageBreak/>
              <w:t>University of Sydney</w:t>
            </w:r>
          </w:p>
        </w:tc>
        <w:tc>
          <w:tcPr>
            <w:tcW w:w="0" w:type="auto"/>
            <w:tcBorders>
              <w:top w:val="nil"/>
              <w:left w:val="nil"/>
              <w:bottom w:val="nil"/>
              <w:right w:val="nil"/>
            </w:tcBorders>
            <w:shd w:val="clear" w:color="auto" w:fill="auto"/>
            <w:noWrap/>
            <w:vAlign w:val="bottom"/>
            <w:hideMark/>
          </w:tcPr>
          <w:p w14:paraId="3C45C04B"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1701</w:t>
            </w:r>
          </w:p>
        </w:tc>
        <w:tc>
          <w:tcPr>
            <w:tcW w:w="1540" w:type="dxa"/>
            <w:tcBorders>
              <w:top w:val="nil"/>
              <w:left w:val="nil"/>
              <w:bottom w:val="nil"/>
              <w:right w:val="nil"/>
            </w:tcBorders>
            <w:shd w:val="clear" w:color="auto" w:fill="auto"/>
            <w:noWrap/>
            <w:vAlign w:val="bottom"/>
            <w:hideMark/>
          </w:tcPr>
          <w:p w14:paraId="5AEEE1CC"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$71,230.35</w:t>
            </w:r>
          </w:p>
        </w:tc>
        <w:tc>
          <w:tcPr>
            <w:tcW w:w="1734" w:type="dxa"/>
            <w:tcBorders>
              <w:top w:val="nil"/>
              <w:left w:val="nil"/>
              <w:bottom w:val="nil"/>
              <w:right w:val="nil"/>
            </w:tcBorders>
            <w:shd w:val="clear" w:color="auto" w:fill="auto"/>
            <w:noWrap/>
            <w:vAlign w:val="bottom"/>
            <w:hideMark/>
          </w:tcPr>
          <w:p w14:paraId="1959462C"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$233,614.41</w:t>
            </w:r>
          </w:p>
        </w:tc>
      </w:tr>
      <w:tr w:rsidR="00EB622B" w:rsidRPr="00776009" w14:paraId="02A93438" w14:textId="77777777" w:rsidTr="00E94D7E">
        <w:trPr>
          <w:trHeight w:val="300"/>
        </w:trPr>
        <w:tc>
          <w:tcPr>
            <w:tcW w:w="0" w:type="auto"/>
            <w:tcBorders>
              <w:top w:val="nil"/>
              <w:left w:val="nil"/>
              <w:bottom w:val="nil"/>
              <w:right w:val="nil"/>
            </w:tcBorders>
            <w:shd w:val="clear" w:color="auto" w:fill="auto"/>
            <w:noWrap/>
            <w:vAlign w:val="bottom"/>
            <w:hideMark/>
          </w:tcPr>
          <w:p w14:paraId="5BA36C06"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University of Tasmania</w:t>
            </w:r>
          </w:p>
        </w:tc>
        <w:tc>
          <w:tcPr>
            <w:tcW w:w="0" w:type="auto"/>
            <w:tcBorders>
              <w:top w:val="nil"/>
              <w:left w:val="nil"/>
              <w:bottom w:val="nil"/>
              <w:right w:val="nil"/>
            </w:tcBorders>
            <w:shd w:val="clear" w:color="auto" w:fill="auto"/>
            <w:noWrap/>
            <w:vAlign w:val="bottom"/>
            <w:hideMark/>
          </w:tcPr>
          <w:p w14:paraId="27740F6D"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2112</w:t>
            </w:r>
          </w:p>
        </w:tc>
        <w:tc>
          <w:tcPr>
            <w:tcW w:w="1540" w:type="dxa"/>
            <w:tcBorders>
              <w:top w:val="nil"/>
              <w:left w:val="nil"/>
              <w:bottom w:val="nil"/>
              <w:right w:val="nil"/>
            </w:tcBorders>
            <w:shd w:val="clear" w:color="auto" w:fill="auto"/>
            <w:noWrap/>
            <w:vAlign w:val="bottom"/>
            <w:hideMark/>
          </w:tcPr>
          <w:p w14:paraId="2A809BFF"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$101,642.51</w:t>
            </w:r>
          </w:p>
        </w:tc>
        <w:tc>
          <w:tcPr>
            <w:tcW w:w="1734" w:type="dxa"/>
            <w:tcBorders>
              <w:top w:val="nil"/>
              <w:left w:val="nil"/>
              <w:bottom w:val="nil"/>
              <w:right w:val="nil"/>
            </w:tcBorders>
            <w:shd w:val="clear" w:color="auto" w:fill="auto"/>
            <w:noWrap/>
            <w:vAlign w:val="bottom"/>
            <w:hideMark/>
          </w:tcPr>
          <w:p w14:paraId="22ED3F7C"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$290,060.93</w:t>
            </w:r>
          </w:p>
        </w:tc>
      </w:tr>
      <w:tr w:rsidR="00EB622B" w:rsidRPr="00776009" w14:paraId="37CAF5A4" w14:textId="77777777" w:rsidTr="00E94D7E">
        <w:trPr>
          <w:trHeight w:val="300"/>
        </w:trPr>
        <w:tc>
          <w:tcPr>
            <w:tcW w:w="0" w:type="auto"/>
            <w:tcBorders>
              <w:top w:val="nil"/>
              <w:left w:val="nil"/>
              <w:bottom w:val="nil"/>
              <w:right w:val="nil"/>
            </w:tcBorders>
            <w:shd w:val="clear" w:color="auto" w:fill="auto"/>
            <w:noWrap/>
            <w:vAlign w:val="bottom"/>
            <w:hideMark/>
          </w:tcPr>
          <w:p w14:paraId="3044F65A"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University of Technology, Sydney</w:t>
            </w:r>
          </w:p>
        </w:tc>
        <w:tc>
          <w:tcPr>
            <w:tcW w:w="0" w:type="auto"/>
            <w:tcBorders>
              <w:top w:val="nil"/>
              <w:left w:val="nil"/>
              <w:bottom w:val="nil"/>
              <w:right w:val="nil"/>
            </w:tcBorders>
            <w:shd w:val="clear" w:color="auto" w:fill="auto"/>
            <w:noWrap/>
            <w:vAlign w:val="bottom"/>
            <w:hideMark/>
          </w:tcPr>
          <w:p w14:paraId="60ABA267"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1226</w:t>
            </w:r>
          </w:p>
        </w:tc>
        <w:tc>
          <w:tcPr>
            <w:tcW w:w="1540" w:type="dxa"/>
            <w:tcBorders>
              <w:top w:val="nil"/>
              <w:left w:val="nil"/>
              <w:bottom w:val="nil"/>
              <w:right w:val="nil"/>
            </w:tcBorders>
            <w:shd w:val="clear" w:color="auto" w:fill="auto"/>
            <w:noWrap/>
            <w:vAlign w:val="bottom"/>
            <w:hideMark/>
          </w:tcPr>
          <w:p w14:paraId="338233BE"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$408,082.88</w:t>
            </w:r>
          </w:p>
        </w:tc>
        <w:tc>
          <w:tcPr>
            <w:tcW w:w="1734" w:type="dxa"/>
            <w:tcBorders>
              <w:top w:val="nil"/>
              <w:left w:val="nil"/>
              <w:bottom w:val="nil"/>
              <w:right w:val="nil"/>
            </w:tcBorders>
            <w:shd w:val="clear" w:color="auto" w:fill="auto"/>
            <w:noWrap/>
            <w:vAlign w:val="bottom"/>
            <w:hideMark/>
          </w:tcPr>
          <w:p w14:paraId="2507D033"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$168,378.17</w:t>
            </w:r>
          </w:p>
        </w:tc>
      </w:tr>
      <w:tr w:rsidR="00EB622B" w:rsidRPr="00776009" w14:paraId="731EF212" w14:textId="77777777" w:rsidTr="00E94D7E">
        <w:trPr>
          <w:trHeight w:val="300"/>
        </w:trPr>
        <w:tc>
          <w:tcPr>
            <w:tcW w:w="0" w:type="auto"/>
            <w:tcBorders>
              <w:top w:val="nil"/>
              <w:left w:val="nil"/>
              <w:bottom w:val="nil"/>
              <w:right w:val="nil"/>
            </w:tcBorders>
            <w:shd w:val="clear" w:color="auto" w:fill="auto"/>
            <w:noWrap/>
            <w:vAlign w:val="bottom"/>
            <w:hideMark/>
          </w:tcPr>
          <w:p w14:paraId="003E6881"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University of the Sunshine Coast</w:t>
            </w:r>
          </w:p>
        </w:tc>
        <w:tc>
          <w:tcPr>
            <w:tcW w:w="0" w:type="auto"/>
            <w:tcBorders>
              <w:top w:val="nil"/>
              <w:left w:val="nil"/>
              <w:bottom w:val="nil"/>
              <w:right w:val="nil"/>
            </w:tcBorders>
            <w:shd w:val="clear" w:color="auto" w:fill="auto"/>
            <w:noWrap/>
            <w:vAlign w:val="bottom"/>
            <w:hideMark/>
          </w:tcPr>
          <w:p w14:paraId="753BBAC2"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659</w:t>
            </w:r>
          </w:p>
        </w:tc>
        <w:tc>
          <w:tcPr>
            <w:tcW w:w="1540" w:type="dxa"/>
            <w:tcBorders>
              <w:top w:val="nil"/>
              <w:left w:val="nil"/>
              <w:bottom w:val="nil"/>
              <w:right w:val="nil"/>
            </w:tcBorders>
            <w:shd w:val="clear" w:color="auto" w:fill="auto"/>
            <w:noWrap/>
            <w:vAlign w:val="bottom"/>
            <w:hideMark/>
          </w:tcPr>
          <w:p w14:paraId="0F789087"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$57,130.68</w:t>
            </w:r>
          </w:p>
        </w:tc>
        <w:tc>
          <w:tcPr>
            <w:tcW w:w="1734" w:type="dxa"/>
            <w:tcBorders>
              <w:top w:val="nil"/>
              <w:left w:val="nil"/>
              <w:bottom w:val="nil"/>
              <w:right w:val="nil"/>
            </w:tcBorders>
            <w:shd w:val="clear" w:color="auto" w:fill="auto"/>
            <w:noWrap/>
            <w:vAlign w:val="bottom"/>
            <w:hideMark/>
          </w:tcPr>
          <w:p w14:paraId="1F4D4A0F"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$90,506.70</w:t>
            </w:r>
          </w:p>
        </w:tc>
      </w:tr>
      <w:tr w:rsidR="00EB622B" w:rsidRPr="00776009" w14:paraId="020B1B3A" w14:textId="77777777" w:rsidTr="00E94D7E">
        <w:trPr>
          <w:trHeight w:val="300"/>
        </w:trPr>
        <w:tc>
          <w:tcPr>
            <w:tcW w:w="0" w:type="auto"/>
            <w:tcBorders>
              <w:top w:val="nil"/>
              <w:left w:val="nil"/>
              <w:bottom w:val="nil"/>
              <w:right w:val="nil"/>
            </w:tcBorders>
            <w:shd w:val="clear" w:color="auto" w:fill="auto"/>
            <w:noWrap/>
            <w:vAlign w:val="bottom"/>
            <w:hideMark/>
          </w:tcPr>
          <w:p w14:paraId="05398777"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University of Western Australia</w:t>
            </w:r>
          </w:p>
        </w:tc>
        <w:tc>
          <w:tcPr>
            <w:tcW w:w="0" w:type="auto"/>
            <w:tcBorders>
              <w:top w:val="nil"/>
              <w:left w:val="nil"/>
              <w:bottom w:val="nil"/>
              <w:right w:val="nil"/>
            </w:tcBorders>
            <w:shd w:val="clear" w:color="auto" w:fill="auto"/>
            <w:noWrap/>
            <w:vAlign w:val="bottom"/>
            <w:hideMark/>
          </w:tcPr>
          <w:p w14:paraId="0B0E9B81"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1712</w:t>
            </w:r>
          </w:p>
        </w:tc>
        <w:tc>
          <w:tcPr>
            <w:tcW w:w="1540" w:type="dxa"/>
            <w:tcBorders>
              <w:top w:val="nil"/>
              <w:left w:val="nil"/>
              <w:bottom w:val="nil"/>
              <w:right w:val="nil"/>
            </w:tcBorders>
            <w:shd w:val="clear" w:color="auto" w:fill="auto"/>
            <w:noWrap/>
            <w:vAlign w:val="bottom"/>
            <w:hideMark/>
          </w:tcPr>
          <w:p w14:paraId="4A704AFA"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$120,384.64</w:t>
            </w:r>
          </w:p>
        </w:tc>
        <w:tc>
          <w:tcPr>
            <w:tcW w:w="1734" w:type="dxa"/>
            <w:tcBorders>
              <w:top w:val="nil"/>
              <w:left w:val="nil"/>
              <w:bottom w:val="nil"/>
              <w:right w:val="nil"/>
            </w:tcBorders>
            <w:shd w:val="clear" w:color="auto" w:fill="auto"/>
            <w:noWrap/>
            <w:vAlign w:val="bottom"/>
            <w:hideMark/>
          </w:tcPr>
          <w:p w14:paraId="50F92B9E"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$235,125.15</w:t>
            </w:r>
          </w:p>
        </w:tc>
      </w:tr>
      <w:tr w:rsidR="00EB622B" w:rsidRPr="00776009" w14:paraId="0638228F" w14:textId="77777777" w:rsidTr="00E94D7E">
        <w:trPr>
          <w:trHeight w:val="300"/>
        </w:trPr>
        <w:tc>
          <w:tcPr>
            <w:tcW w:w="0" w:type="auto"/>
            <w:tcBorders>
              <w:top w:val="nil"/>
              <w:left w:val="nil"/>
              <w:bottom w:val="nil"/>
              <w:right w:val="nil"/>
            </w:tcBorders>
            <w:shd w:val="clear" w:color="auto" w:fill="auto"/>
            <w:noWrap/>
            <w:vAlign w:val="bottom"/>
            <w:hideMark/>
          </w:tcPr>
          <w:p w14:paraId="7F2036D7"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University of Wollongong</w:t>
            </w:r>
          </w:p>
        </w:tc>
        <w:tc>
          <w:tcPr>
            <w:tcW w:w="0" w:type="auto"/>
            <w:tcBorders>
              <w:top w:val="nil"/>
              <w:left w:val="nil"/>
              <w:bottom w:val="nil"/>
              <w:right w:val="nil"/>
            </w:tcBorders>
            <w:shd w:val="clear" w:color="auto" w:fill="auto"/>
            <w:noWrap/>
            <w:vAlign w:val="bottom"/>
            <w:hideMark/>
          </w:tcPr>
          <w:p w14:paraId="11E4CDD9"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2041</w:t>
            </w:r>
          </w:p>
        </w:tc>
        <w:tc>
          <w:tcPr>
            <w:tcW w:w="1540" w:type="dxa"/>
            <w:tcBorders>
              <w:top w:val="nil"/>
              <w:left w:val="nil"/>
              <w:bottom w:val="nil"/>
              <w:right w:val="nil"/>
            </w:tcBorders>
            <w:shd w:val="clear" w:color="auto" w:fill="auto"/>
            <w:noWrap/>
            <w:vAlign w:val="bottom"/>
            <w:hideMark/>
          </w:tcPr>
          <w:p w14:paraId="11B9AC11"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$222,956.20</w:t>
            </w:r>
          </w:p>
        </w:tc>
        <w:tc>
          <w:tcPr>
            <w:tcW w:w="1734" w:type="dxa"/>
            <w:tcBorders>
              <w:top w:val="nil"/>
              <w:left w:val="nil"/>
              <w:bottom w:val="nil"/>
              <w:right w:val="nil"/>
            </w:tcBorders>
            <w:shd w:val="clear" w:color="auto" w:fill="auto"/>
            <w:noWrap/>
            <w:vAlign w:val="bottom"/>
            <w:hideMark/>
          </w:tcPr>
          <w:p w14:paraId="1B0ABE6D"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$280,309.83</w:t>
            </w:r>
          </w:p>
        </w:tc>
      </w:tr>
      <w:tr w:rsidR="00EB622B" w:rsidRPr="00776009" w14:paraId="6419D158" w14:textId="77777777" w:rsidTr="00E94D7E">
        <w:trPr>
          <w:trHeight w:val="300"/>
        </w:trPr>
        <w:tc>
          <w:tcPr>
            <w:tcW w:w="0" w:type="auto"/>
            <w:tcBorders>
              <w:top w:val="nil"/>
              <w:left w:val="nil"/>
              <w:bottom w:val="nil"/>
              <w:right w:val="nil"/>
            </w:tcBorders>
            <w:shd w:val="clear" w:color="auto" w:fill="auto"/>
            <w:noWrap/>
            <w:vAlign w:val="bottom"/>
            <w:hideMark/>
          </w:tcPr>
          <w:p w14:paraId="32927BF3"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Victoria University</w:t>
            </w:r>
          </w:p>
        </w:tc>
        <w:tc>
          <w:tcPr>
            <w:tcW w:w="0" w:type="auto"/>
            <w:tcBorders>
              <w:top w:val="nil"/>
              <w:left w:val="nil"/>
              <w:bottom w:val="nil"/>
              <w:right w:val="nil"/>
            </w:tcBorders>
            <w:shd w:val="clear" w:color="auto" w:fill="auto"/>
            <w:noWrap/>
            <w:vAlign w:val="bottom"/>
            <w:hideMark/>
          </w:tcPr>
          <w:p w14:paraId="38A9F55D"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788</w:t>
            </w:r>
          </w:p>
        </w:tc>
        <w:tc>
          <w:tcPr>
            <w:tcW w:w="1540" w:type="dxa"/>
            <w:tcBorders>
              <w:top w:val="nil"/>
              <w:left w:val="nil"/>
              <w:bottom w:val="nil"/>
              <w:right w:val="nil"/>
            </w:tcBorders>
            <w:shd w:val="clear" w:color="auto" w:fill="auto"/>
            <w:noWrap/>
            <w:vAlign w:val="bottom"/>
            <w:hideMark/>
          </w:tcPr>
          <w:p w14:paraId="6B36D3B0"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$70,931.51</w:t>
            </w:r>
          </w:p>
        </w:tc>
        <w:tc>
          <w:tcPr>
            <w:tcW w:w="1734" w:type="dxa"/>
            <w:tcBorders>
              <w:top w:val="nil"/>
              <w:left w:val="nil"/>
              <w:bottom w:val="nil"/>
              <w:right w:val="nil"/>
            </w:tcBorders>
            <w:shd w:val="clear" w:color="auto" w:fill="auto"/>
            <w:noWrap/>
            <w:vAlign w:val="bottom"/>
            <w:hideMark/>
          </w:tcPr>
          <w:p w14:paraId="3163FE26"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$108,223.49</w:t>
            </w:r>
          </w:p>
        </w:tc>
      </w:tr>
      <w:tr w:rsidR="00EB622B" w:rsidRPr="00776009" w14:paraId="40C52B35" w14:textId="77777777" w:rsidTr="00E94D7E">
        <w:trPr>
          <w:trHeight w:val="300"/>
        </w:trPr>
        <w:tc>
          <w:tcPr>
            <w:tcW w:w="0" w:type="auto"/>
            <w:tcBorders>
              <w:top w:val="nil"/>
              <w:left w:val="nil"/>
              <w:bottom w:val="nil"/>
              <w:right w:val="nil"/>
            </w:tcBorders>
            <w:shd w:val="clear" w:color="auto" w:fill="auto"/>
            <w:noWrap/>
            <w:vAlign w:val="bottom"/>
            <w:hideMark/>
          </w:tcPr>
          <w:p w14:paraId="4D80F921" w14:textId="77777777" w:rsidR="00EB622B" w:rsidRPr="00776009" w:rsidRDefault="00EB622B" w:rsidP="00EB622B">
            <w:pPr>
              <w:spacing w:after="0" w:line="240" w:lineRule="auto"/>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Western Sydney University</w:t>
            </w:r>
          </w:p>
        </w:tc>
        <w:tc>
          <w:tcPr>
            <w:tcW w:w="0" w:type="auto"/>
            <w:tcBorders>
              <w:top w:val="nil"/>
              <w:left w:val="nil"/>
              <w:bottom w:val="nil"/>
              <w:right w:val="nil"/>
            </w:tcBorders>
            <w:shd w:val="clear" w:color="auto" w:fill="auto"/>
            <w:noWrap/>
            <w:vAlign w:val="bottom"/>
            <w:hideMark/>
          </w:tcPr>
          <w:p w14:paraId="67E250DC"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1426</w:t>
            </w:r>
          </w:p>
        </w:tc>
        <w:tc>
          <w:tcPr>
            <w:tcW w:w="1540" w:type="dxa"/>
            <w:tcBorders>
              <w:top w:val="nil"/>
              <w:left w:val="nil"/>
              <w:bottom w:val="nil"/>
              <w:right w:val="nil"/>
            </w:tcBorders>
            <w:shd w:val="clear" w:color="auto" w:fill="auto"/>
            <w:noWrap/>
            <w:vAlign w:val="bottom"/>
            <w:hideMark/>
          </w:tcPr>
          <w:p w14:paraId="7044FB02"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$823,183.54</w:t>
            </w:r>
          </w:p>
        </w:tc>
        <w:tc>
          <w:tcPr>
            <w:tcW w:w="1734" w:type="dxa"/>
            <w:tcBorders>
              <w:top w:val="nil"/>
              <w:left w:val="nil"/>
              <w:bottom w:val="nil"/>
              <w:right w:val="nil"/>
            </w:tcBorders>
            <w:shd w:val="clear" w:color="auto" w:fill="auto"/>
            <w:noWrap/>
            <w:vAlign w:val="bottom"/>
            <w:hideMark/>
          </w:tcPr>
          <w:p w14:paraId="215E7BEE" w14:textId="77777777" w:rsidR="00EB622B" w:rsidRPr="00776009" w:rsidRDefault="00EB622B" w:rsidP="00EB622B">
            <w:pPr>
              <w:spacing w:after="0" w:line="240" w:lineRule="auto"/>
              <w:jc w:val="right"/>
              <w:rPr>
                <w:rFonts w:ascii="Calibri" w:eastAsia="Times New Roman" w:hAnsi="Calibri" w:cs="Calibri"/>
                <w:color w:val="000000"/>
                <w:sz w:val="20"/>
                <w:szCs w:val="20"/>
                <w:lang w:eastAsia="en-AU"/>
              </w:rPr>
            </w:pPr>
            <w:r w:rsidRPr="00776009">
              <w:rPr>
                <w:rFonts w:ascii="Calibri" w:eastAsia="Times New Roman" w:hAnsi="Calibri" w:cs="Calibri"/>
                <w:color w:val="000000"/>
                <w:sz w:val="20"/>
                <w:szCs w:val="20"/>
                <w:lang w:eastAsia="en-AU"/>
              </w:rPr>
              <w:t>$195,846.06</w:t>
            </w:r>
          </w:p>
        </w:tc>
      </w:tr>
      <w:tr w:rsidR="00EB622B" w:rsidRPr="00776009" w14:paraId="05CAC566" w14:textId="77777777" w:rsidTr="00E94D7E">
        <w:trPr>
          <w:trHeight w:val="300"/>
        </w:trPr>
        <w:tc>
          <w:tcPr>
            <w:tcW w:w="0" w:type="auto"/>
            <w:tcBorders>
              <w:top w:val="nil"/>
              <w:left w:val="nil"/>
              <w:bottom w:val="nil"/>
              <w:right w:val="nil"/>
            </w:tcBorders>
            <w:shd w:val="clear" w:color="auto" w:fill="auto"/>
            <w:noWrap/>
            <w:vAlign w:val="bottom"/>
            <w:hideMark/>
          </w:tcPr>
          <w:p w14:paraId="6717709C" w14:textId="77777777" w:rsidR="00EB622B" w:rsidRPr="00776009" w:rsidRDefault="00EB622B" w:rsidP="00EB622B">
            <w:pPr>
              <w:spacing w:after="0" w:line="240" w:lineRule="auto"/>
              <w:rPr>
                <w:rFonts w:ascii="Calibri" w:eastAsia="Times New Roman" w:hAnsi="Calibri" w:cs="Calibri"/>
                <w:b/>
                <w:bCs/>
                <w:color w:val="000000"/>
                <w:sz w:val="20"/>
                <w:szCs w:val="20"/>
                <w:lang w:eastAsia="en-AU"/>
              </w:rPr>
            </w:pPr>
            <w:r w:rsidRPr="00776009">
              <w:rPr>
                <w:rFonts w:ascii="Calibri" w:eastAsia="Times New Roman" w:hAnsi="Calibri" w:cs="Calibri"/>
                <w:b/>
                <w:bCs/>
                <w:color w:val="000000"/>
                <w:sz w:val="20"/>
                <w:szCs w:val="20"/>
                <w:lang w:eastAsia="en-AU"/>
              </w:rPr>
              <w:t>Total</w:t>
            </w:r>
          </w:p>
        </w:tc>
        <w:tc>
          <w:tcPr>
            <w:tcW w:w="0" w:type="auto"/>
            <w:tcBorders>
              <w:top w:val="nil"/>
              <w:left w:val="nil"/>
              <w:bottom w:val="nil"/>
              <w:right w:val="nil"/>
            </w:tcBorders>
            <w:shd w:val="clear" w:color="auto" w:fill="auto"/>
            <w:noWrap/>
            <w:vAlign w:val="bottom"/>
            <w:hideMark/>
          </w:tcPr>
          <w:p w14:paraId="09480125" w14:textId="77777777" w:rsidR="00EB622B" w:rsidRPr="00776009" w:rsidRDefault="00EB622B" w:rsidP="00EB622B">
            <w:pPr>
              <w:spacing w:after="0" w:line="240" w:lineRule="auto"/>
              <w:jc w:val="right"/>
              <w:rPr>
                <w:rFonts w:ascii="Calibri" w:eastAsia="Times New Roman" w:hAnsi="Calibri" w:cs="Calibri"/>
                <w:b/>
                <w:bCs/>
                <w:color w:val="000000"/>
                <w:sz w:val="20"/>
                <w:szCs w:val="20"/>
                <w:lang w:eastAsia="en-AU"/>
              </w:rPr>
            </w:pPr>
            <w:r w:rsidRPr="00776009">
              <w:rPr>
                <w:rFonts w:ascii="Calibri" w:eastAsia="Times New Roman" w:hAnsi="Calibri" w:cs="Calibri"/>
                <w:b/>
                <w:bCs/>
                <w:color w:val="000000"/>
                <w:sz w:val="20"/>
                <w:szCs w:val="20"/>
                <w:lang w:eastAsia="en-AU"/>
              </w:rPr>
              <w:t>51568</w:t>
            </w:r>
          </w:p>
        </w:tc>
        <w:tc>
          <w:tcPr>
            <w:tcW w:w="1540" w:type="dxa"/>
            <w:tcBorders>
              <w:top w:val="nil"/>
              <w:left w:val="nil"/>
              <w:bottom w:val="nil"/>
              <w:right w:val="nil"/>
            </w:tcBorders>
            <w:shd w:val="clear" w:color="auto" w:fill="auto"/>
            <w:noWrap/>
            <w:vAlign w:val="bottom"/>
            <w:hideMark/>
          </w:tcPr>
          <w:p w14:paraId="2A608E35" w14:textId="77777777" w:rsidR="00EB622B" w:rsidRPr="00776009" w:rsidRDefault="00EB622B" w:rsidP="00EB622B">
            <w:pPr>
              <w:spacing w:after="0" w:line="240" w:lineRule="auto"/>
              <w:jc w:val="right"/>
              <w:rPr>
                <w:rFonts w:ascii="Calibri" w:eastAsia="Times New Roman" w:hAnsi="Calibri" w:cs="Calibri"/>
                <w:b/>
                <w:bCs/>
                <w:color w:val="000000"/>
                <w:sz w:val="20"/>
                <w:szCs w:val="20"/>
                <w:lang w:eastAsia="en-AU"/>
              </w:rPr>
            </w:pPr>
            <w:r w:rsidRPr="00776009">
              <w:rPr>
                <w:rFonts w:ascii="Calibri" w:eastAsia="Times New Roman" w:hAnsi="Calibri" w:cs="Calibri"/>
                <w:b/>
                <w:bCs/>
                <w:color w:val="000000"/>
                <w:sz w:val="20"/>
                <w:szCs w:val="20"/>
                <w:lang w:eastAsia="en-AU"/>
              </w:rPr>
              <w:t>$7,082,321.00</w:t>
            </w:r>
          </w:p>
        </w:tc>
        <w:tc>
          <w:tcPr>
            <w:tcW w:w="1734" w:type="dxa"/>
            <w:tcBorders>
              <w:top w:val="nil"/>
              <w:left w:val="nil"/>
              <w:bottom w:val="nil"/>
              <w:right w:val="nil"/>
            </w:tcBorders>
            <w:shd w:val="clear" w:color="auto" w:fill="auto"/>
            <w:noWrap/>
            <w:vAlign w:val="bottom"/>
            <w:hideMark/>
          </w:tcPr>
          <w:p w14:paraId="553C4FB5" w14:textId="77777777" w:rsidR="00EB622B" w:rsidRPr="00776009" w:rsidRDefault="00EB622B" w:rsidP="00EB622B">
            <w:pPr>
              <w:spacing w:after="0" w:line="240" w:lineRule="auto"/>
              <w:jc w:val="right"/>
              <w:rPr>
                <w:rFonts w:ascii="Calibri" w:eastAsia="Times New Roman" w:hAnsi="Calibri" w:cs="Calibri"/>
                <w:b/>
                <w:bCs/>
                <w:color w:val="000000"/>
                <w:sz w:val="20"/>
                <w:szCs w:val="20"/>
                <w:lang w:eastAsia="en-AU"/>
              </w:rPr>
            </w:pPr>
            <w:r w:rsidRPr="00776009">
              <w:rPr>
                <w:rFonts w:ascii="Calibri" w:eastAsia="Times New Roman" w:hAnsi="Calibri" w:cs="Calibri"/>
                <w:b/>
                <w:bCs/>
                <w:color w:val="000000"/>
                <w:sz w:val="20"/>
                <w:szCs w:val="20"/>
                <w:lang w:eastAsia="en-AU"/>
              </w:rPr>
              <w:t>$7,082,321.00</w:t>
            </w:r>
          </w:p>
        </w:tc>
      </w:tr>
    </w:tbl>
    <w:p w14:paraId="09A56060" w14:textId="77777777" w:rsidR="00EB622B" w:rsidRPr="00776009" w:rsidRDefault="00EB622B" w:rsidP="00151105"/>
    <w:p w14:paraId="726C37FA" w14:textId="77777777" w:rsidR="00F97472" w:rsidRPr="00776009" w:rsidRDefault="00F97472" w:rsidP="00151105"/>
    <w:p w14:paraId="6ACA7E2E" w14:textId="77777777" w:rsidR="00F97472" w:rsidRPr="00776009" w:rsidRDefault="00F97472" w:rsidP="00151105">
      <w:pPr>
        <w:sectPr w:rsidR="00F97472" w:rsidRPr="00776009" w:rsidSect="004050C1">
          <w:pgSz w:w="11906" w:h="16838"/>
          <w:pgMar w:top="1985" w:right="1440" w:bottom="1440" w:left="1440" w:header="708" w:footer="1011" w:gutter="0"/>
          <w:cols w:space="708"/>
          <w:docGrid w:linePitch="360"/>
        </w:sectPr>
      </w:pPr>
    </w:p>
    <w:p w14:paraId="3CAC5793" w14:textId="7E2385D5" w:rsidR="00F97472" w:rsidRPr="00776009" w:rsidRDefault="00CA1134" w:rsidP="00151105">
      <w:r w:rsidRPr="00F25990">
        <w:rPr>
          <w:noProof/>
          <w:lang w:eastAsia="en-AU"/>
        </w:rPr>
        <w:lastRenderedPageBreak/>
        <w:drawing>
          <wp:inline distT="0" distB="0" distL="0" distR="0" wp14:anchorId="33D22B33" wp14:editId="2013D8CE">
            <wp:extent cx="9605176" cy="4023360"/>
            <wp:effectExtent l="0" t="0" r="1524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F97472" w:rsidRPr="00776009" w:rsidSect="00F97472">
      <w:pgSz w:w="16838" w:h="11906" w:orient="landscape"/>
      <w:pgMar w:top="1440" w:right="1985" w:bottom="1440" w:left="1440"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D4E6B" w14:textId="77777777" w:rsidR="00655F1B" w:rsidRDefault="00655F1B" w:rsidP="00130923">
      <w:pPr>
        <w:spacing w:after="0" w:line="240" w:lineRule="auto"/>
      </w:pPr>
      <w:r>
        <w:separator/>
      </w:r>
    </w:p>
  </w:endnote>
  <w:endnote w:type="continuationSeparator" w:id="0">
    <w:p w14:paraId="37D18576" w14:textId="77777777" w:rsidR="00655F1B" w:rsidRDefault="00655F1B"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52E20" w14:textId="77777777" w:rsidR="007A4C42" w:rsidRDefault="007A4C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ABD0" w14:textId="77777777" w:rsidR="00655F1B" w:rsidRDefault="00655F1B" w:rsidP="003242B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3986D" w14:textId="77777777" w:rsidR="007A4C42" w:rsidRDefault="007A4C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7437A" w14:textId="77777777" w:rsidR="00655F1B" w:rsidRDefault="002B311E" w:rsidP="00A73406">
    <w:pPr>
      <w:pStyle w:val="Footer"/>
      <w:tabs>
        <w:tab w:val="clear" w:pos="9026"/>
        <w:tab w:val="right" w:pos="8647"/>
      </w:tabs>
      <w:ind w:firstLine="720"/>
      <w:jc w:val="right"/>
    </w:pPr>
    <w:sdt>
      <w:sdtPr>
        <w:id w:val="-1093016145"/>
        <w:docPartObj>
          <w:docPartGallery w:val="Page Numbers (Bottom of Page)"/>
          <w:docPartUnique/>
        </w:docPartObj>
      </w:sdtPr>
      <w:sdtEndPr>
        <w:rPr>
          <w:noProof/>
        </w:rPr>
      </w:sdtEndPr>
      <w:sdtContent>
        <w:r w:rsidR="00655F1B">
          <w:fldChar w:fldCharType="begin"/>
        </w:r>
        <w:r w:rsidR="00655F1B">
          <w:instrText xml:space="preserve"> PAGE   \* MERGEFORMAT </w:instrText>
        </w:r>
        <w:r w:rsidR="00655F1B">
          <w:fldChar w:fldCharType="separate"/>
        </w:r>
        <w:r>
          <w:rPr>
            <w:noProof/>
          </w:rPr>
          <w:t>7</w:t>
        </w:r>
        <w:r w:rsidR="00655F1B">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B2AFD" w14:textId="77777777" w:rsidR="00655F1B" w:rsidRDefault="002B311E" w:rsidP="00A73406">
    <w:pPr>
      <w:pStyle w:val="Footer"/>
      <w:tabs>
        <w:tab w:val="clear" w:pos="9026"/>
        <w:tab w:val="right" w:pos="8647"/>
      </w:tabs>
      <w:ind w:firstLine="720"/>
      <w:jc w:val="right"/>
    </w:pPr>
    <w:sdt>
      <w:sdtPr>
        <w:id w:val="-1039049575"/>
        <w:docPartObj>
          <w:docPartGallery w:val="Page Numbers (Bottom of Page)"/>
          <w:docPartUnique/>
        </w:docPartObj>
      </w:sdtPr>
      <w:sdtEndPr>
        <w:rPr>
          <w:noProof/>
        </w:rPr>
      </w:sdtEndPr>
      <w:sdtContent>
        <w:r w:rsidR="00655F1B">
          <w:fldChar w:fldCharType="begin"/>
        </w:r>
        <w:r w:rsidR="00655F1B">
          <w:instrText xml:space="preserve"> PAGE   \* MERGEFORMAT </w:instrText>
        </w:r>
        <w:r w:rsidR="00655F1B">
          <w:fldChar w:fldCharType="separate"/>
        </w:r>
        <w:r>
          <w:rPr>
            <w:noProof/>
          </w:rPr>
          <w:t>23</w:t>
        </w:r>
        <w:r w:rsidR="00655F1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A2F90" w14:textId="77777777" w:rsidR="00655F1B" w:rsidRDefault="00655F1B" w:rsidP="00130923">
      <w:pPr>
        <w:spacing w:after="0" w:line="240" w:lineRule="auto"/>
      </w:pPr>
      <w:r>
        <w:separator/>
      </w:r>
    </w:p>
  </w:footnote>
  <w:footnote w:type="continuationSeparator" w:id="0">
    <w:p w14:paraId="031F4DD4" w14:textId="77777777" w:rsidR="00655F1B" w:rsidRDefault="00655F1B" w:rsidP="00130923">
      <w:pPr>
        <w:spacing w:after="0" w:line="240" w:lineRule="auto"/>
      </w:pPr>
      <w:r>
        <w:continuationSeparator/>
      </w:r>
    </w:p>
  </w:footnote>
  <w:footnote w:id="1">
    <w:p w14:paraId="1A45CFAF" w14:textId="77777777" w:rsidR="00655F1B" w:rsidRDefault="00655F1B" w:rsidP="002F4C9C">
      <w:pPr>
        <w:pStyle w:val="FootnoteText"/>
      </w:pPr>
      <w:r>
        <w:rPr>
          <w:rStyle w:val="FootnoteReference"/>
        </w:rPr>
        <w:footnoteRef/>
      </w:r>
      <w:r>
        <w:t xml:space="preserve"> Universal design refers to the ‘design of products and environments to be usable by all people to the greatest extent possible, without the need for adaptation or of specialised design’. More information is available from ADCET at </w:t>
      </w:r>
      <w:hyperlink r:id="rId1" w:history="1">
        <w:r w:rsidRPr="00145F9C">
          <w:rPr>
            <w:rStyle w:val="Hyperlink"/>
          </w:rPr>
          <w:t>http://www.adcet.edu.au/disability-practitioner/course-design-and-implementation/universal-design/</w:t>
        </w:r>
      </w:hyperlink>
      <w:r>
        <w:t xml:space="preserve">. </w:t>
      </w:r>
    </w:p>
  </w:footnote>
  <w:footnote w:id="2">
    <w:p w14:paraId="6B77F3EA" w14:textId="7BAD4B86" w:rsidR="00655F1B" w:rsidRDefault="00655F1B" w:rsidP="00D46B92">
      <w:pPr>
        <w:pStyle w:val="FootnoteText"/>
      </w:pPr>
      <w:r>
        <w:rPr>
          <w:rStyle w:val="FootnoteReference"/>
        </w:rPr>
        <w:footnoteRef/>
      </w:r>
      <w:r>
        <w:t xml:space="preserve"> Listserv is a closed email group with a subscription base of over 500 tertiary disability practitioners. It is a means by which disability practitioners can share best practice ideas and knowledge, and discuss relevant issues.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5C928" w14:textId="77777777" w:rsidR="007A4C42" w:rsidRDefault="007A4C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A66B4" w14:textId="77777777" w:rsidR="007A4C42" w:rsidRDefault="007A4C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4D2E" w14:textId="77777777" w:rsidR="007A4C42" w:rsidRDefault="007A4C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B2BDD" w14:textId="38DECCFF" w:rsidR="00655F1B" w:rsidRDefault="00655F1B" w:rsidP="00560CA0">
    <w:pPr>
      <w:pStyle w:val="Header"/>
      <w:jc w:val="right"/>
    </w:pPr>
    <w:r>
      <w:t>Disability Support Program - Consultation on Proposed Changes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BE10D" w14:textId="77777777" w:rsidR="00655F1B" w:rsidRDefault="00655F1B" w:rsidP="00560CA0">
    <w:pPr>
      <w:pStyle w:val="Header"/>
      <w:jc w:val="right"/>
    </w:pPr>
    <w:r>
      <w:t>Disability Support Program - Consultation on Proposed Changes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8A8"/>
    <w:multiLevelType w:val="hybridMultilevel"/>
    <w:tmpl w:val="695C51DC"/>
    <w:lvl w:ilvl="0" w:tplc="1CF091CE">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27605934"/>
    <w:multiLevelType w:val="hybridMultilevel"/>
    <w:tmpl w:val="3F62F7D4"/>
    <w:lvl w:ilvl="0" w:tplc="561E4BA4">
      <w:numFmt w:val="bullet"/>
      <w:lvlText w:val="-"/>
      <w:lvlJc w:val="left"/>
      <w:pPr>
        <w:ind w:left="720" w:hanging="360"/>
      </w:pPr>
      <w:rPr>
        <w:rFonts w:ascii="Calibri" w:eastAsiaTheme="minorEastAsia" w:hAnsi="Calibri"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651D92"/>
    <w:multiLevelType w:val="hybridMultilevel"/>
    <w:tmpl w:val="695C51DC"/>
    <w:lvl w:ilvl="0" w:tplc="1CF091CE">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
    <w:nsid w:val="3ECF4164"/>
    <w:multiLevelType w:val="hybridMultilevel"/>
    <w:tmpl w:val="5BA8D2E4"/>
    <w:lvl w:ilvl="0" w:tplc="EE7ED606">
      <w:numFmt w:val="bullet"/>
      <w:lvlText w:val="-"/>
      <w:lvlJc w:val="left"/>
      <w:pPr>
        <w:ind w:left="720" w:hanging="360"/>
      </w:pPr>
      <w:rPr>
        <w:rFonts w:ascii="Calibri" w:eastAsiaTheme="minorEastAsia" w:hAnsi="Calibri" w:cstheme="minorBidi" w:hint="default"/>
        <w: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17A217B"/>
    <w:multiLevelType w:val="hybridMultilevel"/>
    <w:tmpl w:val="695C51DC"/>
    <w:lvl w:ilvl="0" w:tplc="1CF091CE">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579B0BA9"/>
    <w:multiLevelType w:val="multilevel"/>
    <w:tmpl w:val="F9142C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1867DE0"/>
    <w:multiLevelType w:val="hybridMultilevel"/>
    <w:tmpl w:val="695C51DC"/>
    <w:lvl w:ilvl="0" w:tplc="1CF091CE">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nsid w:val="7E142434"/>
    <w:multiLevelType w:val="hybridMultilevel"/>
    <w:tmpl w:val="1E7A8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0"/>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9"/>
  </w:num>
  <w:num w:numId="13">
    <w:abstractNumId w:val="4"/>
  </w:num>
  <w:num w:numId="14">
    <w:abstractNumId w:val="2"/>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52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ca114a3e-b47e-4181-af22-084e2b69692f"/>
    <w:docVar w:name="_AMO_XmlVersion" w:val="Empty"/>
  </w:docVars>
  <w:rsids>
    <w:rsidRoot w:val="00C10C19"/>
    <w:rsid w:val="00002721"/>
    <w:rsid w:val="00003BFD"/>
    <w:rsid w:val="00007E0C"/>
    <w:rsid w:val="00013E5F"/>
    <w:rsid w:val="00016FF9"/>
    <w:rsid w:val="00024E24"/>
    <w:rsid w:val="00034EAA"/>
    <w:rsid w:val="00043C22"/>
    <w:rsid w:val="00045B1F"/>
    <w:rsid w:val="00047629"/>
    <w:rsid w:val="0004797B"/>
    <w:rsid w:val="000518CC"/>
    <w:rsid w:val="0005563B"/>
    <w:rsid w:val="00057F54"/>
    <w:rsid w:val="00076864"/>
    <w:rsid w:val="000843D9"/>
    <w:rsid w:val="000861A6"/>
    <w:rsid w:val="000930A4"/>
    <w:rsid w:val="000A7872"/>
    <w:rsid w:val="000B3DC0"/>
    <w:rsid w:val="000D2E9B"/>
    <w:rsid w:val="000D7FD3"/>
    <w:rsid w:val="000E58C3"/>
    <w:rsid w:val="000E7CB5"/>
    <w:rsid w:val="000E7E7B"/>
    <w:rsid w:val="000F1AD0"/>
    <w:rsid w:val="000F3BA2"/>
    <w:rsid w:val="000F5C32"/>
    <w:rsid w:val="00105654"/>
    <w:rsid w:val="00112CF6"/>
    <w:rsid w:val="001175BF"/>
    <w:rsid w:val="00123C25"/>
    <w:rsid w:val="00130923"/>
    <w:rsid w:val="001336B4"/>
    <w:rsid w:val="001414F3"/>
    <w:rsid w:val="00143F28"/>
    <w:rsid w:val="00143FCD"/>
    <w:rsid w:val="001457C5"/>
    <w:rsid w:val="00150962"/>
    <w:rsid w:val="00151105"/>
    <w:rsid w:val="0015335D"/>
    <w:rsid w:val="001643AA"/>
    <w:rsid w:val="001649AE"/>
    <w:rsid w:val="00175F81"/>
    <w:rsid w:val="001900FF"/>
    <w:rsid w:val="00192415"/>
    <w:rsid w:val="001955D1"/>
    <w:rsid w:val="00197AAB"/>
    <w:rsid w:val="001A1312"/>
    <w:rsid w:val="001A4656"/>
    <w:rsid w:val="001B20C3"/>
    <w:rsid w:val="001B3BC0"/>
    <w:rsid w:val="001B6467"/>
    <w:rsid w:val="001B7C3D"/>
    <w:rsid w:val="001C0A13"/>
    <w:rsid w:val="001D0214"/>
    <w:rsid w:val="001D0A94"/>
    <w:rsid w:val="001D5005"/>
    <w:rsid w:val="001D543A"/>
    <w:rsid w:val="001E1AAC"/>
    <w:rsid w:val="001E73B5"/>
    <w:rsid w:val="001F0251"/>
    <w:rsid w:val="001F39ED"/>
    <w:rsid w:val="001F580D"/>
    <w:rsid w:val="001F6C4B"/>
    <w:rsid w:val="00201661"/>
    <w:rsid w:val="00223EB1"/>
    <w:rsid w:val="00236917"/>
    <w:rsid w:val="00243D6B"/>
    <w:rsid w:val="00247CA5"/>
    <w:rsid w:val="0025226F"/>
    <w:rsid w:val="00254206"/>
    <w:rsid w:val="0025620C"/>
    <w:rsid w:val="002606F9"/>
    <w:rsid w:val="0026600C"/>
    <w:rsid w:val="00266C93"/>
    <w:rsid w:val="00274735"/>
    <w:rsid w:val="00276BC6"/>
    <w:rsid w:val="00290E5E"/>
    <w:rsid w:val="002927B4"/>
    <w:rsid w:val="00294B32"/>
    <w:rsid w:val="002A5445"/>
    <w:rsid w:val="002B06E6"/>
    <w:rsid w:val="002B311E"/>
    <w:rsid w:val="002C339A"/>
    <w:rsid w:val="002C3AA1"/>
    <w:rsid w:val="002C7A53"/>
    <w:rsid w:val="002D271F"/>
    <w:rsid w:val="002D54A6"/>
    <w:rsid w:val="002D6386"/>
    <w:rsid w:val="002D72F2"/>
    <w:rsid w:val="002F1999"/>
    <w:rsid w:val="002F3CCD"/>
    <w:rsid w:val="002F4C9C"/>
    <w:rsid w:val="003009B1"/>
    <w:rsid w:val="0030104E"/>
    <w:rsid w:val="00301E0D"/>
    <w:rsid w:val="003027B2"/>
    <w:rsid w:val="00305B35"/>
    <w:rsid w:val="00311215"/>
    <w:rsid w:val="0031476C"/>
    <w:rsid w:val="0031507A"/>
    <w:rsid w:val="003155A7"/>
    <w:rsid w:val="00315CE1"/>
    <w:rsid w:val="003166C5"/>
    <w:rsid w:val="0031708B"/>
    <w:rsid w:val="00323224"/>
    <w:rsid w:val="003242B9"/>
    <w:rsid w:val="00326719"/>
    <w:rsid w:val="003401FD"/>
    <w:rsid w:val="0035025D"/>
    <w:rsid w:val="00357014"/>
    <w:rsid w:val="0035780E"/>
    <w:rsid w:val="003608A7"/>
    <w:rsid w:val="00361FBB"/>
    <w:rsid w:val="003653BC"/>
    <w:rsid w:val="0036722B"/>
    <w:rsid w:val="003733CB"/>
    <w:rsid w:val="00375873"/>
    <w:rsid w:val="00376F4E"/>
    <w:rsid w:val="00387EC3"/>
    <w:rsid w:val="00393A6B"/>
    <w:rsid w:val="00395DE4"/>
    <w:rsid w:val="003979FC"/>
    <w:rsid w:val="003A5A1F"/>
    <w:rsid w:val="003A681B"/>
    <w:rsid w:val="003A6EC3"/>
    <w:rsid w:val="003A70C4"/>
    <w:rsid w:val="003A78D4"/>
    <w:rsid w:val="003B46B3"/>
    <w:rsid w:val="003C6177"/>
    <w:rsid w:val="003C6D6A"/>
    <w:rsid w:val="003D35C4"/>
    <w:rsid w:val="003D67FC"/>
    <w:rsid w:val="003D6AE4"/>
    <w:rsid w:val="003E5402"/>
    <w:rsid w:val="003E74A3"/>
    <w:rsid w:val="003F08CC"/>
    <w:rsid w:val="004050C1"/>
    <w:rsid w:val="00406E5A"/>
    <w:rsid w:val="0041098C"/>
    <w:rsid w:val="00412C88"/>
    <w:rsid w:val="004204E4"/>
    <w:rsid w:val="00420CF8"/>
    <w:rsid w:val="004213AF"/>
    <w:rsid w:val="00427C91"/>
    <w:rsid w:val="00454B2F"/>
    <w:rsid w:val="00455B34"/>
    <w:rsid w:val="004651A4"/>
    <w:rsid w:val="00467454"/>
    <w:rsid w:val="0047687A"/>
    <w:rsid w:val="00481F02"/>
    <w:rsid w:val="00482291"/>
    <w:rsid w:val="0048762C"/>
    <w:rsid w:val="004950D6"/>
    <w:rsid w:val="00495910"/>
    <w:rsid w:val="004A0C69"/>
    <w:rsid w:val="004B256F"/>
    <w:rsid w:val="004B45B2"/>
    <w:rsid w:val="004B5BA2"/>
    <w:rsid w:val="004C6016"/>
    <w:rsid w:val="004D400E"/>
    <w:rsid w:val="004E01D1"/>
    <w:rsid w:val="004E2271"/>
    <w:rsid w:val="00505E5E"/>
    <w:rsid w:val="005113B6"/>
    <w:rsid w:val="00514313"/>
    <w:rsid w:val="00521654"/>
    <w:rsid w:val="005309EC"/>
    <w:rsid w:val="00531817"/>
    <w:rsid w:val="005423C1"/>
    <w:rsid w:val="00550FEF"/>
    <w:rsid w:val="005537BB"/>
    <w:rsid w:val="00560CA0"/>
    <w:rsid w:val="005624F3"/>
    <w:rsid w:val="00565448"/>
    <w:rsid w:val="005700B3"/>
    <w:rsid w:val="0057112A"/>
    <w:rsid w:val="00571F4B"/>
    <w:rsid w:val="005739E7"/>
    <w:rsid w:val="00580488"/>
    <w:rsid w:val="005811EF"/>
    <w:rsid w:val="00584545"/>
    <w:rsid w:val="00593A87"/>
    <w:rsid w:val="00593B80"/>
    <w:rsid w:val="005950A9"/>
    <w:rsid w:val="005A16D5"/>
    <w:rsid w:val="005A6F3C"/>
    <w:rsid w:val="005B0878"/>
    <w:rsid w:val="005B1C8B"/>
    <w:rsid w:val="005C15C0"/>
    <w:rsid w:val="005C1EC1"/>
    <w:rsid w:val="005D49D1"/>
    <w:rsid w:val="005D6A89"/>
    <w:rsid w:val="005E3100"/>
    <w:rsid w:val="005F3485"/>
    <w:rsid w:val="00604A24"/>
    <w:rsid w:val="00610654"/>
    <w:rsid w:val="00614BB9"/>
    <w:rsid w:val="00620F83"/>
    <w:rsid w:val="006318B9"/>
    <w:rsid w:val="00631ED2"/>
    <w:rsid w:val="00635920"/>
    <w:rsid w:val="00655F1B"/>
    <w:rsid w:val="00667124"/>
    <w:rsid w:val="006673D9"/>
    <w:rsid w:val="00667E55"/>
    <w:rsid w:val="0067026C"/>
    <w:rsid w:val="006737BE"/>
    <w:rsid w:val="00681F96"/>
    <w:rsid w:val="0068490D"/>
    <w:rsid w:val="0068524A"/>
    <w:rsid w:val="00686AD5"/>
    <w:rsid w:val="0069214E"/>
    <w:rsid w:val="006978C8"/>
    <w:rsid w:val="006A22B0"/>
    <w:rsid w:val="006B5D72"/>
    <w:rsid w:val="006C1566"/>
    <w:rsid w:val="006C6AFC"/>
    <w:rsid w:val="006D1F11"/>
    <w:rsid w:val="006D7DAE"/>
    <w:rsid w:val="006E018A"/>
    <w:rsid w:val="006E2D49"/>
    <w:rsid w:val="006F2D1F"/>
    <w:rsid w:val="006F372C"/>
    <w:rsid w:val="006F40E5"/>
    <w:rsid w:val="00700029"/>
    <w:rsid w:val="007003D7"/>
    <w:rsid w:val="00704472"/>
    <w:rsid w:val="00713941"/>
    <w:rsid w:val="00720AC9"/>
    <w:rsid w:val="00724243"/>
    <w:rsid w:val="00724415"/>
    <w:rsid w:val="007404A4"/>
    <w:rsid w:val="00743F64"/>
    <w:rsid w:val="007468FC"/>
    <w:rsid w:val="00755C81"/>
    <w:rsid w:val="00762D91"/>
    <w:rsid w:val="0077351C"/>
    <w:rsid w:val="00776009"/>
    <w:rsid w:val="00791292"/>
    <w:rsid w:val="00792CA3"/>
    <w:rsid w:val="007A4C42"/>
    <w:rsid w:val="007B2FDD"/>
    <w:rsid w:val="007C2887"/>
    <w:rsid w:val="007C351B"/>
    <w:rsid w:val="007C3C76"/>
    <w:rsid w:val="007C56BD"/>
    <w:rsid w:val="007D0DEB"/>
    <w:rsid w:val="007D1C46"/>
    <w:rsid w:val="007D4C67"/>
    <w:rsid w:val="007D58FB"/>
    <w:rsid w:val="007D7148"/>
    <w:rsid w:val="007E5549"/>
    <w:rsid w:val="007E7953"/>
    <w:rsid w:val="007F3702"/>
    <w:rsid w:val="0080253E"/>
    <w:rsid w:val="008045EF"/>
    <w:rsid w:val="008100AB"/>
    <w:rsid w:val="00810F92"/>
    <w:rsid w:val="00813820"/>
    <w:rsid w:val="00824DB6"/>
    <w:rsid w:val="0083022A"/>
    <w:rsid w:val="00831518"/>
    <w:rsid w:val="0083468A"/>
    <w:rsid w:val="0083559B"/>
    <w:rsid w:val="00836D32"/>
    <w:rsid w:val="0083763A"/>
    <w:rsid w:val="00842D43"/>
    <w:rsid w:val="00852F68"/>
    <w:rsid w:val="008530CA"/>
    <w:rsid w:val="00856D1C"/>
    <w:rsid w:val="00871F9B"/>
    <w:rsid w:val="00875401"/>
    <w:rsid w:val="00876AC0"/>
    <w:rsid w:val="0089212B"/>
    <w:rsid w:val="00892B3F"/>
    <w:rsid w:val="008A434E"/>
    <w:rsid w:val="008A51BB"/>
    <w:rsid w:val="008A7E1F"/>
    <w:rsid w:val="008B12C5"/>
    <w:rsid w:val="008B1C8D"/>
    <w:rsid w:val="008B2D13"/>
    <w:rsid w:val="008B5508"/>
    <w:rsid w:val="008C21EC"/>
    <w:rsid w:val="008C6A80"/>
    <w:rsid w:val="008D4677"/>
    <w:rsid w:val="008F1964"/>
    <w:rsid w:val="00900A5C"/>
    <w:rsid w:val="00903408"/>
    <w:rsid w:val="00911091"/>
    <w:rsid w:val="009116EA"/>
    <w:rsid w:val="009274A4"/>
    <w:rsid w:val="00933671"/>
    <w:rsid w:val="00933983"/>
    <w:rsid w:val="00953BBD"/>
    <w:rsid w:val="009542FF"/>
    <w:rsid w:val="00957A58"/>
    <w:rsid w:val="00964982"/>
    <w:rsid w:val="00972A20"/>
    <w:rsid w:val="00972BF7"/>
    <w:rsid w:val="00972DD5"/>
    <w:rsid w:val="009739E0"/>
    <w:rsid w:val="00981E3A"/>
    <w:rsid w:val="009840B8"/>
    <w:rsid w:val="00984879"/>
    <w:rsid w:val="00985632"/>
    <w:rsid w:val="009901DD"/>
    <w:rsid w:val="009909B0"/>
    <w:rsid w:val="00991B63"/>
    <w:rsid w:val="009951CF"/>
    <w:rsid w:val="009A17ED"/>
    <w:rsid w:val="009A23CA"/>
    <w:rsid w:val="009A2D9C"/>
    <w:rsid w:val="009A3EB0"/>
    <w:rsid w:val="009A4AAE"/>
    <w:rsid w:val="009B165F"/>
    <w:rsid w:val="009B2428"/>
    <w:rsid w:val="009B5CB7"/>
    <w:rsid w:val="009B7B5E"/>
    <w:rsid w:val="009D1962"/>
    <w:rsid w:val="009D5F22"/>
    <w:rsid w:val="009F4083"/>
    <w:rsid w:val="009F6213"/>
    <w:rsid w:val="00A0677B"/>
    <w:rsid w:val="00A104BB"/>
    <w:rsid w:val="00A11F5D"/>
    <w:rsid w:val="00A128D2"/>
    <w:rsid w:val="00A15B25"/>
    <w:rsid w:val="00A15CC5"/>
    <w:rsid w:val="00A20329"/>
    <w:rsid w:val="00A307FB"/>
    <w:rsid w:val="00A31242"/>
    <w:rsid w:val="00A3571F"/>
    <w:rsid w:val="00A44495"/>
    <w:rsid w:val="00A4569A"/>
    <w:rsid w:val="00A463BF"/>
    <w:rsid w:val="00A475CB"/>
    <w:rsid w:val="00A52530"/>
    <w:rsid w:val="00A551BF"/>
    <w:rsid w:val="00A60D81"/>
    <w:rsid w:val="00A66746"/>
    <w:rsid w:val="00A67BE6"/>
    <w:rsid w:val="00A70524"/>
    <w:rsid w:val="00A7097F"/>
    <w:rsid w:val="00A73406"/>
    <w:rsid w:val="00A849FA"/>
    <w:rsid w:val="00A92C9A"/>
    <w:rsid w:val="00AB798E"/>
    <w:rsid w:val="00AC65DA"/>
    <w:rsid w:val="00AC67AA"/>
    <w:rsid w:val="00AC7936"/>
    <w:rsid w:val="00AD09E4"/>
    <w:rsid w:val="00AD1E23"/>
    <w:rsid w:val="00AD4A87"/>
    <w:rsid w:val="00AD6728"/>
    <w:rsid w:val="00AE438E"/>
    <w:rsid w:val="00AF1737"/>
    <w:rsid w:val="00AF5F47"/>
    <w:rsid w:val="00B05EE2"/>
    <w:rsid w:val="00B11703"/>
    <w:rsid w:val="00B14DF6"/>
    <w:rsid w:val="00B267BF"/>
    <w:rsid w:val="00B2722A"/>
    <w:rsid w:val="00B30FC6"/>
    <w:rsid w:val="00B3551B"/>
    <w:rsid w:val="00B37DE5"/>
    <w:rsid w:val="00B41406"/>
    <w:rsid w:val="00B44858"/>
    <w:rsid w:val="00B53FDE"/>
    <w:rsid w:val="00B5428F"/>
    <w:rsid w:val="00B601C8"/>
    <w:rsid w:val="00B618BA"/>
    <w:rsid w:val="00B61A75"/>
    <w:rsid w:val="00B61DBA"/>
    <w:rsid w:val="00B63130"/>
    <w:rsid w:val="00B6399B"/>
    <w:rsid w:val="00B70FBE"/>
    <w:rsid w:val="00B77BEC"/>
    <w:rsid w:val="00B8655C"/>
    <w:rsid w:val="00BA282D"/>
    <w:rsid w:val="00BA3FE1"/>
    <w:rsid w:val="00BA4D57"/>
    <w:rsid w:val="00BB6260"/>
    <w:rsid w:val="00BC0925"/>
    <w:rsid w:val="00BC5843"/>
    <w:rsid w:val="00BD03CB"/>
    <w:rsid w:val="00BD0DB4"/>
    <w:rsid w:val="00BD6A2D"/>
    <w:rsid w:val="00BF0472"/>
    <w:rsid w:val="00BF1465"/>
    <w:rsid w:val="00BF63DC"/>
    <w:rsid w:val="00BF6956"/>
    <w:rsid w:val="00C00827"/>
    <w:rsid w:val="00C03746"/>
    <w:rsid w:val="00C03E97"/>
    <w:rsid w:val="00C05E74"/>
    <w:rsid w:val="00C10C19"/>
    <w:rsid w:val="00C11040"/>
    <w:rsid w:val="00C143B8"/>
    <w:rsid w:val="00C17D02"/>
    <w:rsid w:val="00C219F4"/>
    <w:rsid w:val="00C2472B"/>
    <w:rsid w:val="00C30DD1"/>
    <w:rsid w:val="00C424ED"/>
    <w:rsid w:val="00C46194"/>
    <w:rsid w:val="00C50E3F"/>
    <w:rsid w:val="00C5232F"/>
    <w:rsid w:val="00C5282A"/>
    <w:rsid w:val="00C52D9D"/>
    <w:rsid w:val="00C54E4C"/>
    <w:rsid w:val="00C56142"/>
    <w:rsid w:val="00C5649C"/>
    <w:rsid w:val="00C63AD4"/>
    <w:rsid w:val="00C661C8"/>
    <w:rsid w:val="00C729FA"/>
    <w:rsid w:val="00C73B9B"/>
    <w:rsid w:val="00C75486"/>
    <w:rsid w:val="00C75910"/>
    <w:rsid w:val="00C8202C"/>
    <w:rsid w:val="00C840A9"/>
    <w:rsid w:val="00C85192"/>
    <w:rsid w:val="00C911B5"/>
    <w:rsid w:val="00C92A5B"/>
    <w:rsid w:val="00C96DA1"/>
    <w:rsid w:val="00C9735C"/>
    <w:rsid w:val="00CA1134"/>
    <w:rsid w:val="00CA46EC"/>
    <w:rsid w:val="00CA6045"/>
    <w:rsid w:val="00CA6AEC"/>
    <w:rsid w:val="00CB1A55"/>
    <w:rsid w:val="00CC07A8"/>
    <w:rsid w:val="00CD751C"/>
    <w:rsid w:val="00CE1857"/>
    <w:rsid w:val="00CF6C5C"/>
    <w:rsid w:val="00D05B29"/>
    <w:rsid w:val="00D06940"/>
    <w:rsid w:val="00D1394D"/>
    <w:rsid w:val="00D218B5"/>
    <w:rsid w:val="00D23298"/>
    <w:rsid w:val="00D24929"/>
    <w:rsid w:val="00D26AE2"/>
    <w:rsid w:val="00D34290"/>
    <w:rsid w:val="00D35903"/>
    <w:rsid w:val="00D43ECA"/>
    <w:rsid w:val="00D46B92"/>
    <w:rsid w:val="00D47740"/>
    <w:rsid w:val="00D63DC3"/>
    <w:rsid w:val="00D76C8D"/>
    <w:rsid w:val="00D812B9"/>
    <w:rsid w:val="00D87ED6"/>
    <w:rsid w:val="00D903FD"/>
    <w:rsid w:val="00D9218D"/>
    <w:rsid w:val="00D92747"/>
    <w:rsid w:val="00D93D8C"/>
    <w:rsid w:val="00D94821"/>
    <w:rsid w:val="00D94BC5"/>
    <w:rsid w:val="00D966A6"/>
    <w:rsid w:val="00D96C08"/>
    <w:rsid w:val="00D97327"/>
    <w:rsid w:val="00DA2728"/>
    <w:rsid w:val="00DC3052"/>
    <w:rsid w:val="00DC37A8"/>
    <w:rsid w:val="00DC6F84"/>
    <w:rsid w:val="00DD3946"/>
    <w:rsid w:val="00DD5B81"/>
    <w:rsid w:val="00DE3DA7"/>
    <w:rsid w:val="00DE57FE"/>
    <w:rsid w:val="00DE5D5E"/>
    <w:rsid w:val="00DE6D90"/>
    <w:rsid w:val="00DE70CB"/>
    <w:rsid w:val="00DF46C4"/>
    <w:rsid w:val="00DF4CA3"/>
    <w:rsid w:val="00DF6096"/>
    <w:rsid w:val="00E0725C"/>
    <w:rsid w:val="00E22F2B"/>
    <w:rsid w:val="00E249F7"/>
    <w:rsid w:val="00E33C38"/>
    <w:rsid w:val="00E413E6"/>
    <w:rsid w:val="00E435FE"/>
    <w:rsid w:val="00E4452B"/>
    <w:rsid w:val="00E602FE"/>
    <w:rsid w:val="00E61725"/>
    <w:rsid w:val="00E65197"/>
    <w:rsid w:val="00E671BD"/>
    <w:rsid w:val="00E67955"/>
    <w:rsid w:val="00E73DCF"/>
    <w:rsid w:val="00E743A5"/>
    <w:rsid w:val="00E840E2"/>
    <w:rsid w:val="00E92D4B"/>
    <w:rsid w:val="00E932D5"/>
    <w:rsid w:val="00E94792"/>
    <w:rsid w:val="00E94D7E"/>
    <w:rsid w:val="00E95539"/>
    <w:rsid w:val="00EA6D76"/>
    <w:rsid w:val="00EA78B4"/>
    <w:rsid w:val="00EB480F"/>
    <w:rsid w:val="00EB622B"/>
    <w:rsid w:val="00EB7258"/>
    <w:rsid w:val="00EB75B5"/>
    <w:rsid w:val="00EC676B"/>
    <w:rsid w:val="00EC78E7"/>
    <w:rsid w:val="00ED437F"/>
    <w:rsid w:val="00ED43D2"/>
    <w:rsid w:val="00ED6F15"/>
    <w:rsid w:val="00EE3B8C"/>
    <w:rsid w:val="00EE6A15"/>
    <w:rsid w:val="00EF3318"/>
    <w:rsid w:val="00EF4A38"/>
    <w:rsid w:val="00EF5845"/>
    <w:rsid w:val="00F0211D"/>
    <w:rsid w:val="00F06A74"/>
    <w:rsid w:val="00F11B8F"/>
    <w:rsid w:val="00F161AF"/>
    <w:rsid w:val="00F20FD9"/>
    <w:rsid w:val="00F25990"/>
    <w:rsid w:val="00F47193"/>
    <w:rsid w:val="00F578CE"/>
    <w:rsid w:val="00F71C2F"/>
    <w:rsid w:val="00F74011"/>
    <w:rsid w:val="00F741FD"/>
    <w:rsid w:val="00F80CFC"/>
    <w:rsid w:val="00F833A8"/>
    <w:rsid w:val="00F85D89"/>
    <w:rsid w:val="00F97472"/>
    <w:rsid w:val="00FA08E9"/>
    <w:rsid w:val="00FA4883"/>
    <w:rsid w:val="00FB0912"/>
    <w:rsid w:val="00FB10CB"/>
    <w:rsid w:val="00FB25A1"/>
    <w:rsid w:val="00FB7E1E"/>
    <w:rsid w:val="00FC185E"/>
    <w:rsid w:val="00FC4546"/>
    <w:rsid w:val="00FC5EAB"/>
    <w:rsid w:val="00FC7A9D"/>
    <w:rsid w:val="00FD468B"/>
    <w:rsid w:val="00FE1303"/>
    <w:rsid w:val="00FE319B"/>
    <w:rsid w:val="00FE5806"/>
    <w:rsid w:val="00FE5DD0"/>
    <w:rsid w:val="00FE7957"/>
    <w:rsid w:val="00FF350D"/>
    <w:rsid w:val="00FF4F3F"/>
    <w:rsid w:val="00FF6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1B69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A6"/>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99"/>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odyText1">
    <w:name w:val="Body Text1"/>
    <w:basedOn w:val="Normal"/>
    <w:rsid w:val="009B7B5E"/>
    <w:pPr>
      <w:numPr>
        <w:ilvl w:val="12"/>
      </w:num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B7B5E"/>
    <w:rPr>
      <w:sz w:val="16"/>
      <w:szCs w:val="16"/>
    </w:rPr>
  </w:style>
  <w:style w:type="paragraph" w:styleId="CommentText">
    <w:name w:val="annotation text"/>
    <w:basedOn w:val="Normal"/>
    <w:link w:val="CommentTextChar"/>
    <w:uiPriority w:val="99"/>
    <w:semiHidden/>
    <w:unhideWhenUsed/>
    <w:rsid w:val="009B7B5E"/>
    <w:pPr>
      <w:spacing w:line="240" w:lineRule="auto"/>
    </w:pPr>
    <w:rPr>
      <w:sz w:val="20"/>
      <w:szCs w:val="20"/>
    </w:rPr>
  </w:style>
  <w:style w:type="character" w:customStyle="1" w:styleId="CommentTextChar">
    <w:name w:val="Comment Text Char"/>
    <w:basedOn w:val="DefaultParagraphFont"/>
    <w:link w:val="CommentText"/>
    <w:uiPriority w:val="99"/>
    <w:semiHidden/>
    <w:rsid w:val="009B7B5E"/>
    <w:rPr>
      <w:sz w:val="20"/>
      <w:szCs w:val="20"/>
    </w:rPr>
  </w:style>
  <w:style w:type="paragraph" w:styleId="CommentSubject">
    <w:name w:val="annotation subject"/>
    <w:basedOn w:val="CommentText"/>
    <w:next w:val="CommentText"/>
    <w:link w:val="CommentSubjectChar"/>
    <w:uiPriority w:val="99"/>
    <w:semiHidden/>
    <w:unhideWhenUsed/>
    <w:rsid w:val="009B7B5E"/>
    <w:rPr>
      <w:b/>
      <w:bCs/>
    </w:rPr>
  </w:style>
  <w:style w:type="character" w:customStyle="1" w:styleId="CommentSubjectChar">
    <w:name w:val="Comment Subject Char"/>
    <w:basedOn w:val="CommentTextChar"/>
    <w:link w:val="CommentSubject"/>
    <w:uiPriority w:val="99"/>
    <w:semiHidden/>
    <w:rsid w:val="009B7B5E"/>
    <w:rPr>
      <w:b/>
      <w:bCs/>
      <w:sz w:val="20"/>
      <w:szCs w:val="20"/>
    </w:rPr>
  </w:style>
  <w:style w:type="paragraph" w:styleId="FootnoteText">
    <w:name w:val="footnote text"/>
    <w:basedOn w:val="Normal"/>
    <w:link w:val="FootnoteTextChar"/>
    <w:uiPriority w:val="99"/>
    <w:semiHidden/>
    <w:unhideWhenUsed/>
    <w:rsid w:val="001533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35D"/>
    <w:rPr>
      <w:sz w:val="20"/>
      <w:szCs w:val="20"/>
    </w:rPr>
  </w:style>
  <w:style w:type="character" w:styleId="FootnoteReference">
    <w:name w:val="footnote reference"/>
    <w:basedOn w:val="DefaultParagraphFont"/>
    <w:uiPriority w:val="99"/>
    <w:semiHidden/>
    <w:unhideWhenUsed/>
    <w:rsid w:val="0015335D"/>
    <w:rPr>
      <w:vertAlign w:val="superscript"/>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99"/>
    <w:locked/>
    <w:rsid w:val="001F39ED"/>
  </w:style>
  <w:style w:type="paragraph" w:styleId="Revision">
    <w:name w:val="Revision"/>
    <w:hidden/>
    <w:uiPriority w:val="99"/>
    <w:semiHidden/>
    <w:rsid w:val="00593B80"/>
    <w:pPr>
      <w:spacing w:after="0" w:line="240" w:lineRule="auto"/>
    </w:pPr>
  </w:style>
  <w:style w:type="character" w:styleId="FollowedHyperlink">
    <w:name w:val="FollowedHyperlink"/>
    <w:basedOn w:val="DefaultParagraphFont"/>
    <w:uiPriority w:val="99"/>
    <w:semiHidden/>
    <w:unhideWhenUsed/>
    <w:rsid w:val="00375873"/>
    <w:rPr>
      <w:color w:val="00000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A6"/>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99"/>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odyText1">
    <w:name w:val="Body Text1"/>
    <w:basedOn w:val="Normal"/>
    <w:rsid w:val="009B7B5E"/>
    <w:pPr>
      <w:numPr>
        <w:ilvl w:val="12"/>
      </w:num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B7B5E"/>
    <w:rPr>
      <w:sz w:val="16"/>
      <w:szCs w:val="16"/>
    </w:rPr>
  </w:style>
  <w:style w:type="paragraph" w:styleId="CommentText">
    <w:name w:val="annotation text"/>
    <w:basedOn w:val="Normal"/>
    <w:link w:val="CommentTextChar"/>
    <w:uiPriority w:val="99"/>
    <w:semiHidden/>
    <w:unhideWhenUsed/>
    <w:rsid w:val="009B7B5E"/>
    <w:pPr>
      <w:spacing w:line="240" w:lineRule="auto"/>
    </w:pPr>
    <w:rPr>
      <w:sz w:val="20"/>
      <w:szCs w:val="20"/>
    </w:rPr>
  </w:style>
  <w:style w:type="character" w:customStyle="1" w:styleId="CommentTextChar">
    <w:name w:val="Comment Text Char"/>
    <w:basedOn w:val="DefaultParagraphFont"/>
    <w:link w:val="CommentText"/>
    <w:uiPriority w:val="99"/>
    <w:semiHidden/>
    <w:rsid w:val="009B7B5E"/>
    <w:rPr>
      <w:sz w:val="20"/>
      <w:szCs w:val="20"/>
    </w:rPr>
  </w:style>
  <w:style w:type="paragraph" w:styleId="CommentSubject">
    <w:name w:val="annotation subject"/>
    <w:basedOn w:val="CommentText"/>
    <w:next w:val="CommentText"/>
    <w:link w:val="CommentSubjectChar"/>
    <w:uiPriority w:val="99"/>
    <w:semiHidden/>
    <w:unhideWhenUsed/>
    <w:rsid w:val="009B7B5E"/>
    <w:rPr>
      <w:b/>
      <w:bCs/>
    </w:rPr>
  </w:style>
  <w:style w:type="character" w:customStyle="1" w:styleId="CommentSubjectChar">
    <w:name w:val="Comment Subject Char"/>
    <w:basedOn w:val="CommentTextChar"/>
    <w:link w:val="CommentSubject"/>
    <w:uiPriority w:val="99"/>
    <w:semiHidden/>
    <w:rsid w:val="009B7B5E"/>
    <w:rPr>
      <w:b/>
      <w:bCs/>
      <w:sz w:val="20"/>
      <w:szCs w:val="20"/>
    </w:rPr>
  </w:style>
  <w:style w:type="paragraph" w:styleId="FootnoteText">
    <w:name w:val="footnote text"/>
    <w:basedOn w:val="Normal"/>
    <w:link w:val="FootnoteTextChar"/>
    <w:uiPriority w:val="99"/>
    <w:semiHidden/>
    <w:unhideWhenUsed/>
    <w:rsid w:val="001533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35D"/>
    <w:rPr>
      <w:sz w:val="20"/>
      <w:szCs w:val="20"/>
    </w:rPr>
  </w:style>
  <w:style w:type="character" w:styleId="FootnoteReference">
    <w:name w:val="footnote reference"/>
    <w:basedOn w:val="DefaultParagraphFont"/>
    <w:uiPriority w:val="99"/>
    <w:semiHidden/>
    <w:unhideWhenUsed/>
    <w:rsid w:val="0015335D"/>
    <w:rPr>
      <w:vertAlign w:val="superscript"/>
    </w:r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99"/>
    <w:locked/>
    <w:rsid w:val="001F39ED"/>
  </w:style>
  <w:style w:type="paragraph" w:styleId="Revision">
    <w:name w:val="Revision"/>
    <w:hidden/>
    <w:uiPriority w:val="99"/>
    <w:semiHidden/>
    <w:rsid w:val="00593B80"/>
    <w:pPr>
      <w:spacing w:after="0" w:line="240" w:lineRule="auto"/>
    </w:pPr>
  </w:style>
  <w:style w:type="character" w:styleId="FollowedHyperlink">
    <w:name w:val="FollowedHyperlink"/>
    <w:basedOn w:val="DefaultParagraphFont"/>
    <w:uiPriority w:val="99"/>
    <w:semiHidden/>
    <w:unhideWhenUsed/>
    <w:rsid w:val="0037587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911308386">
      <w:bodyDiv w:val="1"/>
      <w:marLeft w:val="0"/>
      <w:marRight w:val="0"/>
      <w:marTop w:val="0"/>
      <w:marBottom w:val="0"/>
      <w:divBdr>
        <w:top w:val="none" w:sz="0" w:space="0" w:color="auto"/>
        <w:left w:val="none" w:sz="0" w:space="0" w:color="auto"/>
        <w:bottom w:val="none" w:sz="0" w:space="0" w:color="auto"/>
        <w:right w:val="none" w:sz="0" w:space="0" w:color="auto"/>
      </w:divBdr>
    </w:div>
    <w:div w:id="1111359706">
      <w:bodyDiv w:val="1"/>
      <w:marLeft w:val="0"/>
      <w:marRight w:val="0"/>
      <w:marTop w:val="0"/>
      <w:marBottom w:val="0"/>
      <w:divBdr>
        <w:top w:val="none" w:sz="0" w:space="0" w:color="auto"/>
        <w:left w:val="none" w:sz="0" w:space="0" w:color="auto"/>
        <w:bottom w:val="none" w:sz="0" w:space="0" w:color="auto"/>
        <w:right w:val="none" w:sz="0" w:space="0" w:color="auto"/>
      </w:divBdr>
    </w:div>
    <w:div w:id="194618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disability@education.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ducation.gov.au/access-and-participa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cs.education.gov.au/documents/evaluation-disability-support-programme-final-report"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adcet.edu.au/disability-practitioner/course-design-and-implementation/universal-desig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a:t>DSP Funding Comparison</a:t>
            </a:r>
          </a:p>
        </c:rich>
      </c:tx>
      <c:overlay val="0"/>
    </c:title>
    <c:autoTitleDeleted val="0"/>
    <c:plotArea>
      <c:layout/>
      <c:barChart>
        <c:barDir val="col"/>
        <c:grouping val="clustered"/>
        <c:varyColors val="0"/>
        <c:ser>
          <c:idx val="0"/>
          <c:order val="0"/>
          <c:tx>
            <c:strRef>
              <c:f>Sheet1!$B$1</c:f>
              <c:strCache>
                <c:ptCount val="1"/>
                <c:pt idx="0">
                  <c:v>Existing Model</c:v>
                </c:pt>
              </c:strCache>
            </c:strRef>
          </c:tx>
          <c:spPr>
            <a:solidFill>
              <a:srgbClr val="522761"/>
            </a:solidFill>
          </c:spPr>
          <c:invertIfNegative val="0"/>
          <c:cat>
            <c:strRef>
              <c:f>Sheet1!$A$2:$A$39</c:f>
              <c:strCache>
                <c:ptCount val="38"/>
                <c:pt idx="0">
                  <c:v>ACU</c:v>
                </c:pt>
                <c:pt idx="1">
                  <c:v>Adelaide</c:v>
                </c:pt>
                <c:pt idx="2">
                  <c:v>ANU</c:v>
                </c:pt>
                <c:pt idx="3">
                  <c:v>Batchelor</c:v>
                </c:pt>
                <c:pt idx="4">
                  <c:v>CDU</c:v>
                </c:pt>
                <c:pt idx="5">
                  <c:v>CQU</c:v>
                </c:pt>
                <c:pt idx="6">
                  <c:v>CSU</c:v>
                </c:pt>
                <c:pt idx="7">
                  <c:v>CUT</c:v>
                </c:pt>
                <c:pt idx="8">
                  <c:v>Deakin</c:v>
                </c:pt>
                <c:pt idx="9">
                  <c:v>ECU</c:v>
                </c:pt>
                <c:pt idx="10">
                  <c:v>Federation</c:v>
                </c:pt>
                <c:pt idx="11">
                  <c:v>Flinders</c:v>
                </c:pt>
                <c:pt idx="12">
                  <c:v>Griffith</c:v>
                </c:pt>
                <c:pt idx="13">
                  <c:v>JCU</c:v>
                </c:pt>
                <c:pt idx="14">
                  <c:v>La Trobe</c:v>
                </c:pt>
                <c:pt idx="15">
                  <c:v>Macquarie</c:v>
                </c:pt>
                <c:pt idx="16">
                  <c:v>Melbourne</c:v>
                </c:pt>
                <c:pt idx="17">
                  <c:v>Monash</c:v>
                </c:pt>
                <c:pt idx="18">
                  <c:v>Murdoch</c:v>
                </c:pt>
                <c:pt idx="19">
                  <c:v>Newcastle</c:v>
                </c:pt>
                <c:pt idx="20">
                  <c:v>QUT</c:v>
                </c:pt>
                <c:pt idx="21">
                  <c:v>RMIT</c:v>
                </c:pt>
                <c:pt idx="22">
                  <c:v>SCU</c:v>
                </c:pt>
                <c:pt idx="23">
                  <c:v>Swinburne</c:v>
                </c:pt>
                <c:pt idx="24">
                  <c:v>Sydney</c:v>
                </c:pt>
                <c:pt idx="25">
                  <c:v>Tasmania</c:v>
                </c:pt>
                <c:pt idx="26">
                  <c:v>UC</c:v>
                </c:pt>
                <c:pt idx="27">
                  <c:v>UNE</c:v>
                </c:pt>
                <c:pt idx="28">
                  <c:v>Uni SA</c:v>
                </c:pt>
                <c:pt idx="29">
                  <c:v>UNSW</c:v>
                </c:pt>
                <c:pt idx="30">
                  <c:v>UQ</c:v>
                </c:pt>
                <c:pt idx="31">
                  <c:v>USC</c:v>
                </c:pt>
                <c:pt idx="32">
                  <c:v>USQ</c:v>
                </c:pt>
                <c:pt idx="33">
                  <c:v>UTS</c:v>
                </c:pt>
                <c:pt idx="34">
                  <c:v>UWA</c:v>
                </c:pt>
                <c:pt idx="35">
                  <c:v>Victoria</c:v>
                </c:pt>
                <c:pt idx="36">
                  <c:v>Wollongong</c:v>
                </c:pt>
                <c:pt idx="37">
                  <c:v>WSU</c:v>
                </c:pt>
              </c:strCache>
            </c:strRef>
          </c:cat>
          <c:val>
            <c:numRef>
              <c:f>Sheet1!$B$2:$B$39</c:f>
              <c:numCache>
                <c:formatCode>"$"#,##0.00</c:formatCode>
                <c:ptCount val="38"/>
                <c:pt idx="0">
                  <c:v>72658.610276223713</c:v>
                </c:pt>
                <c:pt idx="1">
                  <c:v>36539.472545786019</c:v>
                </c:pt>
                <c:pt idx="2">
                  <c:v>67240.869217745887</c:v>
                </c:pt>
                <c:pt idx="3">
                  <c:v>720.4535017799044</c:v>
                </c:pt>
                <c:pt idx="4">
                  <c:v>11145.413568505584</c:v>
                </c:pt>
                <c:pt idx="5">
                  <c:v>49557.401226985101</c:v>
                </c:pt>
                <c:pt idx="6">
                  <c:v>117219.49893207839</c:v>
                </c:pt>
                <c:pt idx="7">
                  <c:v>111532.29583678891</c:v>
                </c:pt>
                <c:pt idx="8">
                  <c:v>397735.99072365835</c:v>
                </c:pt>
                <c:pt idx="9">
                  <c:v>102411.33198821229</c:v>
                </c:pt>
                <c:pt idx="10">
                  <c:v>128344.4764671835</c:v>
                </c:pt>
                <c:pt idx="11">
                  <c:v>249510.56655902416</c:v>
                </c:pt>
                <c:pt idx="12">
                  <c:v>223047.0041806369</c:v>
                </c:pt>
                <c:pt idx="13">
                  <c:v>29817.461320195238</c:v>
                </c:pt>
                <c:pt idx="14">
                  <c:v>404194.85497240338</c:v>
                </c:pt>
                <c:pt idx="15">
                  <c:v>850889.27054897277</c:v>
                </c:pt>
                <c:pt idx="16">
                  <c:v>278581.52754938469</c:v>
                </c:pt>
                <c:pt idx="17">
                  <c:v>177657.33483070022</c:v>
                </c:pt>
                <c:pt idx="18">
                  <c:v>76056.871222781454</c:v>
                </c:pt>
                <c:pt idx="19">
                  <c:v>113366.10070787363</c:v>
                </c:pt>
                <c:pt idx="20">
                  <c:v>309745.85041879542</c:v>
                </c:pt>
                <c:pt idx="21">
                  <c:v>241695.34180384441</c:v>
                </c:pt>
                <c:pt idx="22">
                  <c:v>110573.99422876762</c:v>
                </c:pt>
                <c:pt idx="23">
                  <c:v>188973.86223469855</c:v>
                </c:pt>
                <c:pt idx="24">
                  <c:v>71230.349020400434</c:v>
                </c:pt>
                <c:pt idx="25">
                  <c:v>101642.50693686033</c:v>
                </c:pt>
                <c:pt idx="26">
                  <c:v>67032.999514707364</c:v>
                </c:pt>
                <c:pt idx="27">
                  <c:v>256501.14396698916</c:v>
                </c:pt>
                <c:pt idx="28">
                  <c:v>106770.87956123531</c:v>
                </c:pt>
                <c:pt idx="29">
                  <c:v>188913.59875847254</c:v>
                </c:pt>
                <c:pt idx="30">
                  <c:v>125251.88124247834</c:v>
                </c:pt>
                <c:pt idx="31">
                  <c:v>57130.678729872059</c:v>
                </c:pt>
                <c:pt idx="32">
                  <c:v>113092.33062776968</c:v>
                </c:pt>
                <c:pt idx="33">
                  <c:v>408082.87874542968</c:v>
                </c:pt>
                <c:pt idx="34">
                  <c:v>120384.64112851885</c:v>
                </c:pt>
                <c:pt idx="35">
                  <c:v>70931.510504699516</c:v>
                </c:pt>
                <c:pt idx="36">
                  <c:v>222956.19812146469</c:v>
                </c:pt>
                <c:pt idx="37">
                  <c:v>823183.54464170721</c:v>
                </c:pt>
              </c:numCache>
            </c:numRef>
          </c:val>
        </c:ser>
        <c:ser>
          <c:idx val="1"/>
          <c:order val="1"/>
          <c:tx>
            <c:strRef>
              <c:f>Sheet1!$C$1</c:f>
              <c:strCache>
                <c:ptCount val="1"/>
                <c:pt idx="0">
                  <c:v>Revised Model </c:v>
                </c:pt>
              </c:strCache>
            </c:strRef>
          </c:tx>
          <c:spPr>
            <a:solidFill>
              <a:schemeClr val="accent1"/>
            </a:solidFill>
          </c:spPr>
          <c:invertIfNegative val="0"/>
          <c:cat>
            <c:strRef>
              <c:f>Sheet1!$A$2:$A$39</c:f>
              <c:strCache>
                <c:ptCount val="38"/>
                <c:pt idx="0">
                  <c:v>ACU</c:v>
                </c:pt>
                <c:pt idx="1">
                  <c:v>Adelaide</c:v>
                </c:pt>
                <c:pt idx="2">
                  <c:v>ANU</c:v>
                </c:pt>
                <c:pt idx="3">
                  <c:v>Batchelor</c:v>
                </c:pt>
                <c:pt idx="4">
                  <c:v>CDU</c:v>
                </c:pt>
                <c:pt idx="5">
                  <c:v>CQU</c:v>
                </c:pt>
                <c:pt idx="6">
                  <c:v>CSU</c:v>
                </c:pt>
                <c:pt idx="7">
                  <c:v>CUT</c:v>
                </c:pt>
                <c:pt idx="8">
                  <c:v>Deakin</c:v>
                </c:pt>
                <c:pt idx="9">
                  <c:v>ECU</c:v>
                </c:pt>
                <c:pt idx="10">
                  <c:v>Federation</c:v>
                </c:pt>
                <c:pt idx="11">
                  <c:v>Flinders</c:v>
                </c:pt>
                <c:pt idx="12">
                  <c:v>Griffith</c:v>
                </c:pt>
                <c:pt idx="13">
                  <c:v>JCU</c:v>
                </c:pt>
                <c:pt idx="14">
                  <c:v>La Trobe</c:v>
                </c:pt>
                <c:pt idx="15">
                  <c:v>Macquarie</c:v>
                </c:pt>
                <c:pt idx="16">
                  <c:v>Melbourne</c:v>
                </c:pt>
                <c:pt idx="17">
                  <c:v>Monash</c:v>
                </c:pt>
                <c:pt idx="18">
                  <c:v>Murdoch</c:v>
                </c:pt>
                <c:pt idx="19">
                  <c:v>Newcastle</c:v>
                </c:pt>
                <c:pt idx="20">
                  <c:v>QUT</c:v>
                </c:pt>
                <c:pt idx="21">
                  <c:v>RMIT</c:v>
                </c:pt>
                <c:pt idx="22">
                  <c:v>SCU</c:v>
                </c:pt>
                <c:pt idx="23">
                  <c:v>Swinburne</c:v>
                </c:pt>
                <c:pt idx="24">
                  <c:v>Sydney</c:v>
                </c:pt>
                <c:pt idx="25">
                  <c:v>Tasmania</c:v>
                </c:pt>
                <c:pt idx="26">
                  <c:v>UC</c:v>
                </c:pt>
                <c:pt idx="27">
                  <c:v>UNE</c:v>
                </c:pt>
                <c:pt idx="28">
                  <c:v>Uni SA</c:v>
                </c:pt>
                <c:pt idx="29">
                  <c:v>UNSW</c:v>
                </c:pt>
                <c:pt idx="30">
                  <c:v>UQ</c:v>
                </c:pt>
                <c:pt idx="31">
                  <c:v>USC</c:v>
                </c:pt>
                <c:pt idx="32">
                  <c:v>USQ</c:v>
                </c:pt>
                <c:pt idx="33">
                  <c:v>UTS</c:v>
                </c:pt>
                <c:pt idx="34">
                  <c:v>UWA</c:v>
                </c:pt>
                <c:pt idx="35">
                  <c:v>Victoria</c:v>
                </c:pt>
                <c:pt idx="36">
                  <c:v>Wollongong</c:v>
                </c:pt>
                <c:pt idx="37">
                  <c:v>WSU</c:v>
                </c:pt>
              </c:strCache>
            </c:strRef>
          </c:cat>
          <c:val>
            <c:numRef>
              <c:f>Sheet1!$C$2:$C$39</c:f>
              <c:numCache>
                <c:formatCode>"$"#,##0.00</c:formatCode>
                <c:ptCount val="38"/>
                <c:pt idx="0">
                  <c:v>195846.06230248479</c:v>
                </c:pt>
                <c:pt idx="1">
                  <c:v>212189.45740346354</c:v>
                </c:pt>
                <c:pt idx="2">
                  <c:v>155056.24427735296</c:v>
                </c:pt>
                <c:pt idx="3">
                  <c:v>274.67890926014695</c:v>
                </c:pt>
                <c:pt idx="4">
                  <c:v>69631.103497447257</c:v>
                </c:pt>
                <c:pt idx="5">
                  <c:v>106300.73788367688</c:v>
                </c:pt>
                <c:pt idx="6">
                  <c:v>176893.21756353465</c:v>
                </c:pt>
                <c:pt idx="7">
                  <c:v>142833.03281527644</c:v>
                </c:pt>
                <c:pt idx="8">
                  <c:v>343760.65493907395</c:v>
                </c:pt>
                <c:pt idx="9">
                  <c:v>161373.85919033634</c:v>
                </c:pt>
                <c:pt idx="10">
                  <c:v>59467.983854821818</c:v>
                </c:pt>
                <c:pt idx="11">
                  <c:v>179227.98829224589</c:v>
                </c:pt>
                <c:pt idx="12">
                  <c:v>234026.43068964523</c:v>
                </c:pt>
                <c:pt idx="13">
                  <c:v>116875.87589019253</c:v>
                </c:pt>
                <c:pt idx="14">
                  <c:v>250232.48633599389</c:v>
                </c:pt>
                <c:pt idx="15">
                  <c:v>230455.6048692633</c:v>
                </c:pt>
                <c:pt idx="16">
                  <c:v>277151.01944348827</c:v>
                </c:pt>
                <c:pt idx="17">
                  <c:v>274816.24871477706</c:v>
                </c:pt>
                <c:pt idx="18">
                  <c:v>160000.46464403562</c:v>
                </c:pt>
                <c:pt idx="19">
                  <c:v>255863.40397582692</c:v>
                </c:pt>
                <c:pt idx="20">
                  <c:v>208343.95267382148</c:v>
                </c:pt>
                <c:pt idx="21">
                  <c:v>202713.03503398845</c:v>
                </c:pt>
                <c:pt idx="22">
                  <c:v>134867.34444673217</c:v>
                </c:pt>
                <c:pt idx="23">
                  <c:v>141459.63826897569</c:v>
                </c:pt>
                <c:pt idx="24">
                  <c:v>233614.41232575499</c:v>
                </c:pt>
                <c:pt idx="25">
                  <c:v>290060.92817871517</c:v>
                </c:pt>
                <c:pt idx="26">
                  <c:v>101631.19642625438</c:v>
                </c:pt>
                <c:pt idx="27">
                  <c:v>227571.47632203175</c:v>
                </c:pt>
                <c:pt idx="28">
                  <c:v>278936.43235367921</c:v>
                </c:pt>
                <c:pt idx="29">
                  <c:v>218644.41177107699</c:v>
                </c:pt>
                <c:pt idx="30">
                  <c:v>163021.93264589724</c:v>
                </c:pt>
                <c:pt idx="31">
                  <c:v>90506.700601218428</c:v>
                </c:pt>
                <c:pt idx="32">
                  <c:v>200790.28266916744</c:v>
                </c:pt>
                <c:pt idx="33">
                  <c:v>168378.1713764701</c:v>
                </c:pt>
                <c:pt idx="34">
                  <c:v>235125.14632668582</c:v>
                </c:pt>
                <c:pt idx="35">
                  <c:v>108223.49024849791</c:v>
                </c:pt>
                <c:pt idx="36">
                  <c:v>280309.82689998002</c:v>
                </c:pt>
                <c:pt idx="37">
                  <c:v>195846.06230248479</c:v>
                </c:pt>
              </c:numCache>
            </c:numRef>
          </c:val>
        </c:ser>
        <c:dLbls>
          <c:showLegendKey val="0"/>
          <c:showVal val="0"/>
          <c:showCatName val="0"/>
          <c:showSerName val="0"/>
          <c:showPercent val="0"/>
          <c:showBubbleSize val="0"/>
        </c:dLbls>
        <c:gapWidth val="150"/>
        <c:axId val="208631296"/>
        <c:axId val="208644352"/>
      </c:barChart>
      <c:catAx>
        <c:axId val="208631296"/>
        <c:scaling>
          <c:orientation val="minMax"/>
        </c:scaling>
        <c:delete val="0"/>
        <c:axPos val="b"/>
        <c:majorTickMark val="out"/>
        <c:minorTickMark val="none"/>
        <c:tickLblPos val="nextTo"/>
        <c:crossAx val="208644352"/>
        <c:crosses val="autoZero"/>
        <c:auto val="1"/>
        <c:lblAlgn val="ctr"/>
        <c:lblOffset val="100"/>
        <c:noMultiLvlLbl val="0"/>
      </c:catAx>
      <c:valAx>
        <c:axId val="208644352"/>
        <c:scaling>
          <c:orientation val="minMax"/>
        </c:scaling>
        <c:delete val="0"/>
        <c:axPos val="l"/>
        <c:majorGridlines/>
        <c:numFmt formatCode="&quot;$&quot;#,##0.00" sourceLinked="1"/>
        <c:majorTickMark val="out"/>
        <c:minorTickMark val="none"/>
        <c:tickLblPos val="nextTo"/>
        <c:crossAx val="20863129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AC263-923B-42C9-9F6A-88E7015D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78CFE044.dotm</Template>
  <TotalTime>0</TotalTime>
  <Pages>23</Pages>
  <Words>6422</Words>
  <Characters>36611</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2016-11-03T05:05:00Z</dcterms:created>
  <dcterms:modified xsi:type="dcterms:W3CDTF">2016-11-03T05:05:00Z</dcterms:modified>
</cp:coreProperties>
</file>