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9A" w:rsidRDefault="006735C2" w:rsidP="00EA119A">
      <w:pPr>
        <w:tabs>
          <w:tab w:val="left" w:pos="1134"/>
        </w:tabs>
        <w:ind w:left="142"/>
        <w:rPr>
          <w:rFonts w:ascii="Moon Flower" w:eastAsia="CenturyGothic" w:hAnsi="Moon Flower" w:cs="CenturyGothic"/>
          <w:b/>
          <w:bCs/>
          <w:color w:val="5B9BD5" w:themeColor="accent1"/>
          <w:sz w:val="52"/>
          <w:szCs w:val="52"/>
        </w:rPr>
      </w:pPr>
      <w:r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>TABLE</w:t>
      </w:r>
      <w:r w:rsidR="00703BBE"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 xml:space="preserve"> </w:t>
      </w:r>
      <w:r w:rsidR="00FF437A"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>6</w:t>
      </w:r>
      <w:r w:rsidR="004701F5" w:rsidRPr="004701F5"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 xml:space="preserve">: </w:t>
      </w:r>
      <w:r w:rsidR="00FF437A">
        <w:rPr>
          <w:rFonts w:ascii="Moon Flower" w:eastAsia="CenturyGothic" w:hAnsi="Moon Flower" w:cs="CenturyGothic"/>
          <w:b/>
          <w:bCs/>
          <w:color w:val="5B9BD5" w:themeColor="accent1"/>
          <w:sz w:val="52"/>
          <w:szCs w:val="52"/>
        </w:rPr>
        <w:t>SUPPORT FOR STUDY</w:t>
      </w:r>
      <w:r w:rsidR="00BC085C">
        <w:rPr>
          <w:rFonts w:ascii="Moon Flower" w:eastAsia="CenturyGothic" w:hAnsi="Moon Flower" w:cs="CenturyGothic"/>
          <w:b/>
          <w:bCs/>
          <w:color w:val="5B9BD5" w:themeColor="accent1"/>
          <w:sz w:val="52"/>
          <w:szCs w:val="52"/>
        </w:rPr>
        <w:t xml:space="preserve"> </w:t>
      </w:r>
      <w:r w:rsidR="00BC085C">
        <w:rPr>
          <w:rFonts w:ascii="Moon Flower" w:eastAsia="CenturyGothic" w:hAnsi="Moon Flower" w:cs="CenturyGothic"/>
          <w:b/>
          <w:bCs/>
          <w:color w:val="5B9BD5" w:themeColor="accent1"/>
          <w:sz w:val="52"/>
          <w:szCs w:val="52"/>
        </w:rPr>
        <w:tab/>
      </w:r>
    </w:p>
    <w:p w:rsidR="00FF437A" w:rsidRPr="00EA119A" w:rsidRDefault="00FF437A" w:rsidP="00EA119A">
      <w:pPr>
        <w:tabs>
          <w:tab w:val="left" w:pos="1134"/>
        </w:tabs>
        <w:ind w:left="142"/>
        <w:rPr>
          <w:rFonts w:ascii="Moon Flower" w:eastAsia="CenturyGothic" w:hAnsi="Moon Flower" w:cs="CenturyGothic"/>
          <w:b/>
          <w:bCs/>
          <w:color w:val="5B9BD5" w:themeColor="accent1"/>
          <w:sz w:val="52"/>
          <w:szCs w:val="52"/>
        </w:rPr>
      </w:pPr>
      <w:r>
        <w:rPr>
          <w:rFonts w:ascii="CenturyGothic" w:eastAsia="CenturyGothic" w:cs="CenturyGothic"/>
          <w:sz w:val="20"/>
          <w:szCs w:val="20"/>
        </w:rPr>
        <w:t xml:space="preserve">Here are some examples of what you may need help with and what </w:t>
      </w:r>
      <w:r w:rsidR="00EA119A">
        <w:rPr>
          <w:rFonts w:ascii="CenturyGothic" w:eastAsia="CenturyGothic" w:cs="CenturyGothic"/>
          <w:sz w:val="20"/>
          <w:szCs w:val="20"/>
        </w:rPr>
        <w:t xml:space="preserve">reasonable adjustments or other </w:t>
      </w:r>
      <w:r>
        <w:rPr>
          <w:rFonts w:ascii="CenturyGothic" w:eastAsia="CenturyGothic" w:cs="CenturyGothic"/>
          <w:sz w:val="20"/>
          <w:szCs w:val="20"/>
        </w:rPr>
        <w:t>assistance may be available from your university</w:t>
      </w:r>
      <w:r w:rsidR="005365BD">
        <w:rPr>
          <w:rFonts w:ascii="CenturyGothic" w:eastAsia="CenturyGothic" w:cs="CenturyGothic"/>
          <w:sz w:val="20"/>
          <w:szCs w:val="20"/>
        </w:rPr>
        <w:t xml:space="preserve"> </w:t>
      </w:r>
      <w:r>
        <w:rPr>
          <w:rFonts w:ascii="CenturyGothic" w:eastAsia="CenturyGothic" w:cs="CenturyGothic"/>
          <w:sz w:val="20"/>
          <w:szCs w:val="20"/>
        </w:rPr>
        <w:t>or TAFE. Highlight the ones that might be useful for you so that you can discuss them with support staff.</w:t>
      </w:r>
    </w:p>
    <w:tbl>
      <w:tblPr>
        <w:tblW w:w="105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  <w:gridCol w:w="7088"/>
      </w:tblGrid>
      <w:tr w:rsidR="00FF437A" w:rsidTr="00EA119A">
        <w:trPr>
          <w:trHeight w:hRule="exact" w:val="467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Pr="00EA119A" w:rsidRDefault="00BC085C" w:rsidP="00C409EE">
            <w:pPr>
              <w:tabs>
                <w:tab w:val="left" w:pos="1134"/>
              </w:tabs>
              <w:spacing w:before="26" w:after="0" w:line="240" w:lineRule="auto"/>
              <w:ind w:left="142" w:right="-20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EA119A"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36"/>
                <w:szCs w:val="36"/>
              </w:rPr>
              <w:t>what I need support with</w:t>
            </w:r>
          </w:p>
        </w:tc>
        <w:tc>
          <w:tcPr>
            <w:tcW w:w="70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Pr="00EA119A" w:rsidRDefault="00BC085C" w:rsidP="00C409EE">
            <w:pPr>
              <w:tabs>
                <w:tab w:val="left" w:pos="1134"/>
              </w:tabs>
              <w:spacing w:before="26" w:after="0" w:line="240" w:lineRule="auto"/>
              <w:ind w:left="142" w:right="-20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EA119A"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36"/>
                <w:szCs w:val="36"/>
              </w:rPr>
              <w:t>POSSIBLE ADJUSTMENTS OR SUPPORT</w:t>
            </w:r>
          </w:p>
        </w:tc>
      </w:tr>
      <w:tr w:rsidR="00FF437A" w:rsidTr="005365BD">
        <w:trPr>
          <w:trHeight w:hRule="exact" w:val="814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tabs>
                <w:tab w:val="left" w:pos="1134"/>
              </w:tabs>
              <w:spacing w:after="0" w:line="240" w:lineRule="auto"/>
              <w:ind w:left="17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Untidy and illegible handwriting.</w:t>
            </w:r>
          </w:p>
        </w:tc>
        <w:tc>
          <w:tcPr>
            <w:tcW w:w="70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tabs>
                <w:tab w:val="left" w:pos="1134"/>
              </w:tabs>
              <w:spacing w:before="26" w:after="0" w:line="240" w:lineRule="auto"/>
              <w:ind w:left="17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Disability support services may organise for a note-taker to take notes in lectures for you or discuss Assistive</w:t>
            </w:r>
          </w:p>
          <w:p w:rsidR="00FF437A" w:rsidRDefault="00FF437A" w:rsidP="00F14AD5">
            <w:pPr>
              <w:tabs>
                <w:tab w:val="left" w:pos="1134"/>
              </w:tabs>
              <w:spacing w:after="0" w:line="240" w:lineRule="exact"/>
              <w:ind w:left="17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Technology options.</w:t>
            </w:r>
          </w:p>
        </w:tc>
      </w:tr>
      <w:tr w:rsidR="00FF437A" w:rsidTr="005365BD">
        <w:trPr>
          <w:trHeight w:hRule="exact" w:val="869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tabs>
                <w:tab w:val="left" w:pos="1134"/>
              </w:tabs>
              <w:spacing w:before="35" w:after="0" w:line="240" w:lineRule="exact"/>
              <w:ind w:left="170" w:right="19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Writing quickly enough to keep up with lecturer.</w:t>
            </w:r>
          </w:p>
        </w:tc>
        <w:tc>
          <w:tcPr>
            <w:tcW w:w="70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5365BD">
            <w:pPr>
              <w:tabs>
                <w:tab w:val="left" w:pos="1134"/>
              </w:tabs>
              <w:spacing w:before="26" w:after="0" w:line="240" w:lineRule="auto"/>
              <w:ind w:left="17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Disability support services may organise for a note-taker to take notes in lectures for you or discuss Assistive</w:t>
            </w:r>
            <w:r w:rsidR="005365BD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Technology options.</w:t>
            </w:r>
          </w:p>
        </w:tc>
      </w:tr>
      <w:tr w:rsidR="00FF437A" w:rsidTr="005365BD">
        <w:trPr>
          <w:trHeight w:hRule="exact" w:val="857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tabs>
                <w:tab w:val="left" w:pos="1134"/>
              </w:tabs>
              <w:spacing w:after="0" w:line="240" w:lineRule="auto"/>
              <w:ind w:left="17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Writing and listening at the same time.</w:t>
            </w:r>
          </w:p>
        </w:tc>
        <w:tc>
          <w:tcPr>
            <w:tcW w:w="70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5365BD">
            <w:pPr>
              <w:tabs>
                <w:tab w:val="left" w:pos="1134"/>
              </w:tabs>
              <w:spacing w:before="26" w:after="0" w:line="240" w:lineRule="auto"/>
              <w:ind w:left="17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Disability support services may organise for a note-taker to take notes in lectures for you or discuss Assistive</w:t>
            </w:r>
            <w:r w:rsidR="005365BD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Technology options.</w:t>
            </w:r>
          </w:p>
        </w:tc>
      </w:tr>
      <w:tr w:rsidR="00FF437A" w:rsidTr="005365BD">
        <w:trPr>
          <w:trHeight w:hRule="exact" w:val="837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spacing w:before="35" w:after="0" w:line="240" w:lineRule="exact"/>
              <w:ind w:left="170" w:right="15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Understanding abstract terms without concrete examples to clarify concepts.</w:t>
            </w:r>
          </w:p>
        </w:tc>
        <w:tc>
          <w:tcPr>
            <w:tcW w:w="70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spacing w:after="0" w:line="240" w:lineRule="auto"/>
              <w:ind w:left="17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Speak to your lecturer or tutor afterwards and ask for an alternative concrete example.</w:t>
            </w:r>
          </w:p>
        </w:tc>
      </w:tr>
      <w:tr w:rsidR="00FF437A" w:rsidTr="005365BD">
        <w:trPr>
          <w:trHeight w:hRule="exact" w:val="849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spacing w:before="35" w:after="0" w:line="240" w:lineRule="exact"/>
              <w:ind w:left="170" w:right="41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Deciding what is important when reading text books or journal articles.</w:t>
            </w:r>
          </w:p>
        </w:tc>
        <w:tc>
          <w:tcPr>
            <w:tcW w:w="70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spacing w:after="0" w:line="240" w:lineRule="auto"/>
              <w:ind w:left="17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The learning support service can help you with strategies to determine key messages.</w:t>
            </w:r>
          </w:p>
        </w:tc>
      </w:tr>
      <w:tr w:rsidR="00FF437A" w:rsidTr="005365BD">
        <w:trPr>
          <w:trHeight w:hRule="exact" w:val="1045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spacing w:before="35" w:after="0" w:line="240" w:lineRule="exact"/>
              <w:ind w:left="170" w:right="26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Interpreting general or large chunks of instructions.</w:t>
            </w:r>
          </w:p>
        </w:tc>
        <w:tc>
          <w:tcPr>
            <w:tcW w:w="70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spacing w:before="35" w:after="0" w:line="240" w:lineRule="exact"/>
              <w:ind w:left="173" w:right="796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Ask your instructor for clarification</w:t>
            </w:r>
            <w:r>
              <w:rPr>
                <w:rFonts w:ascii="Century Gothic" w:eastAsia="Century Gothic" w:hAnsi="Century Gothic" w:cs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of instructions. Relay back to them your understanding of what is required. They can then provide additional information.</w:t>
            </w:r>
          </w:p>
        </w:tc>
      </w:tr>
      <w:tr w:rsidR="00FF437A" w:rsidTr="005365BD">
        <w:trPr>
          <w:trHeight w:hRule="exact" w:val="1131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spacing w:before="35" w:after="0" w:line="240" w:lineRule="exact"/>
              <w:ind w:left="170" w:right="447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Concentrating on topics that do not interest me.</w:t>
            </w:r>
          </w:p>
        </w:tc>
        <w:tc>
          <w:tcPr>
            <w:tcW w:w="70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spacing w:before="35" w:after="0" w:line="240" w:lineRule="exact"/>
              <w:ind w:left="173" w:right="109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 xml:space="preserve">Do a Weekly Planner and allocate time and tasks to these topics. You will then be more likely to concentrate on them for the time allocated. Follow </w:t>
            </w:r>
            <w:r w:rsidR="005365BD"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 xml:space="preserve">the advice in Chapter 6 of this </w:t>
            </w: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booklet.</w:t>
            </w:r>
          </w:p>
        </w:tc>
      </w:tr>
      <w:tr w:rsidR="00FF437A" w:rsidTr="005365BD">
        <w:trPr>
          <w:trHeight w:hRule="exact" w:val="1133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spacing w:after="0" w:line="240" w:lineRule="auto"/>
              <w:ind w:left="17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Setting goals and being organised.</w:t>
            </w:r>
          </w:p>
        </w:tc>
        <w:tc>
          <w:tcPr>
            <w:tcW w:w="70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D7290B">
            <w:pPr>
              <w:spacing w:before="26" w:after="0" w:line="240" w:lineRule="auto"/>
              <w:ind w:left="17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Do a Semester Assessment Planner, and then a Weekly Planner each week. Follow the advice in Chapter</w:t>
            </w:r>
            <w:r w:rsidR="00D7290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6 of this booklet. Counselling or transition support staff may be able to assist you.</w:t>
            </w:r>
          </w:p>
        </w:tc>
      </w:tr>
      <w:tr w:rsidR="00FF437A" w:rsidTr="00EA119A">
        <w:trPr>
          <w:trHeight w:hRule="exact" w:val="540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spacing w:before="26" w:after="0" w:line="240" w:lineRule="auto"/>
              <w:ind w:left="17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Knowing what to study for in exams.</w:t>
            </w:r>
          </w:p>
        </w:tc>
        <w:tc>
          <w:tcPr>
            <w:tcW w:w="70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spacing w:before="26" w:after="0" w:line="240" w:lineRule="auto"/>
              <w:ind w:left="17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Talk to your tutor about an exam preparation strategy.</w:t>
            </w:r>
          </w:p>
        </w:tc>
      </w:tr>
      <w:tr w:rsidR="00FF437A" w:rsidTr="005365BD">
        <w:trPr>
          <w:trHeight w:hRule="exact" w:val="680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spacing w:before="26" w:after="0" w:line="240" w:lineRule="auto"/>
              <w:ind w:left="17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Sitting exams in unfamiliar surroundings.</w:t>
            </w:r>
          </w:p>
        </w:tc>
        <w:tc>
          <w:tcPr>
            <w:tcW w:w="70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spacing w:before="26" w:after="0" w:line="240" w:lineRule="auto"/>
              <w:ind w:left="17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Disability Services can arrange an alternative exam venue. Ask to visit this room before the exam.</w:t>
            </w:r>
          </w:p>
        </w:tc>
      </w:tr>
      <w:tr w:rsidR="00FF437A" w:rsidTr="00EA119A">
        <w:trPr>
          <w:trHeight w:hRule="exact" w:val="601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spacing w:after="0" w:line="240" w:lineRule="auto"/>
              <w:ind w:left="17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Being distracted in large exam rooms.</w:t>
            </w:r>
          </w:p>
        </w:tc>
        <w:tc>
          <w:tcPr>
            <w:tcW w:w="70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spacing w:before="35" w:after="0" w:line="240" w:lineRule="exact"/>
              <w:ind w:left="173" w:right="37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Disability Services can organise an alternative exam venue that is a smaller room, with less people and less distractions.</w:t>
            </w:r>
          </w:p>
        </w:tc>
      </w:tr>
      <w:tr w:rsidR="00FF437A" w:rsidTr="005365BD">
        <w:trPr>
          <w:trHeight w:hRule="exact" w:val="623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spacing w:before="35" w:after="0" w:line="240" w:lineRule="exact"/>
              <w:ind w:left="170" w:right="37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Being unable to concentrate in large lecture theatres.</w:t>
            </w:r>
          </w:p>
        </w:tc>
        <w:tc>
          <w:tcPr>
            <w:tcW w:w="70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spacing w:before="35" w:after="0" w:line="240" w:lineRule="exact"/>
              <w:ind w:left="173" w:right="127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Sit as near to the front of the lecture theatre as you can. Try and sit next to other students who concentrate.</w:t>
            </w:r>
          </w:p>
        </w:tc>
      </w:tr>
      <w:tr w:rsidR="00FF437A" w:rsidTr="005365BD">
        <w:trPr>
          <w:trHeight w:hRule="exact" w:val="1142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spacing w:after="0" w:line="240" w:lineRule="exact"/>
              <w:ind w:left="170" w:right="14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Feeling stressed or overwhelmed by the workload.</w:t>
            </w:r>
          </w:p>
        </w:tc>
        <w:tc>
          <w:tcPr>
            <w:tcW w:w="70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F437A" w:rsidRDefault="00FF437A" w:rsidP="00F14AD5">
            <w:pPr>
              <w:spacing w:before="35" w:after="0" w:line="240" w:lineRule="exact"/>
              <w:ind w:left="173" w:right="9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Review your Semester Assessment Planner and Weekly Planner (Chapter 6). Talk to transition support staff or counselling staff about your concerns. If you are doing a full study load, consider withdrawing from one subject. This can still be regarded as a full-time study load.</w:t>
            </w:r>
          </w:p>
        </w:tc>
      </w:tr>
      <w:tr w:rsidR="00FF437A" w:rsidTr="005365BD">
        <w:trPr>
          <w:trHeight w:hRule="exact" w:val="426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FF437A" w:rsidRDefault="00FF437A" w:rsidP="00F14AD5">
            <w:pPr>
              <w:spacing w:before="26" w:after="0" w:line="240" w:lineRule="auto"/>
              <w:ind w:left="17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Managing anxiety and stress</w:t>
            </w:r>
          </w:p>
        </w:tc>
        <w:tc>
          <w:tcPr>
            <w:tcW w:w="70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FF437A" w:rsidRDefault="00FF437A" w:rsidP="00F14AD5">
            <w:pPr>
              <w:spacing w:before="26" w:after="0" w:line="240" w:lineRule="auto"/>
              <w:ind w:left="17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Talk to a counsellor in student support services.</w:t>
            </w:r>
          </w:p>
        </w:tc>
      </w:tr>
    </w:tbl>
    <w:p w:rsidR="008A02FF" w:rsidRDefault="008A02FF" w:rsidP="00EA119A"/>
    <w:sectPr w:rsidR="008A02FF" w:rsidSect="00EA119A">
      <w:footerReference w:type="default" r:id="rId7"/>
      <w:pgSz w:w="11906" w:h="16838"/>
      <w:pgMar w:top="426" w:right="849" w:bottom="1440" w:left="56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37A" w:rsidRDefault="00FF437A" w:rsidP="00613D30">
      <w:pPr>
        <w:spacing w:after="0" w:line="240" w:lineRule="auto"/>
      </w:pPr>
      <w:r>
        <w:separator/>
      </w:r>
    </w:p>
  </w:endnote>
  <w:endnote w:type="continuationSeparator" w:id="0">
    <w:p w:rsidR="00FF437A" w:rsidRDefault="00FF437A" w:rsidP="0061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on Flower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entury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422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7CAF" w:rsidRDefault="001A7CAF" w:rsidP="00703BBE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90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A7CAF" w:rsidRDefault="005365BD" w:rsidP="001A7CAF">
    <w:pPr>
      <w:tabs>
        <w:tab w:val="left" w:pos="5535"/>
      </w:tabs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</w:pPr>
    <w:r w:rsidRPr="00613D30">
      <w:rPr>
        <w:noProof/>
      </w:rPr>
      <w:drawing>
        <wp:anchor distT="0" distB="0" distL="114300" distR="114300" simplePos="0" relativeHeight="251658240" behindDoc="0" locked="0" layoutInCell="1" allowOverlap="1" wp14:anchorId="03BB1DF0" wp14:editId="3C7821D5">
          <wp:simplePos x="0" y="0"/>
          <wp:positionH relativeFrom="page">
            <wp:posOffset>4490720</wp:posOffset>
          </wp:positionH>
          <wp:positionV relativeFrom="paragraph">
            <wp:posOffset>205740</wp:posOffset>
          </wp:positionV>
          <wp:extent cx="2777729" cy="780603"/>
          <wp:effectExtent l="0" t="0" r="3810" b="635"/>
          <wp:wrapThrough wrapText="bothSides">
            <wp:wrapPolygon edited="0">
              <wp:start x="0" y="0"/>
              <wp:lineTo x="0" y="21090"/>
              <wp:lineTo x="21481" y="21090"/>
              <wp:lineTo x="21481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CO Provide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729" cy="780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7CAF" w:rsidRPr="008343FD" w:rsidRDefault="001A7CAF" w:rsidP="001A7CAF">
    <w:pPr>
      <w:tabs>
        <w:tab w:val="left" w:pos="5535"/>
      </w:tabs>
      <w:rPr>
        <w:color w:val="2E74B5" w:themeColor="accent1" w:themeShade="BF"/>
        <w:sz w:val="36"/>
        <w:szCs w:val="36"/>
      </w:rPr>
    </w:pPr>
    <w:r w:rsidRPr="008343FD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t>How to transition to tertiary education</w:t>
    </w:r>
    <w:r w:rsidRPr="001A7CAF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tab/>
    </w:r>
    <w:r w:rsidRPr="008343FD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br/>
      <w:t>Helpful hints for people with autism spectrum disorder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37A" w:rsidRDefault="00FF437A" w:rsidP="00613D30">
      <w:pPr>
        <w:spacing w:after="0" w:line="240" w:lineRule="auto"/>
      </w:pPr>
      <w:r>
        <w:separator/>
      </w:r>
    </w:p>
  </w:footnote>
  <w:footnote w:type="continuationSeparator" w:id="0">
    <w:p w:rsidR="00FF437A" w:rsidRDefault="00FF437A" w:rsidP="00613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7A"/>
    <w:rsid w:val="000464E1"/>
    <w:rsid w:val="00175BB7"/>
    <w:rsid w:val="001A7CAF"/>
    <w:rsid w:val="00276FA1"/>
    <w:rsid w:val="004701F5"/>
    <w:rsid w:val="004E1B17"/>
    <w:rsid w:val="005365BD"/>
    <w:rsid w:val="00552CBA"/>
    <w:rsid w:val="00606CE7"/>
    <w:rsid w:val="00613D30"/>
    <w:rsid w:val="00627243"/>
    <w:rsid w:val="006735C2"/>
    <w:rsid w:val="00703BBE"/>
    <w:rsid w:val="008A02FF"/>
    <w:rsid w:val="00926A72"/>
    <w:rsid w:val="00BC085C"/>
    <w:rsid w:val="00C001F3"/>
    <w:rsid w:val="00C409EE"/>
    <w:rsid w:val="00D7290B"/>
    <w:rsid w:val="00E07D75"/>
    <w:rsid w:val="00EA119A"/>
    <w:rsid w:val="00F14AD5"/>
    <w:rsid w:val="00F8484C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65D5153-F592-4892-B714-EFEAF380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3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D30"/>
  </w:style>
  <w:style w:type="paragraph" w:styleId="Footer">
    <w:name w:val="footer"/>
    <w:basedOn w:val="Normal"/>
    <w:link w:val="FooterChar"/>
    <w:uiPriority w:val="99"/>
    <w:unhideWhenUsed/>
    <w:rsid w:val="006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D30"/>
  </w:style>
  <w:style w:type="character" w:customStyle="1" w:styleId="Heading2Char">
    <w:name w:val="Heading 2 Char"/>
    <w:basedOn w:val="DefaultParagraphFont"/>
    <w:link w:val="Heading2"/>
    <w:uiPriority w:val="9"/>
    <w:rsid w:val="00613D3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61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VC-SE\Projects%20and%20Evaluations%20Unit\ADCET\2012-2014\Autism%20Resource%20(NDCO%20Deb%20Hindle)\Tab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5CC32-A661-4640-A25F-F430570C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Table Template</Template>
  <TotalTime>166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Resources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7</cp:revision>
  <cp:lastPrinted>2015-06-12T07:13:00Z</cp:lastPrinted>
  <dcterms:created xsi:type="dcterms:W3CDTF">2015-06-11T04:55:00Z</dcterms:created>
  <dcterms:modified xsi:type="dcterms:W3CDTF">2015-06-12T07:15:00Z</dcterms:modified>
</cp:coreProperties>
</file>