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D320AB" w14:textId="77777777" w:rsidR="001D2F1B" w:rsidRDefault="001D2F1B">
      <w:pPr>
        <w:pStyle w:val="Title"/>
        <w:rPr>
          <w:lang w:val="en-AU" w:eastAsia="en-GB"/>
        </w:rPr>
      </w:pPr>
      <w:r w:rsidRPr="001D2F1B">
        <w:rPr>
          <w:b/>
          <w:bCs/>
          <w:color w:val="003368"/>
        </w:rPr>
        <w:t>ADCET</w:t>
      </w:r>
    </w:p>
    <w:p w14:paraId="24F600D0" w14:textId="77777777" w:rsidR="001D2F1B" w:rsidRDefault="001D2F1B">
      <w:pPr>
        <w:pStyle w:val="Subtitle"/>
        <w:rPr>
          <w:lang w:val="en-AU" w:eastAsia="en-GB"/>
        </w:rPr>
      </w:pPr>
      <w:r>
        <w:rPr>
          <w:color w:val="003368"/>
        </w:rPr>
        <w:t>Australian Disability Clearinghouse on Education and Training</w:t>
      </w:r>
    </w:p>
    <w:p w14:paraId="1B604011" w14:textId="77777777" w:rsidR="001D2F1B" w:rsidRDefault="001D2F1B">
      <w:pPr>
        <w:rPr>
          <w:lang w:val="en-AU" w:eastAsia="en-GB"/>
        </w:rPr>
      </w:pPr>
      <w:r w:rsidRPr="001D2F1B">
        <w:rPr>
          <w:i/>
          <w:iCs/>
        </w:rPr>
        <w:t>Supporting you, Supporting Students</w:t>
      </w:r>
    </w:p>
    <w:p w14:paraId="1DECC596" w14:textId="77777777" w:rsidR="001D2F1B" w:rsidRDefault="001D2F1B">
      <w:pPr>
        <w:rPr>
          <w:lang w:val="en-AU" w:eastAsia="en-GB"/>
        </w:rPr>
      </w:pPr>
      <w:r w:rsidRPr="001D2F1B">
        <w:rPr>
          <w:b/>
          <w:bCs/>
          <w:color w:val="003368"/>
        </w:rPr>
        <w:t>Submission to the Australian Tertiary Education Commission</w:t>
      </w:r>
    </w:p>
    <w:p w14:paraId="1E1B60D7" w14:textId="77777777" w:rsidR="001D2F1B" w:rsidRDefault="001D2F1B">
      <w:pPr>
        <w:rPr>
          <w:lang w:val="en-AU" w:eastAsia="en-GB"/>
        </w:rPr>
      </w:pPr>
      <w:r>
        <w:rPr>
          <w:color w:val="231F20"/>
        </w:rPr>
        <w:t>Draft Statement of Strategic Priorities 2027–28 and draft Workplan 2027 and 2028</w:t>
      </w:r>
    </w:p>
    <w:p w14:paraId="4BF753D0" w14:textId="77777777" w:rsidR="001D2F1B" w:rsidRDefault="001D2F1B">
      <w:pPr>
        <w:rPr>
          <w:lang w:val="en-AU" w:eastAsia="en-GB"/>
        </w:rPr>
      </w:pPr>
      <w:r>
        <w:rPr>
          <w:color w:val="231F20"/>
        </w:rPr>
        <w:t>October 2026</w:t>
      </w:r>
    </w:p>
    <w:p w14:paraId="18A068C3" w14:textId="77777777" w:rsidR="001D2F1B" w:rsidRDefault="001D2F1B">
      <w:pPr>
        <w:rPr>
          <w:lang w:val="en-AU" w:eastAsia="en-GB"/>
        </w:rPr>
      </w:pPr>
    </w:p>
    <w:p w14:paraId="3D525A0C" w14:textId="472AB48E" w:rsidR="036056D1" w:rsidRDefault="036056D1" w:rsidP="036056D1">
      <w:r>
        <w:br w:type="page"/>
      </w:r>
    </w:p>
    <w:p w14:paraId="79E568CA" w14:textId="57BEE0FA" w:rsidR="036056D1" w:rsidRDefault="5ADF9E80" w:rsidP="4BC2B241">
      <w:pPr>
        <w:pStyle w:val="Heading1"/>
      </w:pPr>
      <w:r>
        <w:lastRenderedPageBreak/>
        <w:t>Introduction</w:t>
      </w:r>
    </w:p>
    <w:p w14:paraId="66745885" w14:textId="1240166E" w:rsidR="007F26E9" w:rsidRDefault="2ED0F5EC" w:rsidP="4BC2B241">
      <w:r>
        <w:t xml:space="preserve">The Australian Disability Clearinghouse on Education and Training (ADCET) is pleased to comment on the Australian Tertiary Education Commission (ATEC) draft Statement of Strategic Priorities (SSP) and draft Workplan. </w:t>
      </w:r>
      <w:r w:rsidR="007F26E9">
        <w:rPr>
          <w:rStyle w:val="EndnoteReference"/>
        </w:rPr>
        <w:endnoteReference w:id="1"/>
      </w:r>
      <w:r w:rsidR="007F26E9">
        <w:rPr>
          <w:rStyle w:val="EndnoteReference"/>
        </w:rPr>
        <w:endnoteReference w:id="2"/>
      </w:r>
      <w:r>
        <w:t xml:space="preserve"> ADCET is a national resource on disability in tertiary education, funded by the Australian Government Department of Education under the Higher Education Disability Support Program and hosted by the University of Tasmania.</w:t>
      </w:r>
      <w:r>
        <w:rPr>
          <w:sz w:val="16"/>
          <w:szCs w:val="16"/>
        </w:rPr>
        <w:t xml:space="preserve"> </w:t>
      </w:r>
      <w:r w:rsidR="007F26E9">
        <w:rPr>
          <w:rStyle w:val="EndnoteReference"/>
        </w:rPr>
        <w:endnoteReference w:id="3"/>
      </w:r>
    </w:p>
    <w:p w14:paraId="261EC56F" w14:textId="25B6A97F" w:rsidR="00C67412" w:rsidRDefault="0031737B" w:rsidP="4BC2B241">
      <w:r>
        <w:t xml:space="preserve">ADCET welcomes ATEC’s plan to develop a National Disability Strategy for </w:t>
      </w:r>
      <w:r w:rsidR="0071489B">
        <w:t>Higher Education (the Strategy).</w:t>
      </w:r>
      <w:r>
        <w:t xml:space="preserve"> The need for the </w:t>
      </w:r>
      <w:r w:rsidR="0071489B">
        <w:t>Strategy</w:t>
      </w:r>
      <w:r>
        <w:t xml:space="preserve"> is longstanding, with known and persistent barriers </w:t>
      </w:r>
      <w:r w:rsidR="00CB38F0">
        <w:t xml:space="preserve">in the tertiary sector </w:t>
      </w:r>
      <w:r>
        <w:t>requiring clear national policy responses beyond the reach of advocates, individual programs and institutions.</w:t>
      </w:r>
    </w:p>
    <w:p w14:paraId="78C3EB65" w14:textId="7F8728F8" w:rsidR="007F26E9" w:rsidRDefault="007F26E9">
      <w:pPr>
        <w:rPr>
          <w:lang w:val="en-AU" w:eastAsia="en-GB"/>
        </w:rPr>
      </w:pPr>
      <w:r>
        <w:t>In 2002, the National Regional Disability Liaison Officer (RDLO) Initiative made a submission to the Senate Employment, Workplace Relations and Education References Committee inquiry into the education of students with disabilities. The submission described inconsistent eligibility and documentation requirements across sectors, poor transfer of assessment and adjustment information, costly assessments</w:t>
      </w:r>
      <w:r w:rsidR="00333E09">
        <w:t xml:space="preserve"> and </w:t>
      </w:r>
      <w:r>
        <w:t>uneven staff capability.</w:t>
      </w:r>
      <w:r>
        <w:rPr>
          <w:sz w:val="16"/>
          <w:szCs w:val="16"/>
        </w:rPr>
        <w:t xml:space="preserve"> </w:t>
      </w:r>
      <w:r>
        <w:rPr>
          <w:rStyle w:val="EndnoteReference"/>
        </w:rPr>
        <w:endnoteReference w:id="4"/>
      </w:r>
    </w:p>
    <w:p w14:paraId="3E5DF383" w14:textId="607D0726" w:rsidR="007F26E9" w:rsidRDefault="007F26E9">
      <w:pPr>
        <w:rPr>
          <w:lang w:val="en-AU" w:eastAsia="en-GB"/>
        </w:rPr>
      </w:pPr>
      <w:r>
        <w:t>In October 2026, the National Student Ombudsman (NSO) released its annual report, providing current evidence that related barriers remain within higher education. Fifteen per cent of students who contacted the NSO identified as having disability or an accessibility requirement. Complaints from students with disability concerned learning access plans, onerous documentation, inconsistent staff practice, delayed or refused support, and repeated requirements to establish their needs. The report also noted that intersecting identities can compound disability-related barriers.</w:t>
      </w:r>
      <w:r>
        <w:rPr>
          <w:sz w:val="16"/>
          <w:szCs w:val="16"/>
        </w:rPr>
        <w:t xml:space="preserve"> </w:t>
      </w:r>
      <w:r>
        <w:rPr>
          <w:rStyle w:val="EndnoteReference"/>
        </w:rPr>
        <w:endnoteReference w:id="5"/>
      </w:r>
    </w:p>
    <w:p w14:paraId="34B6FCE9" w14:textId="65809121" w:rsidR="006C73A6" w:rsidRDefault="00154F72">
      <w:pPr>
        <w:rPr>
          <w:lang w:val="en-AU" w:eastAsia="en-GB"/>
        </w:rPr>
      </w:pPr>
      <w:r>
        <w:t xml:space="preserve">The 2002 RDLO submission and the NSO’s current complaint evidence are separated by almost 25 years, yet </w:t>
      </w:r>
      <w:r w:rsidR="001F0087">
        <w:t xml:space="preserve">together </w:t>
      </w:r>
      <w:r>
        <w:t>they identify related barriers that still require policy responses:</w:t>
      </w:r>
    </w:p>
    <w:p w14:paraId="6936F5B3" w14:textId="2A255F92" w:rsidR="00C67412" w:rsidRDefault="0031737B" w:rsidP="00345323">
      <w:pPr>
        <w:pStyle w:val="ListParagraph"/>
        <w:numPr>
          <w:ilvl w:val="0"/>
          <w:numId w:val="1"/>
        </w:numPr>
        <w:rPr>
          <w:lang w:val="en-AU" w:eastAsia="en-GB"/>
        </w:rPr>
      </w:pPr>
      <w:r>
        <w:t xml:space="preserve">inconsistent requirements for </w:t>
      </w:r>
      <w:proofErr w:type="spellStart"/>
      <w:r>
        <w:t>recognising</w:t>
      </w:r>
      <w:proofErr w:type="spellEnd"/>
      <w:r>
        <w:t xml:space="preserve"> disability and establishing eligibility for support across </w:t>
      </w:r>
      <w:r w:rsidR="008E6EE8">
        <w:t>schools, vocational education</w:t>
      </w:r>
      <w:r>
        <w:t xml:space="preserve"> and </w:t>
      </w:r>
      <w:r w:rsidR="008E6EE8">
        <w:t>training (VET), and higher education</w:t>
      </w:r>
      <w:r>
        <w:t>.</w:t>
      </w:r>
    </w:p>
    <w:p w14:paraId="467F43BA" w14:textId="77777777" w:rsidR="00A80353" w:rsidRDefault="00A80353" w:rsidP="00345323">
      <w:pPr>
        <w:pStyle w:val="ListParagraph"/>
        <w:numPr>
          <w:ilvl w:val="0"/>
          <w:numId w:val="1"/>
        </w:numPr>
        <w:spacing w:line="278" w:lineRule="auto"/>
        <w:contextualSpacing w:val="0"/>
      </w:pPr>
      <w:r>
        <w:t>documentation and assessment requirements that can be costly, onerous or difficult to obtain, and variable by provider as to what is required</w:t>
      </w:r>
    </w:p>
    <w:p w14:paraId="7C7CCC35" w14:textId="2F6752F3" w:rsidR="0019650D" w:rsidRDefault="0C7FFEB6" w:rsidP="00345323">
      <w:pPr>
        <w:pStyle w:val="ListParagraph"/>
        <w:numPr>
          <w:ilvl w:val="0"/>
          <w:numId w:val="1"/>
        </w:numPr>
        <w:spacing w:line="278" w:lineRule="auto"/>
        <w:contextualSpacing w:val="0"/>
      </w:pPr>
      <w:r>
        <w:t>p</w:t>
      </w:r>
      <w:r w:rsidR="59CBFA1E">
        <w:t>oor</w:t>
      </w:r>
      <w:r w:rsidR="0019650D">
        <w:t xml:space="preserve"> continuity of assessment, adjustment and support information, leaving students to </w:t>
      </w:r>
      <w:r w:rsidR="00EB3CBB">
        <w:t>re-disclose their needs</w:t>
      </w:r>
      <w:r w:rsidR="001F3ECF">
        <w:t xml:space="preserve"> including during transitions between sectors or providers</w:t>
      </w:r>
    </w:p>
    <w:p w14:paraId="241D7BF9" w14:textId="5430A6B6" w:rsidR="0019650D" w:rsidRDefault="0019650D" w:rsidP="00345323">
      <w:pPr>
        <w:pStyle w:val="ListParagraph"/>
        <w:numPr>
          <w:ilvl w:val="0"/>
          <w:numId w:val="1"/>
        </w:numPr>
        <w:spacing w:line="278" w:lineRule="auto"/>
        <w:contextualSpacing w:val="0"/>
      </w:pPr>
      <w:r>
        <w:lastRenderedPageBreak/>
        <w:t xml:space="preserve">additional barriers for students with disability </w:t>
      </w:r>
      <w:r w:rsidR="004825B8">
        <w:t xml:space="preserve">who </w:t>
      </w:r>
      <w:r w:rsidR="00152225">
        <w:t xml:space="preserve">have intersectional equity </w:t>
      </w:r>
      <w:r w:rsidR="002A7081">
        <w:t>and support requirements</w:t>
      </w:r>
    </w:p>
    <w:p w14:paraId="794C580F" w14:textId="77777777" w:rsidR="00774E8B" w:rsidRDefault="0019650D" w:rsidP="00345323">
      <w:pPr>
        <w:pStyle w:val="ListParagraph"/>
        <w:numPr>
          <w:ilvl w:val="0"/>
          <w:numId w:val="1"/>
        </w:numPr>
        <w:spacing w:line="278" w:lineRule="auto"/>
        <w:contextualSpacing w:val="0"/>
      </w:pPr>
      <w:r>
        <w:t xml:space="preserve">uneven disability capability among educators, administrative </w:t>
      </w:r>
      <w:r w:rsidR="00774E8B">
        <w:t xml:space="preserve">and support </w:t>
      </w:r>
      <w:r>
        <w:t xml:space="preserve">staff </w:t>
      </w:r>
    </w:p>
    <w:p w14:paraId="14DD154A" w14:textId="7E900190" w:rsidR="00C67412" w:rsidRDefault="00C210F7" w:rsidP="00774E8B">
      <w:pPr>
        <w:spacing w:line="278" w:lineRule="auto"/>
        <w:ind w:left="360"/>
      </w:pPr>
      <w:r>
        <w:t xml:space="preserve">There is a clear need for a national strategy for disability in Higher Education, and for ATEC’s </w:t>
      </w:r>
      <w:r w:rsidR="00116037">
        <w:t>SSP and work plan to consider disability at each opportunity.</w:t>
      </w:r>
      <w:r>
        <w:t xml:space="preserve"> </w:t>
      </w:r>
      <w:r w:rsidR="0031737B">
        <w:t xml:space="preserve">This submission proposes practical changes to the draft SSP and </w:t>
      </w:r>
      <w:proofErr w:type="gramStart"/>
      <w:r w:rsidR="0031737B">
        <w:t>Workplan</w:t>
      </w:r>
      <w:proofErr w:type="gramEnd"/>
      <w:r w:rsidR="0031737B">
        <w:t xml:space="preserve"> so disability is more clearly addressed across ATEC’s priorities and projects</w:t>
      </w:r>
      <w:r w:rsidR="00F33F2A">
        <w:t xml:space="preserve"> </w:t>
      </w:r>
      <w:r w:rsidR="0031737B">
        <w:t xml:space="preserve">while the </w:t>
      </w:r>
      <w:r w:rsidR="00227EB6">
        <w:t>Strategy</w:t>
      </w:r>
      <w:r w:rsidR="0031737B">
        <w:t xml:space="preserve"> is developed.</w:t>
      </w:r>
    </w:p>
    <w:p w14:paraId="4B6C04A0" w14:textId="3300FF40" w:rsidR="036056D1" w:rsidRDefault="036056D1" w:rsidP="036056D1">
      <w:pPr>
        <w:pStyle w:val="Heading1"/>
      </w:pPr>
      <w:r>
        <w:t>Summary of recommendations</w:t>
      </w:r>
    </w:p>
    <w:p w14:paraId="79BFE301" w14:textId="7D345724" w:rsidR="036056D1" w:rsidRDefault="459FE756" w:rsidP="036056D1">
      <w:r>
        <w:t>ADCET recommends that ATEC:</w:t>
      </w:r>
    </w:p>
    <w:p w14:paraId="1870EEDF" w14:textId="77777777" w:rsidR="00F91823" w:rsidRDefault="00F91823" w:rsidP="00345323">
      <w:pPr>
        <w:pStyle w:val="ListParagraph"/>
        <w:numPr>
          <w:ilvl w:val="0"/>
          <w:numId w:val="3"/>
        </w:numPr>
        <w:rPr>
          <w:lang w:val="en-AU" w:eastAsia="en-GB"/>
        </w:rPr>
      </w:pPr>
      <w:r>
        <w:t>revise the wording of the SSP to be specific at each opportunity about ATEC's section 14 objective of improving outcomes for persons with disability</w:t>
      </w:r>
    </w:p>
    <w:p w14:paraId="3F889D7B" w14:textId="0B3B0A7E" w:rsidR="006C73A6" w:rsidRPr="00EE742E" w:rsidRDefault="00154F72" w:rsidP="00EE742E">
      <w:pPr>
        <w:pStyle w:val="ListParagraph"/>
        <w:numPr>
          <w:ilvl w:val="0"/>
          <w:numId w:val="3"/>
        </w:numPr>
        <w:rPr>
          <w:lang w:val="en-AU" w:eastAsia="en-GB"/>
        </w:rPr>
      </w:pPr>
      <w:r>
        <w:t>revise the Workplan so each project considers the section 14 groups relevant to its scope and expected effects, and include work to map national disability-enabling infrastructure</w:t>
      </w:r>
    </w:p>
    <w:p w14:paraId="770E418F" w14:textId="12452A98" w:rsidR="006C73A6" w:rsidRPr="00286554" w:rsidRDefault="00154F72" w:rsidP="00286554">
      <w:pPr>
        <w:pStyle w:val="ListParagraph"/>
        <w:numPr>
          <w:ilvl w:val="0"/>
          <w:numId w:val="3"/>
        </w:numPr>
        <w:rPr>
          <w:lang w:val="en-AU" w:eastAsia="en-GB"/>
        </w:rPr>
      </w:pPr>
      <w:r>
        <w:t xml:space="preserve">use the planned reviews of needs-based funding and outreach, and include FEE-FREE Uni Ready (FFUR) courses, to assess whether these programs are accessible to students with disability by design and in implementation, and how they interact with the </w:t>
      </w:r>
      <w:r w:rsidR="00286554">
        <w:t>Disability Support Fund (</w:t>
      </w:r>
      <w:r>
        <w:t>DSF</w:t>
      </w:r>
      <w:r w:rsidR="00286554">
        <w:t>); and monitor and review implementation of the revised DSF guidelines</w:t>
      </w:r>
    </w:p>
    <w:p w14:paraId="1DC5642B" w14:textId="77777777" w:rsidR="00F91823" w:rsidRDefault="00F91823">
      <w:pPr>
        <w:pStyle w:val="Heading1"/>
        <w:rPr>
          <w:rFonts w:cstheme="minorBidi"/>
          <w:lang w:val="en-AU" w:eastAsia="en-GB"/>
        </w:rPr>
      </w:pPr>
      <w:r>
        <w:rPr>
          <w:rFonts w:cstheme="minorBidi"/>
        </w:rPr>
        <w:t>Recommendation 1: Make disability explicit across the outcomes and relevant strategic priorities</w:t>
      </w:r>
    </w:p>
    <w:p w14:paraId="2A172626" w14:textId="43247F44" w:rsidR="007F26E9" w:rsidRDefault="007F26E9">
      <w:pPr>
        <w:rPr>
          <w:lang w:val="en-AU" w:eastAsia="en-GB"/>
        </w:rPr>
      </w:pPr>
      <w:r>
        <w:t>Section 14 of the Universities Accord (Australian Tertiary Education Commission) Act 2026 (ATEC Act) sets an objective of improving outcomes for groups facing systemic barriers to education, including persons with disability.</w:t>
      </w:r>
      <w:r>
        <w:rPr>
          <w:sz w:val="16"/>
          <w:szCs w:val="16"/>
        </w:rPr>
        <w:t xml:space="preserve"> </w:t>
      </w:r>
      <w:r>
        <w:rPr>
          <w:rStyle w:val="EndnoteReference"/>
        </w:rPr>
        <w:endnoteReference w:id="6"/>
      </w:r>
      <w:r>
        <w:t xml:space="preserve"> The two drafts provide opportunities to strengthen implementation of this objective. Recommendations 1.1 to 1.4 identify changes that would ensure ATEC’s strategic direction and activities are more clearly guided by, and assessed against, section 14.</w:t>
      </w:r>
    </w:p>
    <w:p w14:paraId="2DA12BB5" w14:textId="4A15A11C" w:rsidR="00C67412" w:rsidRPr="002F75BE" w:rsidRDefault="0031737B" w:rsidP="002F75BE">
      <w:pPr>
        <w:pStyle w:val="Heading2"/>
        <w:rPr>
          <w:rFonts w:cstheme="minorBidi"/>
        </w:rPr>
      </w:pPr>
      <w:r>
        <w:t xml:space="preserve">Recommendation 1.1: </w:t>
      </w:r>
      <w:r w:rsidR="002F75BE">
        <w:rPr>
          <w:rFonts w:cstheme="minorBidi"/>
        </w:rPr>
        <w:t>Name section 14</w:t>
      </w:r>
      <w:r>
        <w:t xml:space="preserve"> groups in the equity outcome</w:t>
      </w:r>
    </w:p>
    <w:p w14:paraId="6AA1386A" w14:textId="5E900A90" w:rsidR="4BC2B241" w:rsidRDefault="4BC2B241" w:rsidP="4BC2B241">
      <w:r w:rsidRPr="4BC2B241">
        <w:rPr>
          <w:b/>
          <w:bCs/>
        </w:rPr>
        <w:t>Revise the Equitable access, participation and success outcome so the supporting text explicitly names the groups identified in section 14 of the ATEC Act, including students with disability.</w:t>
      </w:r>
    </w:p>
    <w:p w14:paraId="78649CFA" w14:textId="771F4F0E" w:rsidR="007F26E9" w:rsidRDefault="007F26E9">
      <w:pPr>
        <w:rPr>
          <w:lang w:val="en-AU" w:eastAsia="en-GB"/>
        </w:rPr>
      </w:pPr>
      <w:r>
        <w:t>The draft outcome refers broadly to “all Australians” and access “regardless of their background or circumstances”.</w:t>
      </w:r>
      <w:r>
        <w:rPr>
          <w:sz w:val="16"/>
          <w:szCs w:val="16"/>
        </w:rPr>
        <w:t xml:space="preserve"> </w:t>
      </w:r>
      <w:r>
        <w:rPr>
          <w:rStyle w:val="EndnoteReference"/>
        </w:rPr>
        <w:endnoteReference w:id="7"/>
      </w:r>
      <w:r>
        <w:t xml:space="preserve"> Explicitly naming the groups in section 14 within the explanatory text, including students with disability, would align the outcome with ATEC’s </w:t>
      </w:r>
      <w:r>
        <w:lastRenderedPageBreak/>
        <w:t>statutory objective</w:t>
      </w:r>
      <w:r w:rsidR="00F772E9">
        <w:t>,</w:t>
      </w:r>
      <w:r>
        <w:t xml:space="preserve"> provide a clearer basis for assessing whether ATEC’s work improves their outcomes</w:t>
      </w:r>
      <w:r w:rsidR="00F772E9">
        <w:t xml:space="preserve">, and better link with the </w:t>
      </w:r>
      <w:r w:rsidR="00A96F1C">
        <w:t>subsequent equity priority.</w:t>
      </w:r>
    </w:p>
    <w:p w14:paraId="67E2DA8A" w14:textId="088384A5" w:rsidR="00C67412" w:rsidRPr="00010C4D" w:rsidRDefault="0031737B" w:rsidP="00185524">
      <w:pPr>
        <w:pStyle w:val="Heading2"/>
        <w:rPr>
          <w:rFonts w:cstheme="minorBidi"/>
        </w:rPr>
      </w:pPr>
      <w:r>
        <w:t xml:space="preserve">Recommendation 1.2: </w:t>
      </w:r>
      <w:r w:rsidR="00185524">
        <w:rPr>
          <w:rFonts w:cstheme="minorBidi"/>
        </w:rPr>
        <w:t>Specify</w:t>
      </w:r>
      <w:r>
        <w:rPr>
          <w:rFonts w:cstheme="minorBidi"/>
        </w:rPr>
        <w:t xml:space="preserve"> disability inclusion in quality</w:t>
      </w:r>
      <w:r>
        <w:t xml:space="preserve"> teaching</w:t>
      </w:r>
    </w:p>
    <w:p w14:paraId="17ACE1AB" w14:textId="1BE31385" w:rsidR="007F26E9" w:rsidRDefault="007F26E9">
      <w:pPr>
        <w:rPr>
          <w:lang w:val="en-AU" w:eastAsia="en-GB"/>
        </w:rPr>
      </w:pPr>
      <w:r w:rsidRPr="00B737D4">
        <w:rPr>
          <w:b/>
          <w:bCs/>
        </w:rPr>
        <w:t xml:space="preserve">Revise the Quality teaching priority to state that inclusive and supportive learning environments must be accessible to students with </w:t>
      </w:r>
      <w:proofErr w:type="gramStart"/>
      <w:r w:rsidRPr="00B737D4">
        <w:rPr>
          <w:b/>
          <w:bCs/>
        </w:rPr>
        <w:t>disability, and</w:t>
      </w:r>
      <w:proofErr w:type="gramEnd"/>
      <w:r w:rsidRPr="00B737D4">
        <w:rPr>
          <w:b/>
          <w:bCs/>
        </w:rPr>
        <w:t xml:space="preserve"> require ATEC’s planned advice to the Minister on teaching quality to address how this will be achieved.</w:t>
      </w:r>
    </w:p>
    <w:p w14:paraId="0A43D0E0" w14:textId="50C5E0EE" w:rsidR="00C65608" w:rsidRDefault="00C65608">
      <w:pPr>
        <w:rPr>
          <w:lang w:val="en-AU" w:eastAsia="en-GB"/>
        </w:rPr>
      </w:pPr>
      <w:r>
        <w:t>The draft priority commits to meeting the educational needs of all students through “engaging, inclusive and supportive learning environments” and to ensuring academic staff are well prepared to facilitate good teaching.</w:t>
      </w:r>
      <w:r>
        <w:rPr>
          <w:sz w:val="16"/>
          <w:szCs w:val="16"/>
        </w:rPr>
        <w:t xml:space="preserve"> </w:t>
      </w:r>
      <w:r>
        <w:rPr>
          <w:rStyle w:val="EndnoteReference"/>
        </w:rPr>
        <w:endnoteReference w:id="8"/>
      </w:r>
      <w:r>
        <w:t xml:space="preserve"> However, it does not yet identify </w:t>
      </w:r>
      <w:r w:rsidR="005A30F9">
        <w:t xml:space="preserve">specifics needed related to </w:t>
      </w:r>
      <w:r>
        <w:t>accessibility, students with disability</w:t>
      </w:r>
      <w:r w:rsidR="000C35AB">
        <w:t xml:space="preserve">, universal design options or </w:t>
      </w:r>
      <w:r>
        <w:t xml:space="preserve">reasonable adjustments. </w:t>
      </w:r>
    </w:p>
    <w:p w14:paraId="4A6A0B65" w14:textId="26652C39" w:rsidR="000834A4" w:rsidRDefault="007F26E9" w:rsidP="00DC6806">
      <w:pPr>
        <w:rPr>
          <w:sz w:val="16"/>
          <w:szCs w:val="16"/>
        </w:rPr>
      </w:pPr>
      <w:r>
        <w:t>The NSO’s report illustrates a need for granular specificity in this space, calling for academic staff—not only disability support staff—to be equipped to implement learning access plans promptly.</w:t>
      </w:r>
      <w:r>
        <w:rPr>
          <w:rStyle w:val="EndnoteReference"/>
        </w:rPr>
        <w:endnoteReference w:id="9"/>
      </w:r>
    </w:p>
    <w:p w14:paraId="21138D2D" w14:textId="713F4B27" w:rsidR="007F26E9" w:rsidRDefault="007F26E9" w:rsidP="64E42F90">
      <w:r>
        <w:t>ATEC’s planned advice to the Minister on teaching quality should address accessible curriculum and assessment design, timely implementation of reasonable adjustments, accessible teaching technologies and practices, and academic staff capability to implement these measures.</w:t>
      </w:r>
    </w:p>
    <w:p w14:paraId="1ECC7520" w14:textId="68282C80" w:rsidR="00C67412" w:rsidRPr="007B13D9" w:rsidRDefault="0031737B" w:rsidP="007B13D9">
      <w:pPr>
        <w:pStyle w:val="Heading2"/>
        <w:rPr>
          <w:rFonts w:cstheme="minorBidi"/>
        </w:rPr>
      </w:pPr>
      <w:r>
        <w:t xml:space="preserve">Recommendation 1.3: </w:t>
      </w:r>
      <w:r w:rsidR="007B13D9">
        <w:rPr>
          <w:rFonts w:cstheme="minorBidi"/>
        </w:rPr>
        <w:t>Measure</w:t>
      </w:r>
      <w:r>
        <w:t xml:space="preserve"> employment</w:t>
      </w:r>
      <w:r w:rsidR="007B13D9">
        <w:rPr>
          <w:rFonts w:cstheme="minorBidi"/>
        </w:rPr>
        <w:t xml:space="preserve"> outcomes for priority groups</w:t>
      </w:r>
    </w:p>
    <w:p w14:paraId="10E0F3E4" w14:textId="53ACBAED" w:rsidR="000834A4" w:rsidRDefault="007F26E9" w:rsidP="4BC2B241">
      <w:r w:rsidRPr="005B51E7">
        <w:rPr>
          <w:b/>
          <w:bCs/>
        </w:rPr>
        <w:t>Revise the Graduate capability and national benefit outcome</w:t>
      </w:r>
      <w:r w:rsidR="005B51E7" w:rsidRPr="005B51E7">
        <w:rPr>
          <w:b/>
          <w:bCs/>
        </w:rPr>
        <w:t xml:space="preserve"> to include</w:t>
      </w:r>
      <w:r w:rsidRPr="005B51E7">
        <w:rPr>
          <w:b/>
          <w:bCs/>
        </w:rPr>
        <w:t xml:space="preserve"> graduate employment outcomes</w:t>
      </w:r>
      <w:r w:rsidR="005B51E7" w:rsidRPr="005B51E7">
        <w:rPr>
          <w:b/>
          <w:bCs/>
        </w:rPr>
        <w:t xml:space="preserve"> </w:t>
      </w:r>
      <w:r w:rsidRPr="005B51E7">
        <w:rPr>
          <w:b/>
          <w:bCs/>
        </w:rPr>
        <w:t>for section 14 groups</w:t>
      </w:r>
      <w:r w:rsidR="005B51E7" w:rsidRPr="005B51E7">
        <w:rPr>
          <w:b/>
          <w:bCs/>
        </w:rPr>
        <w:t>,</w:t>
      </w:r>
      <w:r w:rsidRPr="005B51E7">
        <w:rPr>
          <w:b/>
          <w:bCs/>
        </w:rPr>
        <w:t xml:space="preserve"> including graduates with disability.</w:t>
      </w:r>
    </w:p>
    <w:p w14:paraId="78A6D3CF" w14:textId="005CFD69" w:rsidR="007F26E9" w:rsidRDefault="007F26E9" w:rsidP="4BC2B241">
      <w:pPr>
        <w:rPr>
          <w:sz w:val="16"/>
          <w:szCs w:val="16"/>
        </w:rPr>
      </w:pPr>
      <w:r>
        <w:t xml:space="preserve">The draft SSP links graduate capability to workforce needs and national benefit but does not explicitly address employment outcomes. Graduates with disability continue to report lower full-time employment rates than graduates without disability. </w:t>
      </w:r>
      <w:r>
        <w:rPr>
          <w:rStyle w:val="EndnoteReference"/>
        </w:rPr>
        <w:endnoteReference w:id="10"/>
      </w:r>
      <w:r>
        <w:t xml:space="preserve"> Including employment outcomes, reported for section 14 groups, would enable ATEC to assess whether tertiary education is delivering equitable workforce outcomes and identify where further action is needed.</w:t>
      </w:r>
    </w:p>
    <w:p w14:paraId="64192074" w14:textId="64ABF781" w:rsidR="00C67412" w:rsidRPr="005C35E7" w:rsidRDefault="0031737B" w:rsidP="005C35E7">
      <w:pPr>
        <w:pStyle w:val="Heading2"/>
        <w:rPr>
          <w:rFonts w:cstheme="minorBidi"/>
        </w:rPr>
      </w:pPr>
      <w:r>
        <w:t xml:space="preserve">Recommendation 1.4: </w:t>
      </w:r>
      <w:r w:rsidR="005C35E7">
        <w:rPr>
          <w:rFonts w:cstheme="minorBidi"/>
        </w:rPr>
        <w:t>Reference disability discrimination</w:t>
      </w:r>
      <w:r>
        <w:t xml:space="preserve"> obligations</w:t>
      </w:r>
    </w:p>
    <w:p w14:paraId="75476877" w14:textId="3C05E557" w:rsidR="007F26E9" w:rsidRDefault="2ED0F5EC">
      <w:pPr>
        <w:rPr>
          <w:lang w:val="en-AU" w:eastAsia="en-GB"/>
        </w:rPr>
      </w:pPr>
      <w:r>
        <w:rPr>
          <w:b/>
          <w:bCs/>
        </w:rPr>
        <w:t>R</w:t>
      </w:r>
      <w:r w:rsidRPr="0000083A">
        <w:rPr>
          <w:b/>
          <w:bCs/>
        </w:rPr>
        <w:t>efer to the Disability Discrimination Act 1992 (DDA) and the Disability Standards for Education 2005 (DSE) in the student experience and safety priority and in the Workplan's disability work</w:t>
      </w:r>
      <w:r>
        <w:rPr>
          <w:b/>
          <w:bCs/>
          <w:sz w:val="16"/>
          <w:szCs w:val="16"/>
        </w:rPr>
        <w:t xml:space="preserve"> </w:t>
      </w:r>
      <w:r w:rsidR="007F26E9">
        <w:rPr>
          <w:rStyle w:val="EndnoteReference"/>
        </w:rPr>
        <w:endnoteReference w:id="11"/>
      </w:r>
      <w:r w:rsidR="007F26E9">
        <w:rPr>
          <w:rStyle w:val="EndnoteReference"/>
        </w:rPr>
        <w:endnoteReference w:id="12"/>
      </w:r>
    </w:p>
    <w:p w14:paraId="52403D84" w14:textId="536B9AEB" w:rsidR="002823F5" w:rsidRDefault="002823F5">
      <w:pPr>
        <w:rPr>
          <w:lang w:val="en-AU" w:eastAsia="en-GB"/>
        </w:rPr>
      </w:pPr>
      <w:r>
        <w:t>The student experience and safety priority calls for high-quality student experiences and environments “free from harm, discrimination and harassment”.</w:t>
      </w:r>
      <w:r>
        <w:rPr>
          <w:sz w:val="16"/>
          <w:szCs w:val="16"/>
        </w:rPr>
        <w:t xml:space="preserve"> </w:t>
      </w:r>
      <w:r>
        <w:rPr>
          <w:rStyle w:val="EndnoteReference"/>
        </w:rPr>
        <w:endnoteReference w:id="13"/>
      </w:r>
      <w:r>
        <w:t xml:space="preserve"> These </w:t>
      </w:r>
      <w:r w:rsidR="00C6438B">
        <w:t xml:space="preserve">also </w:t>
      </w:r>
      <w:r>
        <w:t xml:space="preserve">relate to providers’ obligations under the DDA and DSE. Referring to students with disability in the priority and relevant Workplan items would connect ATEC’s proposed work to the legal </w:t>
      </w:r>
      <w:r>
        <w:lastRenderedPageBreak/>
        <w:t>duties that already apply to providers about student experience &amp; safety and strengthen the broader signal about institution-wide responsibilities relating to the DDA.</w:t>
      </w:r>
    </w:p>
    <w:p w14:paraId="6496F9B4" w14:textId="53D134E2" w:rsidR="006C73A6" w:rsidRDefault="00154F72" w:rsidP="64E42F90">
      <w:r>
        <w:t xml:space="preserve">The NSO’s 2025–26 report </w:t>
      </w:r>
      <w:r w:rsidR="00B912C7">
        <w:t>noted</w:t>
      </w:r>
      <w:r>
        <w:t xml:space="preserve"> that </w:t>
      </w:r>
      <w:r w:rsidR="00B912C7">
        <w:t>providers have a legal obligation</w:t>
      </w:r>
      <w:r>
        <w:t xml:space="preserve"> to </w:t>
      </w:r>
      <w:r w:rsidR="00B912C7">
        <w:t>take</w:t>
      </w:r>
      <w:r>
        <w:t xml:space="preserve"> reasonable </w:t>
      </w:r>
      <w:r w:rsidR="00B912C7">
        <w:t>steps</w:t>
      </w:r>
      <w:r>
        <w:t xml:space="preserve"> to </w:t>
      </w:r>
      <w:r w:rsidR="00B912C7">
        <w:t xml:space="preserve">accommodate students with disability, and that learning access plans should be implemented in both learning and </w:t>
      </w:r>
      <w:r>
        <w:t xml:space="preserve">administrative </w:t>
      </w:r>
      <w:r w:rsidR="00B912C7">
        <w:t>environments.</w:t>
      </w:r>
      <w:r>
        <w:t xml:space="preserve"> Universities often implement the DDA through learning access plans and related documentation, but their responsibilities are not confined to those processes or activities funded through the DSF. Subject to the scope and application of the DDA and DSE, responsibilities can extend across services, programs, staff</w:t>
      </w:r>
      <w:r>
        <w:t xml:space="preserve"> and</w:t>
      </w:r>
      <w:r>
        <w:t xml:space="preserve"> facilities</w:t>
      </w:r>
      <w:r>
        <w:t>,</w:t>
      </w:r>
      <w:r>
        <w:t xml:space="preserve"> including but not limited to </w:t>
      </w:r>
      <w:r>
        <w:t>work-integrated learning and higher degree by research study.</w:t>
      </w:r>
    </w:p>
    <w:p w14:paraId="10A68E29" w14:textId="071F85C5" w:rsidR="00C67412" w:rsidRPr="005B0523" w:rsidRDefault="0031737B" w:rsidP="005B0523">
      <w:pPr>
        <w:pStyle w:val="Heading1"/>
        <w:rPr>
          <w:rFonts w:cstheme="minorBidi"/>
        </w:rPr>
      </w:pPr>
      <w:r>
        <w:t xml:space="preserve">Recommendation 2: </w:t>
      </w:r>
      <w:r w:rsidR="005B0523">
        <w:rPr>
          <w:rFonts w:cstheme="minorBidi"/>
        </w:rPr>
        <w:t xml:space="preserve">Embed disability across the </w:t>
      </w:r>
      <w:r>
        <w:t>Workplan</w:t>
      </w:r>
    </w:p>
    <w:p w14:paraId="3291BAB8" w14:textId="73243B9D" w:rsidR="007F26E9" w:rsidRDefault="007F26E9" w:rsidP="4BC2B241">
      <w:r>
        <w:t>ADCET welcomes the draft Workplan’s proposed Strategy and its ongoing contribution to whole-of-government disability reforms. However, disability also needs to be addressed across the rest of the Workplan. Recommendations 2.1 to 2.3 propose a standing provision for relevant projects, immediate application to relevant work due in 2027, and a project to map the national enabling environment for disability inclusion in tertiary education.</w:t>
      </w:r>
    </w:p>
    <w:p w14:paraId="446D9493" w14:textId="43D4CD76" w:rsidR="00C67412" w:rsidRPr="00FC77AB" w:rsidRDefault="00FC77AB" w:rsidP="00FC77AB">
      <w:pPr>
        <w:pStyle w:val="Heading2"/>
        <w:rPr>
          <w:rFonts w:cstheme="minorBidi"/>
        </w:rPr>
      </w:pPr>
      <w:r>
        <w:rPr>
          <w:rFonts w:cstheme="minorBidi"/>
        </w:rPr>
        <w:t>Recommendation 2.1: Require equity consideration in every project</w:t>
      </w:r>
    </w:p>
    <w:p w14:paraId="1C1E0C93" w14:textId="32E62269" w:rsidR="000834A4" w:rsidRPr="003D3510" w:rsidRDefault="003D3510" w:rsidP="4BC2B241">
      <w:pPr>
        <w:rPr>
          <w:b/>
          <w:bCs/>
        </w:rPr>
      </w:pPr>
      <w:r w:rsidRPr="003D3510">
        <w:rPr>
          <w:b/>
          <w:bCs/>
        </w:rPr>
        <w:t>Include a standing provision requiring each project to record how it has considered the section 14 groups relevant to its scope and expected effects.</w:t>
      </w:r>
    </w:p>
    <w:p w14:paraId="16F6945B" w14:textId="5F4FE87F" w:rsidR="000834A4" w:rsidRDefault="007F26E9" w:rsidP="4BC2B241">
      <w:r>
        <w:t>Any item in the draft Workplan may affect students with disability</w:t>
      </w:r>
      <w:r w:rsidR="00E54E09">
        <w:t xml:space="preserve"> or another section 14 group.</w:t>
      </w:r>
      <w:r>
        <w:t xml:space="preserve"> One risk in the current draft is that planned work may defer consideration of disability to the Strategy. ADCET therefore recommends a standing provision requiring </w:t>
      </w:r>
      <w:r w:rsidR="00E54E09">
        <w:t xml:space="preserve">each </w:t>
      </w:r>
      <w:r>
        <w:t xml:space="preserve">project output to explain how </w:t>
      </w:r>
      <w:r w:rsidR="00E54E09">
        <w:t>it</w:t>
      </w:r>
      <w:r>
        <w:t xml:space="preserve"> has considered </w:t>
      </w:r>
      <w:r w:rsidR="00E54E09">
        <w:t>the section 14 groups relevant to its scope and expected effects.</w:t>
      </w:r>
      <w:r>
        <w:t xml:space="preserve"> </w:t>
      </w:r>
    </w:p>
    <w:p w14:paraId="08BAF7C4" w14:textId="46B3261D" w:rsidR="007F26E9" w:rsidRDefault="007F26E9" w:rsidP="2EB314A1">
      <w:r>
        <w:t>NSO complaint data supports this concern. In 2025–26, disability-related barriers arose</w:t>
      </w:r>
      <w:r w:rsidR="00A96F1C">
        <w:t xml:space="preserve"> in other areas including</w:t>
      </w:r>
      <w:r>
        <w:t xml:space="preserve"> placements, recognition of prior learning and course progression, not only in teaching.  A standing provision would help each project identify these</w:t>
      </w:r>
      <w:r w:rsidR="000C3CC5">
        <w:t xml:space="preserve"> </w:t>
      </w:r>
      <w:r>
        <w:t>types of barriers in its own area of work.</w:t>
      </w:r>
      <w:r w:rsidR="000C3CC5" w:rsidRPr="000C3CC5">
        <w:rPr>
          <w:rStyle w:val="EndnoteReference"/>
        </w:rPr>
        <w:t xml:space="preserve"> </w:t>
      </w:r>
      <w:r w:rsidR="000C3CC5">
        <w:rPr>
          <w:rStyle w:val="EndnoteReference"/>
        </w:rPr>
        <w:endnoteReference w:id="14"/>
      </w:r>
    </w:p>
    <w:p w14:paraId="66948EF9" w14:textId="14A02ABE" w:rsidR="00C67412" w:rsidRPr="00A603CE" w:rsidRDefault="0031737B" w:rsidP="00A603CE">
      <w:pPr>
        <w:pStyle w:val="Heading2"/>
        <w:rPr>
          <w:rFonts w:cstheme="minorBidi"/>
        </w:rPr>
      </w:pPr>
      <w:r>
        <w:t xml:space="preserve">Recommendation 2.2: </w:t>
      </w:r>
      <w:r w:rsidR="00A603CE">
        <w:rPr>
          <w:rFonts w:cstheme="minorBidi"/>
        </w:rPr>
        <w:t xml:space="preserve">Address disability in </w:t>
      </w:r>
      <w:r>
        <w:t>2027 Workplan items</w:t>
      </w:r>
    </w:p>
    <w:p w14:paraId="3EB92CB6" w14:textId="30FEF29E" w:rsidR="007F26E9" w:rsidRDefault="007F26E9" w:rsidP="4BC2B241">
      <w:r w:rsidRPr="00820971">
        <w:rPr>
          <w:b/>
          <w:bCs/>
        </w:rPr>
        <w:t xml:space="preserve">Apply the standing provision in Recommendation 2.1 to every relevant Workplan </w:t>
      </w:r>
      <w:proofErr w:type="gramStart"/>
      <w:r w:rsidRPr="00820971">
        <w:rPr>
          <w:b/>
          <w:bCs/>
        </w:rPr>
        <w:t>item  so</w:t>
      </w:r>
      <w:proofErr w:type="gramEnd"/>
      <w:r w:rsidRPr="00820971">
        <w:rPr>
          <w:b/>
          <w:bCs/>
        </w:rPr>
        <w:t xml:space="preserve"> disability is addressed before and alongside development of the Strategy.</w:t>
      </w:r>
    </w:p>
    <w:p w14:paraId="44A87909" w14:textId="0350D241" w:rsidR="000834A4" w:rsidRDefault="007F26E9" w:rsidP="036056D1">
      <w:r>
        <w:t xml:space="preserve">Recommendation 2.1 should apply immediately to </w:t>
      </w:r>
      <w:r w:rsidR="00FA5B1A">
        <w:t xml:space="preserve">relevant </w:t>
      </w:r>
      <w:r>
        <w:t xml:space="preserve">Workplan items </w:t>
      </w:r>
      <w:r w:rsidR="0C838506">
        <w:t>from</w:t>
      </w:r>
      <w:r>
        <w:t xml:space="preserve"> 2027</w:t>
      </w:r>
      <w:r w:rsidR="0C838506">
        <w:t xml:space="preserve"> onward</w:t>
      </w:r>
      <w:r w:rsidR="5FD92F29">
        <w:t>.</w:t>
      </w:r>
      <w:r>
        <w:t xml:space="preserve"> This would ensure that disability is addressed before and alongside development of the Strategy, while also identifying issues and evidence that can inform it.</w:t>
      </w:r>
    </w:p>
    <w:p w14:paraId="72F7DA63" w14:textId="147F4496" w:rsidR="4BC2B241" w:rsidRDefault="4BC2B241" w:rsidP="4BC2B241">
      <w:r>
        <w:lastRenderedPageBreak/>
        <w:t>Some examples of how disability could be actively considered in draft Workplan items include:</w:t>
      </w:r>
    </w:p>
    <w:p w14:paraId="34AAB439" w14:textId="37177F8B" w:rsidR="007F26E9" w:rsidRDefault="007F26E9" w:rsidP="0072373A">
      <w:pPr>
        <w:pStyle w:val="ListParagraph"/>
        <w:numPr>
          <w:ilvl w:val="0"/>
          <w:numId w:val="5"/>
        </w:numPr>
        <w:rPr>
          <w:lang w:val="en-AU" w:eastAsia="en-GB"/>
        </w:rPr>
      </w:pPr>
      <w:r>
        <w:t>teaching quality advice could build on existing practices in Universal Design for Learning, good practice examples of implementing the Disability Standards for Education, and accessible teaching technology.</w:t>
      </w:r>
    </w:p>
    <w:p w14:paraId="13D0CC25" w14:textId="78DE9686" w:rsidR="007F26E9" w:rsidRPr="006114B3" w:rsidRDefault="007F26E9" w:rsidP="006114B3">
      <w:pPr>
        <w:pStyle w:val="ListParagraph"/>
        <w:numPr>
          <w:ilvl w:val="0"/>
          <w:numId w:val="5"/>
        </w:numPr>
        <w:rPr>
          <w:lang w:val="en-AU" w:eastAsia="en-GB"/>
        </w:rPr>
      </w:pPr>
      <w:r>
        <w:t>the outreach funding review could consider how students with disability are supported as they prepare for, transition into and participate in tertiary study, noting the interaction with the DSF.</w:t>
      </w:r>
    </w:p>
    <w:p w14:paraId="4C346E53" w14:textId="76596F5C" w:rsidR="007F26E9" w:rsidRPr="0092539F" w:rsidRDefault="007F26E9" w:rsidP="0092539F">
      <w:pPr>
        <w:pStyle w:val="ListParagraph"/>
        <w:numPr>
          <w:ilvl w:val="0"/>
          <w:numId w:val="5"/>
        </w:numPr>
        <w:rPr>
          <w:lang w:val="en-AU" w:eastAsia="en-GB"/>
        </w:rPr>
      </w:pPr>
      <w:r>
        <w:t>the First Nations Higher Education Framework could specifically consider First Nations students with disability, including how the Framework will work alongside the Strategy.</w:t>
      </w:r>
    </w:p>
    <w:p w14:paraId="3AA4E1F1" w14:textId="745932AB" w:rsidR="00C67412" w:rsidRDefault="00F65206" w:rsidP="4BC2B241">
      <w:r>
        <w:t xml:space="preserve">ATEC should </w:t>
      </w:r>
      <w:r w:rsidR="001E6EE1">
        <w:t xml:space="preserve">therefore </w:t>
      </w:r>
      <w:r>
        <w:t>apply the standing provision from Recommendation 2.1 when scoping, delivering and reporting every relevant Workplan activity</w:t>
      </w:r>
      <w:r w:rsidR="00CB6307">
        <w:t>.</w:t>
      </w:r>
    </w:p>
    <w:p w14:paraId="5780828A" w14:textId="3EB87B55" w:rsidR="00C67412" w:rsidRPr="0086788A" w:rsidRDefault="0031737B" w:rsidP="0086788A">
      <w:pPr>
        <w:pStyle w:val="Heading2"/>
        <w:rPr>
          <w:rFonts w:cstheme="minorBidi"/>
        </w:rPr>
      </w:pPr>
      <w:r>
        <w:t xml:space="preserve">Recommendation 2.3: </w:t>
      </w:r>
      <w:r w:rsidR="0086788A">
        <w:rPr>
          <w:rFonts w:cstheme="minorBidi"/>
        </w:rPr>
        <w:t>Map national disability</w:t>
      </w:r>
      <w:r>
        <w:t xml:space="preserve"> enabling infrastructure</w:t>
      </w:r>
    </w:p>
    <w:p w14:paraId="0F2DA796" w14:textId="21822738" w:rsidR="4BC2B241" w:rsidRDefault="4BC2B241" w:rsidP="4BC2B241">
      <w:r w:rsidRPr="4BC2B241">
        <w:rPr>
          <w:b/>
          <w:bCs/>
        </w:rPr>
        <w:t>Include a Workplan project to map the national enabling infrastructure that supports students with disability in higher education, including transition pathways, cross-sector responsibilities, national programs, guidance, data use and systemic policy capability.</w:t>
      </w:r>
    </w:p>
    <w:p w14:paraId="34BA3019" w14:textId="6D5D5E96" w:rsidR="007F26E9" w:rsidRDefault="2ED0F5EC" w:rsidP="64E42F90">
      <w:r>
        <w:t xml:space="preserve">Although ATEC’s primary remit is higher education, disability inclusion is shaped by the wider education and legal environment across schools, vocational education and training and higher education. Students with disability move between these systems. Providers in each sector operate within the applicable scope of the Disability Discrimination Act 1992 and the Disability Standards for Education 2005. </w:t>
      </w:r>
      <w:r w:rsidR="007F26E9">
        <w:rPr>
          <w:rStyle w:val="EndnoteReference"/>
        </w:rPr>
        <w:endnoteReference w:id="15"/>
      </w:r>
      <w:r w:rsidR="007F26E9">
        <w:rPr>
          <w:rStyle w:val="EndnoteReference"/>
        </w:rPr>
        <w:endnoteReference w:id="16"/>
      </w:r>
    </w:p>
    <w:p w14:paraId="6AD5ECE4" w14:textId="1183E8ED" w:rsidR="007F26E9" w:rsidRDefault="2ED0F5EC" w:rsidP="64E42F90">
      <w:r>
        <w:t xml:space="preserve">Noting the joined-up tertiary system priority, a focused national mapping project would help ATEC understand the enabling environment around higher education before developing the Strategy. ADCET considers this increasingly important given the Accord’s tertiary attainment goals, growth in reported school adjustments for students with disability, and projected </w:t>
      </w:r>
      <w:proofErr w:type="spellStart"/>
      <w:r>
        <w:t>labour</w:t>
      </w:r>
      <w:proofErr w:type="spellEnd"/>
      <w:r>
        <w:t>-market demand for post-school qualifications.</w:t>
      </w:r>
      <w:r w:rsidRPr="64E42F90">
        <w:rPr>
          <w:sz w:val="16"/>
          <w:szCs w:val="16"/>
        </w:rPr>
        <w:t xml:space="preserve"> </w:t>
      </w:r>
      <w:r w:rsidR="007F26E9">
        <w:rPr>
          <w:rStyle w:val="EndnoteReference"/>
        </w:rPr>
        <w:endnoteReference w:id="17"/>
      </w:r>
      <w:r w:rsidR="007F26E9">
        <w:rPr>
          <w:rStyle w:val="EndnoteReference"/>
        </w:rPr>
        <w:endnoteReference w:id="18"/>
      </w:r>
    </w:p>
    <w:p w14:paraId="442B9DC1" w14:textId="5A5340A4" w:rsidR="4BC2B241" w:rsidRDefault="4BC2B241" w:rsidP="4BC2B241">
      <w:r>
        <w:t>ADCET recommends that ATEC review:</w:t>
      </w:r>
    </w:p>
    <w:p w14:paraId="657F972D" w14:textId="34B52EFE" w:rsidR="4BC2B241" w:rsidRDefault="51BE3538" w:rsidP="00345323">
      <w:pPr>
        <w:pStyle w:val="ListParagraph"/>
        <w:numPr>
          <w:ilvl w:val="0"/>
          <w:numId w:val="4"/>
        </w:numPr>
      </w:pPr>
      <w:r>
        <w:t>current and past national programs, resources and guidance that support disability inclusion in higher education</w:t>
      </w:r>
      <w:r w:rsidR="294C5A0D">
        <w:t xml:space="preserve"> or have potential to do so</w:t>
      </w:r>
      <w:r w:rsidR="697811B7">
        <w:t>, noting the importance of transitions between sectors</w:t>
      </w:r>
    </w:p>
    <w:p w14:paraId="3B766002" w14:textId="5B0840B0" w:rsidR="4BC2B241" w:rsidRDefault="4BC2B241" w:rsidP="00345323">
      <w:pPr>
        <w:pStyle w:val="ListParagraph"/>
        <w:numPr>
          <w:ilvl w:val="0"/>
          <w:numId w:val="4"/>
        </w:numPr>
      </w:pPr>
      <w:r>
        <w:t>how responsibility and resourcing for Disability Discrimination Act implementation are shared across higher education, VET and schools, insofar as this affects higher education access, transition, participation and success</w:t>
      </w:r>
    </w:p>
    <w:p w14:paraId="1EBE9496" w14:textId="295540C1" w:rsidR="4BC2B241" w:rsidRDefault="4BC2B241" w:rsidP="00345323">
      <w:pPr>
        <w:pStyle w:val="ListParagraph"/>
        <w:numPr>
          <w:ilvl w:val="0"/>
          <w:numId w:val="4"/>
        </w:numPr>
      </w:pPr>
      <w:r>
        <w:lastRenderedPageBreak/>
        <w:t xml:space="preserve">how disability-related data is collected, defined, used and shared across sectors, including </w:t>
      </w:r>
      <w:r w:rsidR="6708FCE9">
        <w:t xml:space="preserve">any impacts </w:t>
      </w:r>
      <w:r>
        <w:t>created by self-disclosure and imputation</w:t>
      </w:r>
    </w:p>
    <w:p w14:paraId="4C3A6BC1" w14:textId="1D0BB405" w:rsidR="4BC2B241" w:rsidRDefault="4BC2B241" w:rsidP="00345323">
      <w:pPr>
        <w:pStyle w:val="ListParagraph"/>
        <w:numPr>
          <w:ilvl w:val="0"/>
          <w:numId w:val="4"/>
        </w:numPr>
      </w:pPr>
      <w:r>
        <w:t xml:space="preserve">how </w:t>
      </w:r>
      <w:r w:rsidR="69F46520">
        <w:t xml:space="preserve">existing </w:t>
      </w:r>
      <w:r w:rsidR="62314664">
        <w:t>access planning</w:t>
      </w:r>
      <w:r>
        <w:t xml:space="preserve"> can better support students with disability across transitions, including transitions from school to tertiary education, between tertiary sectors, and from tertiary education to employment</w:t>
      </w:r>
      <w:r w:rsidR="14DA3022">
        <w:t xml:space="preserve"> (for example, enabling portable education access information that students can take with them).</w:t>
      </w:r>
    </w:p>
    <w:p w14:paraId="35F46353" w14:textId="2E3DAAF0" w:rsidR="00C67412" w:rsidRDefault="0031737B" w:rsidP="4BC2B241">
      <w:r>
        <w:t xml:space="preserve">This review would provide a practical evidence base </w:t>
      </w:r>
      <w:r w:rsidR="00835B5C">
        <w:t xml:space="preserve">for the Strategy </w:t>
      </w:r>
      <w:r>
        <w:t xml:space="preserve">on the ecosystem </w:t>
      </w:r>
      <w:r w:rsidR="00835B5C">
        <w:t>supporting implementation</w:t>
      </w:r>
      <w:r>
        <w:t xml:space="preserve"> of the DDA across </w:t>
      </w:r>
      <w:r w:rsidR="00835B5C">
        <w:t xml:space="preserve">education </w:t>
      </w:r>
      <w:r>
        <w:t>sectors.</w:t>
      </w:r>
      <w:r w:rsidR="34578F8D">
        <w:t xml:space="preserve"> </w:t>
      </w:r>
    </w:p>
    <w:p w14:paraId="29BBFAD8" w14:textId="5DB7F39D" w:rsidR="00C67412" w:rsidRPr="00F81918" w:rsidRDefault="0031737B" w:rsidP="00F81918">
      <w:pPr>
        <w:pStyle w:val="Heading1"/>
        <w:rPr>
          <w:rFonts w:cstheme="minorBidi"/>
        </w:rPr>
      </w:pPr>
      <w:r>
        <w:t xml:space="preserve">Recommendation 3: </w:t>
      </w:r>
      <w:r w:rsidR="00F81918">
        <w:rPr>
          <w:rFonts w:cstheme="minorBidi"/>
        </w:rPr>
        <w:t>Review funding accessibility</w:t>
      </w:r>
      <w:r>
        <w:t xml:space="preserve"> and implementation</w:t>
      </w:r>
    </w:p>
    <w:p w14:paraId="030C978A" w14:textId="29CD49DB" w:rsidR="000834A4" w:rsidRDefault="007F26E9" w:rsidP="4BC2B241">
      <w:r>
        <w:t>The barriers outlined in the introduction will not be resolved through individual adjustments or the DSF alone. Students with disability also participate in major access, participation and enabling programs. Recommendation 3 therefore addresses both parts of the funding system: whether needs-based funding, outreach and FFUR are accessible by design, and whether the revised DSF guidelines support effective implementation of individual adjustments, disability-specific reform, specialist staffing and sector coordination.</w:t>
      </w:r>
    </w:p>
    <w:p w14:paraId="523905B1" w14:textId="033CE24D" w:rsidR="00C67412" w:rsidRPr="0041428B" w:rsidRDefault="0031737B" w:rsidP="0041428B">
      <w:pPr>
        <w:pStyle w:val="Heading2"/>
        <w:rPr>
          <w:rFonts w:cstheme="minorBidi"/>
        </w:rPr>
      </w:pPr>
      <w:r>
        <w:t xml:space="preserve">Recommendation 3.1: </w:t>
      </w:r>
      <w:r w:rsidR="0041428B">
        <w:rPr>
          <w:rFonts w:cstheme="minorBidi"/>
        </w:rPr>
        <w:t>Review accessibility across</w:t>
      </w:r>
      <w:r>
        <w:t xml:space="preserve"> </w:t>
      </w:r>
      <w:r w:rsidR="00E32435">
        <w:t xml:space="preserve">equity </w:t>
      </w:r>
      <w:r w:rsidR="0041428B">
        <w:rPr>
          <w:rFonts w:cstheme="minorBidi"/>
        </w:rPr>
        <w:t>programs</w:t>
      </w:r>
    </w:p>
    <w:p w14:paraId="33484103" w14:textId="50E47046" w:rsidR="00C67412" w:rsidRDefault="0031737B" w:rsidP="2EB314A1">
      <w:r w:rsidRPr="2EB314A1">
        <w:rPr>
          <w:b/>
          <w:bCs/>
        </w:rPr>
        <w:t xml:space="preserve">Include FFUR courses alongside the needs-based funding and outreach </w:t>
      </w:r>
      <w:proofErr w:type="gramStart"/>
      <w:r w:rsidRPr="2EB314A1">
        <w:rPr>
          <w:b/>
          <w:bCs/>
        </w:rPr>
        <w:t>reviews, and</w:t>
      </w:r>
      <w:proofErr w:type="gramEnd"/>
      <w:r w:rsidRPr="2EB314A1">
        <w:rPr>
          <w:b/>
          <w:bCs/>
        </w:rPr>
        <w:t xml:space="preserve"> use these reviews to assess whether each program is accessible to students with disability by design and in implementation, and how each interacts with the DSF</w:t>
      </w:r>
      <w:r w:rsidR="003E3D11">
        <w:rPr>
          <w:b/>
          <w:bCs/>
        </w:rPr>
        <w:t>.</w:t>
      </w:r>
    </w:p>
    <w:p w14:paraId="20FC09A2" w14:textId="2F6D6F9B" w:rsidR="007F26E9" w:rsidRDefault="007F26E9">
      <w:pPr>
        <w:rPr>
          <w:lang w:val="en-AU" w:eastAsia="en-GB"/>
        </w:rPr>
      </w:pPr>
      <w:r>
        <w:t xml:space="preserve">Departmental program information expressly identifies students with disability in relation to FFUR, but not as a separate target cohort in the current needs-based funding or Outreach program settings. </w:t>
      </w:r>
      <w:r>
        <w:rPr>
          <w:rStyle w:val="EndnoteReference"/>
        </w:rPr>
        <w:endnoteReference w:id="19"/>
      </w:r>
      <w:r>
        <w:t xml:space="preserve"> Students with disability will nevertheless participate in all three programs, including as low socioeconomic status, First Nations, regional and remote students. Each review should therefore assess accessibility by design and how the program works alongside the DSF.</w:t>
      </w:r>
    </w:p>
    <w:p w14:paraId="44153085" w14:textId="0FE01EF1" w:rsidR="2EB314A1" w:rsidRDefault="2EB314A1" w:rsidP="2EB314A1">
      <w:r>
        <w:t>The reviews should examine:</w:t>
      </w:r>
    </w:p>
    <w:p w14:paraId="1E040EF7" w14:textId="3EA774F0" w:rsidR="007F26E9" w:rsidRDefault="007F26E9" w:rsidP="00D00053">
      <w:pPr>
        <w:pStyle w:val="ListParagraph"/>
        <w:numPr>
          <w:ilvl w:val="0"/>
          <w:numId w:val="6"/>
        </w:numPr>
        <w:rPr>
          <w:lang w:val="en-AU" w:eastAsia="en-GB"/>
        </w:rPr>
      </w:pPr>
      <w:r>
        <w:t>whether Needs-based Funding activities are designed and delivered to be accessible to students with disability within the eligible cohorts.</w:t>
      </w:r>
    </w:p>
    <w:p w14:paraId="1CBED287" w14:textId="7A15C546" w:rsidR="007F26E9" w:rsidRPr="008B1FD3" w:rsidRDefault="007F26E9" w:rsidP="008B1FD3">
      <w:pPr>
        <w:pStyle w:val="ListParagraph"/>
        <w:numPr>
          <w:ilvl w:val="0"/>
          <w:numId w:val="6"/>
        </w:numPr>
        <w:rPr>
          <w:lang w:val="en-AU" w:eastAsia="en-GB"/>
        </w:rPr>
      </w:pPr>
      <w:r>
        <w:t>whether Outreach Funding activities are designed and delivered to be accessible to and welcoming for prospective students with disability</w:t>
      </w:r>
      <w:r w:rsidR="007B5B2E">
        <w:t xml:space="preserve">, noting </w:t>
      </w:r>
      <w:r w:rsidR="009B49A4">
        <w:t>the requirement to use the DS</w:t>
      </w:r>
      <w:r w:rsidR="00962D0F">
        <w:t>P</w:t>
      </w:r>
      <w:r w:rsidR="009B49A4">
        <w:t xml:space="preserve"> for specific disability focused outreach</w:t>
      </w:r>
      <w:r w:rsidR="00D63DAB">
        <w:t xml:space="preserve">. </w:t>
      </w:r>
    </w:p>
    <w:p w14:paraId="5F9F52BE" w14:textId="68626FE9" w:rsidR="007F26E9" w:rsidRPr="003D0B32" w:rsidRDefault="007F26E9" w:rsidP="003D0B32">
      <w:pPr>
        <w:pStyle w:val="ListParagraph"/>
        <w:numPr>
          <w:ilvl w:val="0"/>
          <w:numId w:val="6"/>
        </w:numPr>
      </w:pPr>
      <w:r>
        <w:t>whether FFUR courses build accessibility into course design, teaching, assessment and support.</w:t>
      </w:r>
    </w:p>
    <w:p w14:paraId="3A578455" w14:textId="373A1ED6" w:rsidR="00C67412" w:rsidRDefault="00971C10" w:rsidP="00C12A2A">
      <w:pPr>
        <w:ind w:left="360"/>
      </w:pPr>
      <w:r>
        <w:lastRenderedPageBreak/>
        <w:t>The findings could inform program guidelines, funding conditions and reporting</w:t>
      </w:r>
      <w:r w:rsidR="6B173916">
        <w:t>,</w:t>
      </w:r>
      <w:r>
        <w:t xml:space="preserve"> so accessibility is built into each program from the start and </w:t>
      </w:r>
      <w:r w:rsidR="26FDC17D">
        <w:t>provide insight</w:t>
      </w:r>
      <w:r>
        <w:t xml:space="preserve"> for </w:t>
      </w:r>
      <w:r w:rsidR="26FDC17D">
        <w:t>the Strategy</w:t>
      </w:r>
      <w:r w:rsidR="58406440">
        <w:t xml:space="preserve">. </w:t>
      </w:r>
    </w:p>
    <w:p w14:paraId="6CCEA2BE" w14:textId="73412A8C" w:rsidR="00C67412" w:rsidRPr="008368A9" w:rsidRDefault="0031737B" w:rsidP="008368A9">
      <w:pPr>
        <w:pStyle w:val="Heading2"/>
        <w:rPr>
          <w:rFonts w:cstheme="minorBidi"/>
        </w:rPr>
      </w:pPr>
      <w:r>
        <w:t xml:space="preserve">Recommendation 3.2: </w:t>
      </w:r>
      <w:r w:rsidR="008368A9">
        <w:rPr>
          <w:rFonts w:cstheme="minorBidi"/>
        </w:rPr>
        <w:t xml:space="preserve">Review the </w:t>
      </w:r>
      <w:r>
        <w:t>Disability Support Fund guidelines</w:t>
      </w:r>
    </w:p>
    <w:p w14:paraId="562AAA60" w14:textId="2F09EF9E" w:rsidR="000834A4" w:rsidRDefault="00670D64" w:rsidP="4BC2B241">
      <w:r w:rsidRPr="00670D64">
        <w:rPr>
          <w:b/>
          <w:bCs/>
        </w:rPr>
        <w:t xml:space="preserve">Include monitoring of the revised DSF guidelines in ATEC’s 2027 disability work and </w:t>
      </w:r>
      <w:r w:rsidR="2F3C74D6" w:rsidRPr="64E42F90">
        <w:rPr>
          <w:b/>
          <w:bCs/>
        </w:rPr>
        <w:t xml:space="preserve">review the </w:t>
      </w:r>
      <w:r w:rsidRPr="00670D64">
        <w:rPr>
          <w:b/>
          <w:bCs/>
        </w:rPr>
        <w:t>implementation, including opportunities for stronger national coordination.</w:t>
      </w:r>
    </w:p>
    <w:p w14:paraId="66E7FF8A" w14:textId="3AFDA559" w:rsidR="007F26E9" w:rsidRDefault="007F26E9" w:rsidP="64E42F90">
      <w:r>
        <w:t>The DSF has increased fourfold from $13 million to $53 million a year, indexed, and revised accountability and transparency requirements include a disability governance committee, a disability education inclusion strategy and a disability workforce inclusion strategy.</w:t>
      </w:r>
      <w:r w:rsidRPr="64E42F90">
        <w:rPr>
          <w:sz w:val="16"/>
          <w:szCs w:val="16"/>
        </w:rPr>
        <w:t xml:space="preserve"> [</w:t>
      </w:r>
      <w:r w:rsidR="00CE483A">
        <w:rPr>
          <w:sz w:val="16"/>
          <w:szCs w:val="16"/>
        </w:rPr>
        <w:t>18</w:t>
      </w:r>
      <w:r w:rsidRPr="64E42F90">
        <w:rPr>
          <w:sz w:val="16"/>
          <w:szCs w:val="16"/>
        </w:rPr>
        <w:t>]</w:t>
      </w:r>
      <w:r>
        <w:t xml:space="preserve"> The increase is welcome and necessary. Separate from these program settings, ADCET’s sector engagement indicates that institutions would benefit from stronger national coordination and implementation support.</w:t>
      </w:r>
    </w:p>
    <w:p w14:paraId="09977C5A" w14:textId="1DCB6938" w:rsidR="15620B5D" w:rsidRDefault="002929B3" w:rsidP="4BC2B241">
      <w:r>
        <w:t xml:space="preserve">ADCET </w:t>
      </w:r>
      <w:r w:rsidR="00C464C6">
        <w:t>has obser</w:t>
      </w:r>
      <w:r w:rsidR="00957CBE">
        <w:t>ved</w:t>
      </w:r>
      <w:r w:rsidR="15620B5D">
        <w:t>:</w:t>
      </w:r>
    </w:p>
    <w:p w14:paraId="7390592F" w14:textId="334EA521" w:rsidR="008F18E6" w:rsidRDefault="352155C8" w:rsidP="00345323">
      <w:pPr>
        <w:pStyle w:val="ListParagraph"/>
        <w:numPr>
          <w:ilvl w:val="0"/>
          <w:numId w:val="2"/>
        </w:numPr>
      </w:pPr>
      <w:r>
        <w:t>s</w:t>
      </w:r>
      <w:r w:rsidR="03D50456">
        <w:t>imilar</w:t>
      </w:r>
      <w:r w:rsidR="006E6037">
        <w:t xml:space="preserve"> initiatives and projects starting at different stages and </w:t>
      </w:r>
      <w:r w:rsidR="008F18E6">
        <w:t>in different forms across the sector</w:t>
      </w:r>
    </w:p>
    <w:p w14:paraId="7F07F662" w14:textId="43AAC517" w:rsidR="006C5240" w:rsidRDefault="498059C4" w:rsidP="00345323">
      <w:pPr>
        <w:pStyle w:val="ListParagraph"/>
        <w:numPr>
          <w:ilvl w:val="0"/>
          <w:numId w:val="2"/>
        </w:numPr>
      </w:pPr>
      <w:r>
        <w:t>a</w:t>
      </w:r>
      <w:r w:rsidR="006C5240">
        <w:t xml:space="preserve"> need for more coordinated and stronger advice surrou</w:t>
      </w:r>
      <w:r w:rsidR="00B43AD1">
        <w:t>nding governance arrangements and requirements</w:t>
      </w:r>
    </w:p>
    <w:p w14:paraId="772F9593" w14:textId="30DB6FB2" w:rsidR="00BC5EBC" w:rsidRDefault="498059C4" w:rsidP="00345323">
      <w:pPr>
        <w:pStyle w:val="ListParagraph"/>
        <w:numPr>
          <w:ilvl w:val="0"/>
          <w:numId w:val="2"/>
        </w:numPr>
      </w:pPr>
      <w:r>
        <w:t>a</w:t>
      </w:r>
      <w:r w:rsidR="00ED0E14">
        <w:t xml:space="preserve"> need for information sharing and distribution relating to </w:t>
      </w:r>
      <w:r w:rsidR="000208CE">
        <w:t xml:space="preserve">new </w:t>
      </w:r>
      <w:r w:rsidR="00ED0E14">
        <w:t>specialist roles</w:t>
      </w:r>
    </w:p>
    <w:p w14:paraId="75CD820A" w14:textId="6611F233" w:rsidR="000834A4" w:rsidRPr="00212608" w:rsidRDefault="7A0C23D3" w:rsidP="00345323">
      <w:pPr>
        <w:pStyle w:val="ListParagraph"/>
        <w:numPr>
          <w:ilvl w:val="0"/>
          <w:numId w:val="2"/>
        </w:numPr>
      </w:pPr>
      <w:r>
        <w:t>a</w:t>
      </w:r>
      <w:r w:rsidR="007F26E9">
        <w:t xml:space="preserve"> difference in pace of rollout of responses in readiness for the 2027 requirements</w:t>
      </w:r>
    </w:p>
    <w:p w14:paraId="33367C1D" w14:textId="5E89ED45" w:rsidR="00E3422A" w:rsidRDefault="7A0C23D3" w:rsidP="00345323">
      <w:pPr>
        <w:pStyle w:val="ListParagraph"/>
        <w:numPr>
          <w:ilvl w:val="0"/>
          <w:numId w:val="2"/>
        </w:numPr>
      </w:pPr>
      <w:r>
        <w:t>r</w:t>
      </w:r>
      <w:r w:rsidR="7BD177F9">
        <w:t xml:space="preserve">eported difficulty obtaining approval for staff appointments where institutions interpret eligible staffing costs as excluding salary </w:t>
      </w:r>
      <w:r w:rsidR="3D925D3C">
        <w:t>on costs</w:t>
      </w:r>
    </w:p>
    <w:p w14:paraId="150D3EA8" w14:textId="61381F6B" w:rsidR="00E3422A" w:rsidRDefault="00B35DEB" w:rsidP="00345323">
      <w:pPr>
        <w:pStyle w:val="ListParagraph"/>
        <w:numPr>
          <w:ilvl w:val="0"/>
          <w:numId w:val="2"/>
        </w:numPr>
      </w:pPr>
      <w:r>
        <w:t xml:space="preserve">a </w:t>
      </w:r>
      <w:r w:rsidR="00DB2F78">
        <w:t>positive</w:t>
      </w:r>
      <w:r w:rsidR="005F5304">
        <w:t xml:space="preserve"> uplift in </w:t>
      </w:r>
      <w:r w:rsidR="00546530">
        <w:t xml:space="preserve">senior </w:t>
      </w:r>
      <w:r w:rsidR="00D54889">
        <w:t>university executive</w:t>
      </w:r>
      <w:r w:rsidR="005F5304">
        <w:t xml:space="preserve"> </w:t>
      </w:r>
      <w:r w:rsidR="000A7876">
        <w:t xml:space="preserve">investment and </w:t>
      </w:r>
      <w:r w:rsidR="00AA4ABE">
        <w:t xml:space="preserve">involvement since the </w:t>
      </w:r>
      <w:r w:rsidR="009C298E">
        <w:t xml:space="preserve">new </w:t>
      </w:r>
      <w:r w:rsidR="00364C06">
        <w:t xml:space="preserve">governance and strategy requirements </w:t>
      </w:r>
      <w:r w:rsidR="009C457C">
        <w:t xml:space="preserve">were released. </w:t>
      </w:r>
      <w:r w:rsidR="00AE0E7D">
        <w:t xml:space="preserve"> </w:t>
      </w:r>
    </w:p>
    <w:p w14:paraId="03DB7E6E" w14:textId="74D31D00" w:rsidR="00E3422A" w:rsidRDefault="5C7752AA" w:rsidP="00B510D4">
      <w:r>
        <w:t xml:space="preserve">ADCET </w:t>
      </w:r>
      <w:r w:rsidR="6EE04E72">
        <w:t xml:space="preserve">is </w:t>
      </w:r>
      <w:r w:rsidR="564EE035">
        <w:t>currently</w:t>
      </w:r>
      <w:r w:rsidR="007F3999">
        <w:t xml:space="preserve"> s</w:t>
      </w:r>
      <w:r w:rsidR="004022D7">
        <w:t xml:space="preserve">upporting </w:t>
      </w:r>
      <w:r w:rsidR="0031737B">
        <w:t>communities of practice for disability</w:t>
      </w:r>
      <w:r w:rsidR="001E2F8A">
        <w:t>-service managers</w:t>
      </w:r>
      <w:r w:rsidR="00791754">
        <w:t>,</w:t>
      </w:r>
      <w:r w:rsidR="0031737B">
        <w:t xml:space="preserve"> staff new to Universal Design for Learning roles</w:t>
      </w:r>
      <w:r w:rsidR="00B220D0">
        <w:t>,</w:t>
      </w:r>
      <w:r w:rsidR="001D129E">
        <w:t xml:space="preserve"> </w:t>
      </w:r>
      <w:r w:rsidR="00CE176F">
        <w:t>n</w:t>
      </w:r>
      <w:r w:rsidR="001D129E">
        <w:t>euro</w:t>
      </w:r>
      <w:r w:rsidR="006067EB">
        <w:t>diver</w:t>
      </w:r>
      <w:r w:rsidR="005101E9">
        <w:t>sity</w:t>
      </w:r>
      <w:r w:rsidR="00293D11">
        <w:t xml:space="preserve"> </w:t>
      </w:r>
      <w:r w:rsidR="00DA54EB">
        <w:t>related roles</w:t>
      </w:r>
      <w:r w:rsidR="00D94F59">
        <w:t xml:space="preserve"> and assistive technology</w:t>
      </w:r>
      <w:r w:rsidR="00DD412B">
        <w:t xml:space="preserve"> staff</w:t>
      </w:r>
      <w:r w:rsidR="001E2F8A">
        <w:t xml:space="preserve">. </w:t>
      </w:r>
    </w:p>
    <w:p w14:paraId="0D4FBB5A" w14:textId="101B56A2" w:rsidR="006D10D9" w:rsidRDefault="001E2F8A" w:rsidP="00B510D4">
      <w:r>
        <w:t>These networks identify issues that could be addressed once</w:t>
      </w:r>
      <w:r w:rsidR="00600CB6">
        <w:t xml:space="preserve"> by the communities of practice</w:t>
      </w:r>
      <w:r>
        <w:t xml:space="preserve"> and </w:t>
      </w:r>
      <w:r w:rsidR="0031737B">
        <w:t xml:space="preserve">shared </w:t>
      </w:r>
      <w:r>
        <w:t>across institutions, provided sector coordination is adequately resourced</w:t>
      </w:r>
      <w:r w:rsidR="00A97695">
        <w:t>.</w:t>
      </w:r>
      <w:r w:rsidR="008D61AD">
        <w:t xml:space="preserve"> Despite current resourcing constraints, ADCET continues to</w:t>
      </w:r>
      <w:r w:rsidR="007E1E20">
        <w:t xml:space="preserve"> </w:t>
      </w:r>
      <w:r w:rsidR="00E13429">
        <w:t>support and grow these communities</w:t>
      </w:r>
      <w:r w:rsidR="005B3B5E">
        <w:t>.</w:t>
      </w:r>
    </w:p>
    <w:p w14:paraId="3682B314" w14:textId="2E8969CC" w:rsidR="000834A4" w:rsidRDefault="007F26E9" w:rsidP="00AE6048">
      <w:r>
        <w:t xml:space="preserve">ADCET recommends that ATEC </w:t>
      </w:r>
      <w:r w:rsidR="00907DDD">
        <w:t xml:space="preserve">monitor early implementation of the revised DSF guidelines, then </w:t>
      </w:r>
      <w:r>
        <w:t xml:space="preserve">review </w:t>
      </w:r>
      <w:r w:rsidR="00907DDD">
        <w:t>their</w:t>
      </w:r>
      <w:r>
        <w:t xml:space="preserve"> impact </w:t>
      </w:r>
      <w:r w:rsidR="00907DDD">
        <w:t>at the earliest practical opportunity</w:t>
      </w:r>
      <w:r>
        <w:t>, with a focus on staffing investments and opportunities to improve national coordination and consistency.</w:t>
      </w:r>
    </w:p>
    <w:p w14:paraId="37D75EB3" w14:textId="59516543" w:rsidR="4BC2B241" w:rsidRDefault="4BC2B241" w:rsidP="4BC2B241">
      <w:pPr>
        <w:pStyle w:val="Heading1"/>
      </w:pPr>
      <w:r>
        <w:lastRenderedPageBreak/>
        <w:t>Contact</w:t>
      </w:r>
    </w:p>
    <w:p w14:paraId="09AFA106" w14:textId="3CFB73D9" w:rsidR="005C6858" w:rsidRDefault="0031737B">
      <w:r>
        <w:t xml:space="preserve">ADCET would welcome the opportunity to discuss this submission and contribute to the Strategy. </w:t>
      </w:r>
    </w:p>
    <w:p w14:paraId="57893CF6" w14:textId="77777777" w:rsidR="005C6858" w:rsidRDefault="0031737B">
      <w:r>
        <w:t xml:space="preserve">Contact: </w:t>
      </w:r>
    </w:p>
    <w:p w14:paraId="2E854C7A" w14:textId="3A3CE0C8" w:rsidR="005C6858" w:rsidRDefault="005C6858">
      <w:r>
        <w:t xml:space="preserve">Darlene McLennan </w:t>
      </w:r>
    </w:p>
    <w:p w14:paraId="18258C74" w14:textId="01A5A989" w:rsidR="008720B5" w:rsidRDefault="00890E37">
      <w:r>
        <w:t xml:space="preserve">Manager, </w:t>
      </w:r>
      <w:r w:rsidR="00AD3A13">
        <w:t>ADCET</w:t>
      </w:r>
    </w:p>
    <w:p w14:paraId="4B3B1215" w14:textId="360B3EDD" w:rsidR="0A5FA383" w:rsidRDefault="00992C65" w:rsidP="0A5FA383">
      <w:hyperlink r:id="rId11">
        <w:r w:rsidRPr="46E6C49C">
          <w:rPr>
            <w:rStyle w:val="Hyperlink"/>
          </w:rPr>
          <w:t>Darlene.McLennan@utas.edu.au</w:t>
        </w:r>
      </w:hyperlink>
    </w:p>
    <w:p w14:paraId="6A9CCF5E" w14:textId="68776D0A" w:rsidR="0A5FA383" w:rsidRDefault="0A5FA383"/>
    <w:sectPr w:rsidR="0A5FA383" w:rsidSect="007B5DCE">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B6D5A5" w14:textId="77777777" w:rsidR="00154F72" w:rsidRDefault="00154F72" w:rsidP="00A663E7">
      <w:pPr>
        <w:spacing w:after="0" w:line="240" w:lineRule="auto"/>
      </w:pPr>
      <w:r>
        <w:separator/>
      </w:r>
    </w:p>
  </w:endnote>
  <w:endnote w:type="continuationSeparator" w:id="0">
    <w:p w14:paraId="76BFB8E0" w14:textId="77777777" w:rsidR="00154F72" w:rsidRDefault="00154F72" w:rsidP="00A663E7">
      <w:pPr>
        <w:spacing w:after="0" w:line="240" w:lineRule="auto"/>
      </w:pPr>
      <w:r>
        <w:continuationSeparator/>
      </w:r>
    </w:p>
  </w:endnote>
  <w:endnote w:id="1">
    <w:p w14:paraId="33D03EBC" w14:textId="77777777" w:rsidR="007E7A4F" w:rsidRDefault="00154F72">
      <w:pPr>
        <w:pStyle w:val="EndnoteText"/>
      </w:pPr>
      <w:r>
        <w:rPr>
          <w:rStyle w:val="EndnoteReference"/>
        </w:rPr>
        <w:endnoteRef/>
      </w:r>
      <w:r>
        <w:t>Australian Tertiary Education Commission (2026) Workplan 2027 and 2028: summary draft for consultation, Australian Government Department of Education.</w:t>
      </w:r>
    </w:p>
  </w:endnote>
  <w:endnote w:id="2">
    <w:p w14:paraId="00CAFA2C" w14:textId="77777777" w:rsidR="007E7A4F" w:rsidRDefault="00154F72">
      <w:pPr>
        <w:pStyle w:val="EndnoteText"/>
      </w:pPr>
      <w:r>
        <w:rPr>
          <w:rStyle w:val="EndnoteReference"/>
        </w:rPr>
        <w:endnoteRef/>
      </w:r>
      <w:r>
        <w:t>Australian Tertiary Education Commission (2026) Statement of Strategic Priorities 2027–28: consultation paper, Australian Government Department of Education.</w:t>
      </w:r>
    </w:p>
  </w:endnote>
  <w:endnote w:id="3">
    <w:p w14:paraId="723233DB" w14:textId="77777777" w:rsidR="007E7A4F" w:rsidRDefault="00154F72">
      <w:pPr>
        <w:pStyle w:val="EndnoteText"/>
      </w:pPr>
      <w:r>
        <w:rPr>
          <w:rStyle w:val="EndnoteReference"/>
        </w:rPr>
        <w:endnoteRef/>
      </w:r>
      <w:r>
        <w:t>Australian Government Department of Education (2026) Higher Education Disability Support Program, Department of Education website. Available at: https://www.education.gov.au/higher-education-disability-support-program</w:t>
      </w:r>
    </w:p>
  </w:endnote>
  <w:endnote w:id="4">
    <w:p w14:paraId="3DB9EFA2" w14:textId="77777777" w:rsidR="007E7A4F" w:rsidRDefault="00154F72">
      <w:pPr>
        <w:pStyle w:val="EndnoteText"/>
      </w:pPr>
      <w:r>
        <w:rPr>
          <w:rStyle w:val="EndnoteReference"/>
        </w:rPr>
        <w:endnoteRef/>
      </w:r>
      <w:r>
        <w:t>National Regional Disability Liaison Officer Initiative (2002) Submission to the Senate inquiry into the education of students with disabilities, Senate Employment, Workplace Relations and Education References Committee, Parliament of Australia. Available at: https://www.aph.gov.au/~/media/wopapub/senate/committee/eet_ctte/completed_inquiries/2002_04/ed_students_withdisabilities/submissions/sub054_pdf.ashx</w:t>
      </w:r>
    </w:p>
  </w:endnote>
  <w:endnote w:id="5">
    <w:p w14:paraId="03173CC0" w14:textId="77777777" w:rsidR="007E7A4F" w:rsidRDefault="00154F72">
      <w:pPr>
        <w:pStyle w:val="EndnoteText"/>
      </w:pPr>
      <w:r>
        <w:rPr>
          <w:rStyle w:val="EndnoteReference"/>
        </w:rPr>
        <w:endnoteRef/>
      </w:r>
      <w:r>
        <w:t>Commonwealth Ombudsman (2026) National Student Ombudsman annual report 2025–26, October 2026, Commonwealth Ombudsman.</w:t>
      </w:r>
    </w:p>
  </w:endnote>
  <w:endnote w:id="6">
    <w:p w14:paraId="5062F82F" w14:textId="77777777" w:rsidR="007E7A4F" w:rsidRDefault="00154F72">
      <w:pPr>
        <w:pStyle w:val="EndnoteText"/>
      </w:pPr>
      <w:r>
        <w:rPr>
          <w:rStyle w:val="EndnoteReference"/>
        </w:rPr>
        <w:endnoteRef/>
      </w:r>
      <w:r>
        <w:t>Universities Accord (Australian Tertiary Education Commission) Act 2026 (</w:t>
      </w:r>
      <w:proofErr w:type="spellStart"/>
      <w:r>
        <w:t>Cth</w:t>
      </w:r>
      <w:proofErr w:type="spellEnd"/>
      <w:r>
        <w:t>) s 14, Federal Register of Legislation.</w:t>
      </w:r>
    </w:p>
  </w:endnote>
  <w:endnote w:id="7">
    <w:p w14:paraId="54C0D186" w14:textId="77777777" w:rsidR="007E7A4F" w:rsidRDefault="00154F72">
      <w:pPr>
        <w:pStyle w:val="EndnoteText"/>
      </w:pPr>
      <w:r>
        <w:rPr>
          <w:rStyle w:val="EndnoteReference"/>
        </w:rPr>
        <w:endnoteRef/>
      </w:r>
      <w:r>
        <w:t>Australian Tertiary Education Commission (2026) Statement of Strategic Priorities 2027–28: consultation paper, Australian Government Department of Education.</w:t>
      </w:r>
    </w:p>
  </w:endnote>
  <w:endnote w:id="8">
    <w:p w14:paraId="737371DC" w14:textId="77777777" w:rsidR="007E7A4F" w:rsidRDefault="00154F72">
      <w:pPr>
        <w:pStyle w:val="EndnoteText"/>
      </w:pPr>
      <w:r>
        <w:rPr>
          <w:rStyle w:val="EndnoteReference"/>
        </w:rPr>
        <w:endnoteRef/>
      </w:r>
      <w:r>
        <w:t>Australian Tertiary Education Commission (2026) Statement of Strategic Priorities 2027–28: consultation paper, Australian Government Department of Education.</w:t>
      </w:r>
    </w:p>
  </w:endnote>
  <w:endnote w:id="9">
    <w:p w14:paraId="2A8D58BC" w14:textId="77777777" w:rsidR="007E7A4F" w:rsidRDefault="00154F72">
      <w:pPr>
        <w:pStyle w:val="EndnoteText"/>
      </w:pPr>
      <w:r>
        <w:rPr>
          <w:rStyle w:val="EndnoteReference"/>
        </w:rPr>
        <w:endnoteRef/>
      </w:r>
      <w:r>
        <w:t>Commonwealth Ombudsman (2026) National Student Ombudsman annual report 2025–26, October 2026, Commonwealth Ombudsman.</w:t>
      </w:r>
    </w:p>
  </w:endnote>
  <w:endnote w:id="10">
    <w:p w14:paraId="3FEC398B" w14:textId="77777777" w:rsidR="007E7A4F" w:rsidRDefault="00154F72">
      <w:pPr>
        <w:pStyle w:val="EndnoteText"/>
      </w:pPr>
      <w:r>
        <w:rPr>
          <w:rStyle w:val="EndnoteReference"/>
        </w:rPr>
        <w:endnoteRef/>
      </w:r>
      <w:r>
        <w:t>Social Research Centre (2026) 2025 Graduate Outcomes Survey: national report, Quality Indicators for Learning and Teaching, June 2026. Available at: https://www.qilt.edu.au/docs/default-source/default-document-library/2025-gos-national-report.pdf?sfvrsn=39173559_1</w:t>
      </w:r>
    </w:p>
  </w:endnote>
  <w:endnote w:id="11">
    <w:p w14:paraId="492A856C" w14:textId="77777777" w:rsidR="007E7A4F" w:rsidRDefault="00154F72">
      <w:pPr>
        <w:pStyle w:val="EndnoteText"/>
      </w:pPr>
      <w:r>
        <w:rPr>
          <w:rStyle w:val="EndnoteReference"/>
        </w:rPr>
        <w:endnoteRef/>
      </w:r>
      <w:r>
        <w:t>Disability Standards for Education 2005 (</w:t>
      </w:r>
      <w:proofErr w:type="spellStart"/>
      <w:r>
        <w:t>Cth</w:t>
      </w:r>
      <w:proofErr w:type="spellEnd"/>
      <w:r>
        <w:t>), compilation in force from 1 August 2026, Federal Register of Legislation. Available at: https://www.legislation.gov.au/F2005L00767/2026-08-01/2026-08-01/text/original/pdf</w:t>
      </w:r>
    </w:p>
  </w:endnote>
  <w:endnote w:id="12">
    <w:p w14:paraId="45C5EF61" w14:textId="77777777" w:rsidR="007E7A4F" w:rsidRDefault="00154F72">
      <w:pPr>
        <w:pStyle w:val="EndnoteText"/>
      </w:pPr>
      <w:r>
        <w:rPr>
          <w:rStyle w:val="EndnoteReference"/>
        </w:rPr>
        <w:endnoteRef/>
      </w:r>
      <w:r>
        <w:t>Disability Discrimination Act 1992 (</w:t>
      </w:r>
      <w:proofErr w:type="spellStart"/>
      <w:r>
        <w:t>Cth</w:t>
      </w:r>
      <w:proofErr w:type="spellEnd"/>
      <w:r>
        <w:t>), compilation no. 41, 8 October 2026, Federal Register of Legislation. Available at: https://www.legislation.gov.au/C2004A04426/latest</w:t>
      </w:r>
    </w:p>
  </w:endnote>
  <w:endnote w:id="13">
    <w:p w14:paraId="49D645CB" w14:textId="77777777" w:rsidR="007E7A4F" w:rsidRDefault="00154F72">
      <w:pPr>
        <w:pStyle w:val="EndnoteText"/>
      </w:pPr>
      <w:r>
        <w:rPr>
          <w:rStyle w:val="EndnoteReference"/>
        </w:rPr>
        <w:endnoteRef/>
      </w:r>
      <w:r>
        <w:t>Australian Tertiary Education Commission (2026) Statement of Strategic Priorities 2027–28: consultation paper, Australian Government Department of Education.</w:t>
      </w:r>
    </w:p>
  </w:endnote>
  <w:endnote w:id="14">
    <w:p w14:paraId="76AC2FD0" w14:textId="77777777" w:rsidR="000C3CC5" w:rsidRDefault="000C3CC5" w:rsidP="000C3CC5">
      <w:pPr>
        <w:pStyle w:val="EndnoteText"/>
      </w:pPr>
      <w:r>
        <w:rPr>
          <w:rStyle w:val="EndnoteReference"/>
        </w:rPr>
        <w:endnoteRef/>
      </w:r>
      <w:r>
        <w:t>Commonwealth Ombudsman (2026) National Student Ombudsman annual report 2025–26, October 2026, Commonwealth Ombudsman.</w:t>
      </w:r>
    </w:p>
  </w:endnote>
  <w:endnote w:id="15">
    <w:p w14:paraId="74F34AE5" w14:textId="77777777" w:rsidR="007E7A4F" w:rsidRDefault="00154F72">
      <w:pPr>
        <w:pStyle w:val="EndnoteText"/>
      </w:pPr>
      <w:r>
        <w:rPr>
          <w:rStyle w:val="EndnoteReference"/>
        </w:rPr>
        <w:endnoteRef/>
      </w:r>
      <w:r>
        <w:t>Disability Standards for Education 2005 (</w:t>
      </w:r>
      <w:proofErr w:type="spellStart"/>
      <w:r>
        <w:t>Cth</w:t>
      </w:r>
      <w:proofErr w:type="spellEnd"/>
      <w:r>
        <w:t>), compilation in force from 1 August 2026, Federal Register of Legislation. Available at: https://www.legislation.gov.au/F2005L00767/2026-08-01/2026-08-01/text/original/pdf</w:t>
      </w:r>
    </w:p>
  </w:endnote>
  <w:endnote w:id="16">
    <w:p w14:paraId="0B110F84" w14:textId="77777777" w:rsidR="007E7A4F" w:rsidRDefault="00154F72">
      <w:pPr>
        <w:pStyle w:val="EndnoteText"/>
      </w:pPr>
      <w:r>
        <w:rPr>
          <w:rStyle w:val="EndnoteReference"/>
        </w:rPr>
        <w:endnoteRef/>
      </w:r>
      <w:r>
        <w:t>Disability Discrimination Act 1992 (</w:t>
      </w:r>
      <w:proofErr w:type="spellStart"/>
      <w:r>
        <w:t>Cth</w:t>
      </w:r>
      <w:proofErr w:type="spellEnd"/>
      <w:r>
        <w:t>), compilation no. 41, 8 October 2026, Federal Register of Legislation. Available at: https://www.legislation.gov.au/C2004A04426/latest</w:t>
      </w:r>
    </w:p>
  </w:endnote>
  <w:endnote w:id="17">
    <w:p w14:paraId="009BFE8B" w14:textId="77777777" w:rsidR="007E7A4F" w:rsidRDefault="00154F72">
      <w:pPr>
        <w:pStyle w:val="EndnoteText"/>
      </w:pPr>
      <w:r>
        <w:rPr>
          <w:rStyle w:val="EndnoteReference"/>
        </w:rPr>
        <w:endnoteRef/>
      </w:r>
      <w:r>
        <w:t>Australian Disability Clearinghouse on Education and Training (2026) Submission to ATEC: a more joined-up tertiary system, June 2026.</w:t>
      </w:r>
    </w:p>
  </w:endnote>
  <w:endnote w:id="18">
    <w:p w14:paraId="4F79B8B4" w14:textId="77777777" w:rsidR="007E7A4F" w:rsidRDefault="00154F72">
      <w:pPr>
        <w:pStyle w:val="EndnoteText"/>
      </w:pPr>
      <w:r>
        <w:rPr>
          <w:rStyle w:val="EndnoteReference"/>
        </w:rPr>
        <w:endnoteRef/>
      </w:r>
      <w:r>
        <w:t>Australian Curriculum, Assessment and Reporting Authority (2025) School students with disability, National Report on Schooling in Australia. Available at: https://www.acara.edu.au/reporting/national-report-on-schooling-in-australia/school-students-with-disability</w:t>
      </w:r>
    </w:p>
  </w:endnote>
  <w:endnote w:id="19">
    <w:p w14:paraId="442CD909" w14:textId="77777777" w:rsidR="007E7A4F" w:rsidRDefault="00154F72">
      <w:pPr>
        <w:pStyle w:val="EndnoteText"/>
      </w:pPr>
      <w:r>
        <w:rPr>
          <w:rStyle w:val="EndnoteReference"/>
        </w:rPr>
        <w:endnoteRef/>
      </w:r>
      <w:r>
        <w:t xml:space="preserve"> Departmental program materials: 1) Australian Government Department of Education (2025) FEE-FREE Uni Ready courses, Department of Education website. Available at: https://www.education.gov.au/higher-education-funding/commonwealth-grant-scheme-cgs/feefree-uni-ready-courses 2) Australian Government Department of Education (2024) FEE-FREE Uni Ready courses, 2024–25 Budget fact sheet, 14 May 2024. Available at: https://www.education.gov.au/download/18174/fee-free-uni-ready-courses/37323/document/pdf 3) Austral</w:t>
      </w:r>
      <w:r>
        <w:t>ian Government Department of Education (2026) Needs-based Funding, Department of Education website. Available at: https://www.education.gov.au/access-and-participation/needsbased-funding 4) Australian Government Department of Education (2025) Needs-based Funding guidance, version 1.0, December 2025. Available at: https://www.education.gov.au/download/20041/needs-based-funding-guidance/43607/document/pdf 5) Australian Government Department of Education (2026) Outreach Funding Program, Department of Education</w:t>
      </w:r>
      <w:r>
        <w:t xml:space="preserve"> website. Available at: https://www.education.gov.au/access-and-participation/outreach-funding-program 6) Australian Government Department of Education (2026) Outreach Funding guidance, updated 19 February 2026. Available at: https://www.education.gov.au/download/20042/outreach-funding-guidance/44110/document/pdf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1B777B" w14:textId="77777777" w:rsidR="00154F72" w:rsidRDefault="00154F72" w:rsidP="00A663E7">
      <w:pPr>
        <w:spacing w:after="0" w:line="240" w:lineRule="auto"/>
      </w:pPr>
      <w:r>
        <w:separator/>
      </w:r>
    </w:p>
  </w:footnote>
  <w:footnote w:type="continuationSeparator" w:id="0">
    <w:p w14:paraId="7C61DABF" w14:textId="77777777" w:rsidR="00154F72" w:rsidRDefault="00154F72" w:rsidP="00A663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53F4B"/>
    <w:multiLevelType w:val="hybridMultilevel"/>
    <w:tmpl w:val="FFFFFFFF"/>
    <w:lvl w:ilvl="0" w:tplc="ECA4D6C2">
      <w:start w:val="1"/>
      <w:numFmt w:val="bullet"/>
      <w:lvlText w:val=""/>
      <w:lvlJc w:val="left"/>
      <w:pPr>
        <w:ind w:left="720" w:hanging="360"/>
      </w:pPr>
      <w:rPr>
        <w:rFonts w:ascii="Symbol" w:hAnsi="Symbol" w:hint="default"/>
      </w:rPr>
    </w:lvl>
    <w:lvl w:ilvl="1" w:tplc="815ABD9A">
      <w:start w:val="1"/>
      <w:numFmt w:val="bullet"/>
      <w:lvlText w:val="o"/>
      <w:lvlJc w:val="left"/>
      <w:pPr>
        <w:ind w:left="1440" w:hanging="360"/>
      </w:pPr>
      <w:rPr>
        <w:rFonts w:ascii="Courier New" w:hAnsi="Courier New" w:hint="default"/>
      </w:rPr>
    </w:lvl>
    <w:lvl w:ilvl="2" w:tplc="6B3424FC">
      <w:start w:val="1"/>
      <w:numFmt w:val="bullet"/>
      <w:lvlText w:val=""/>
      <w:lvlJc w:val="left"/>
      <w:pPr>
        <w:ind w:left="2160" w:hanging="360"/>
      </w:pPr>
      <w:rPr>
        <w:rFonts w:ascii="Wingdings" w:hAnsi="Wingdings" w:hint="default"/>
      </w:rPr>
    </w:lvl>
    <w:lvl w:ilvl="3" w:tplc="2AA2078A">
      <w:start w:val="1"/>
      <w:numFmt w:val="bullet"/>
      <w:lvlText w:val=""/>
      <w:lvlJc w:val="left"/>
      <w:pPr>
        <w:ind w:left="2880" w:hanging="360"/>
      </w:pPr>
      <w:rPr>
        <w:rFonts w:ascii="Symbol" w:hAnsi="Symbol" w:hint="default"/>
      </w:rPr>
    </w:lvl>
    <w:lvl w:ilvl="4" w:tplc="8EDE44D2">
      <w:start w:val="1"/>
      <w:numFmt w:val="bullet"/>
      <w:lvlText w:val="o"/>
      <w:lvlJc w:val="left"/>
      <w:pPr>
        <w:ind w:left="3600" w:hanging="360"/>
      </w:pPr>
      <w:rPr>
        <w:rFonts w:ascii="Courier New" w:hAnsi="Courier New" w:hint="default"/>
      </w:rPr>
    </w:lvl>
    <w:lvl w:ilvl="5" w:tplc="89A02C92">
      <w:start w:val="1"/>
      <w:numFmt w:val="bullet"/>
      <w:lvlText w:val=""/>
      <w:lvlJc w:val="left"/>
      <w:pPr>
        <w:ind w:left="4320" w:hanging="360"/>
      </w:pPr>
      <w:rPr>
        <w:rFonts w:ascii="Wingdings" w:hAnsi="Wingdings" w:hint="default"/>
      </w:rPr>
    </w:lvl>
    <w:lvl w:ilvl="6" w:tplc="50148210">
      <w:start w:val="1"/>
      <w:numFmt w:val="bullet"/>
      <w:lvlText w:val=""/>
      <w:lvlJc w:val="left"/>
      <w:pPr>
        <w:ind w:left="5040" w:hanging="360"/>
      </w:pPr>
      <w:rPr>
        <w:rFonts w:ascii="Symbol" w:hAnsi="Symbol" w:hint="default"/>
      </w:rPr>
    </w:lvl>
    <w:lvl w:ilvl="7" w:tplc="04A21B78">
      <w:start w:val="1"/>
      <w:numFmt w:val="bullet"/>
      <w:lvlText w:val="o"/>
      <w:lvlJc w:val="left"/>
      <w:pPr>
        <w:ind w:left="5760" w:hanging="360"/>
      </w:pPr>
      <w:rPr>
        <w:rFonts w:ascii="Courier New" w:hAnsi="Courier New" w:hint="default"/>
      </w:rPr>
    </w:lvl>
    <w:lvl w:ilvl="8" w:tplc="5380CF62">
      <w:start w:val="1"/>
      <w:numFmt w:val="bullet"/>
      <w:lvlText w:val=""/>
      <w:lvlJc w:val="left"/>
      <w:pPr>
        <w:ind w:left="6480" w:hanging="360"/>
      </w:pPr>
      <w:rPr>
        <w:rFonts w:ascii="Wingdings" w:hAnsi="Wingdings" w:hint="default"/>
      </w:rPr>
    </w:lvl>
  </w:abstractNum>
  <w:abstractNum w:abstractNumId="1" w15:restartNumberingAfterBreak="0">
    <w:nsid w:val="05676F9C"/>
    <w:multiLevelType w:val="multilevel"/>
    <w:tmpl w:val="EDB4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D1818"/>
    <w:multiLevelType w:val="multilevel"/>
    <w:tmpl w:val="F098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9D3E4C"/>
    <w:multiLevelType w:val="multilevel"/>
    <w:tmpl w:val="6C26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E4041"/>
    <w:multiLevelType w:val="multilevel"/>
    <w:tmpl w:val="7B50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93DA6"/>
    <w:multiLevelType w:val="multilevel"/>
    <w:tmpl w:val="81A2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31DD3"/>
    <w:multiLevelType w:val="hybridMultilevel"/>
    <w:tmpl w:val="FFFFFFFF"/>
    <w:lvl w:ilvl="0" w:tplc="4852EC1E">
      <w:start w:val="1"/>
      <w:numFmt w:val="decimal"/>
      <w:lvlText w:val="%1."/>
      <w:lvlJc w:val="left"/>
      <w:pPr>
        <w:ind w:left="720" w:hanging="360"/>
      </w:pPr>
    </w:lvl>
    <w:lvl w:ilvl="1" w:tplc="EC4003F4">
      <w:start w:val="1"/>
      <w:numFmt w:val="lowerLetter"/>
      <w:lvlText w:val="%2."/>
      <w:lvlJc w:val="left"/>
      <w:pPr>
        <w:ind w:left="1440" w:hanging="360"/>
      </w:pPr>
    </w:lvl>
    <w:lvl w:ilvl="2" w:tplc="082CBED6">
      <w:start w:val="1"/>
      <w:numFmt w:val="lowerRoman"/>
      <w:lvlText w:val="%3."/>
      <w:lvlJc w:val="left"/>
      <w:pPr>
        <w:ind w:left="2160" w:hanging="360"/>
      </w:pPr>
    </w:lvl>
    <w:lvl w:ilvl="3" w:tplc="C3A07F28">
      <w:start w:val="1"/>
      <w:numFmt w:val="decimal"/>
      <w:lvlText w:val="%4."/>
      <w:lvlJc w:val="left"/>
      <w:pPr>
        <w:ind w:left="2880" w:hanging="360"/>
      </w:pPr>
    </w:lvl>
    <w:lvl w:ilvl="4" w:tplc="96EC7FEA">
      <w:start w:val="1"/>
      <w:numFmt w:val="lowerLetter"/>
      <w:lvlText w:val="%5."/>
      <w:lvlJc w:val="left"/>
      <w:pPr>
        <w:ind w:left="3600" w:hanging="360"/>
      </w:pPr>
    </w:lvl>
    <w:lvl w:ilvl="5" w:tplc="DB24A0C8">
      <w:start w:val="1"/>
      <w:numFmt w:val="lowerRoman"/>
      <w:lvlText w:val="%6."/>
      <w:lvlJc w:val="left"/>
      <w:pPr>
        <w:ind w:left="4320" w:hanging="360"/>
      </w:pPr>
    </w:lvl>
    <w:lvl w:ilvl="6" w:tplc="CB00408A">
      <w:start w:val="1"/>
      <w:numFmt w:val="decimal"/>
      <w:lvlText w:val="%7."/>
      <w:lvlJc w:val="left"/>
      <w:pPr>
        <w:ind w:left="5040" w:hanging="360"/>
      </w:pPr>
    </w:lvl>
    <w:lvl w:ilvl="7" w:tplc="43DEE9F2">
      <w:start w:val="1"/>
      <w:numFmt w:val="lowerLetter"/>
      <w:lvlText w:val="%8."/>
      <w:lvlJc w:val="left"/>
      <w:pPr>
        <w:ind w:left="5760" w:hanging="360"/>
      </w:pPr>
    </w:lvl>
    <w:lvl w:ilvl="8" w:tplc="7FF0BBB0">
      <w:start w:val="1"/>
      <w:numFmt w:val="lowerRoman"/>
      <w:lvlText w:val="%9."/>
      <w:lvlJc w:val="left"/>
      <w:pPr>
        <w:ind w:left="6480" w:hanging="360"/>
      </w:pPr>
    </w:lvl>
  </w:abstractNum>
  <w:abstractNum w:abstractNumId="7" w15:restartNumberingAfterBreak="0">
    <w:nsid w:val="439E583F"/>
    <w:multiLevelType w:val="multilevel"/>
    <w:tmpl w:val="7938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53D8B"/>
    <w:multiLevelType w:val="multilevel"/>
    <w:tmpl w:val="85B4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C1DD37"/>
    <w:multiLevelType w:val="hybridMultilevel"/>
    <w:tmpl w:val="FE665A44"/>
    <w:lvl w:ilvl="0" w:tplc="68DE8334">
      <w:start w:val="1"/>
      <w:numFmt w:val="decimal"/>
      <w:lvlText w:val="%1."/>
      <w:lvlJc w:val="left"/>
      <w:pPr>
        <w:ind w:left="720" w:hanging="360"/>
      </w:pPr>
    </w:lvl>
    <w:lvl w:ilvl="1" w:tplc="CAD84D74">
      <w:start w:val="1"/>
      <w:numFmt w:val="lowerLetter"/>
      <w:lvlText w:val="%2."/>
      <w:lvlJc w:val="left"/>
      <w:pPr>
        <w:ind w:left="1440" w:hanging="360"/>
      </w:pPr>
    </w:lvl>
    <w:lvl w:ilvl="2" w:tplc="B04CD610">
      <w:start w:val="1"/>
      <w:numFmt w:val="lowerRoman"/>
      <w:lvlText w:val="%3."/>
      <w:lvlJc w:val="right"/>
      <w:pPr>
        <w:ind w:left="2160" w:hanging="180"/>
      </w:pPr>
    </w:lvl>
    <w:lvl w:ilvl="3" w:tplc="AB86C9A6">
      <w:start w:val="1"/>
      <w:numFmt w:val="decimal"/>
      <w:lvlText w:val="%4."/>
      <w:lvlJc w:val="left"/>
      <w:pPr>
        <w:ind w:left="2880" w:hanging="360"/>
      </w:pPr>
    </w:lvl>
    <w:lvl w:ilvl="4" w:tplc="8B5EFD8C">
      <w:start w:val="1"/>
      <w:numFmt w:val="lowerLetter"/>
      <w:lvlText w:val="%5."/>
      <w:lvlJc w:val="left"/>
      <w:pPr>
        <w:ind w:left="3600" w:hanging="360"/>
      </w:pPr>
    </w:lvl>
    <w:lvl w:ilvl="5" w:tplc="6FB020C6">
      <w:start w:val="1"/>
      <w:numFmt w:val="lowerRoman"/>
      <w:lvlText w:val="%6."/>
      <w:lvlJc w:val="right"/>
      <w:pPr>
        <w:ind w:left="4320" w:hanging="180"/>
      </w:pPr>
    </w:lvl>
    <w:lvl w:ilvl="6" w:tplc="B2EED836">
      <w:start w:val="1"/>
      <w:numFmt w:val="decimal"/>
      <w:lvlText w:val="%7."/>
      <w:lvlJc w:val="left"/>
      <w:pPr>
        <w:ind w:left="5040" w:hanging="360"/>
      </w:pPr>
    </w:lvl>
    <w:lvl w:ilvl="7" w:tplc="2492430C">
      <w:start w:val="1"/>
      <w:numFmt w:val="lowerLetter"/>
      <w:lvlText w:val="%8."/>
      <w:lvlJc w:val="left"/>
      <w:pPr>
        <w:ind w:left="5760" w:hanging="360"/>
      </w:pPr>
    </w:lvl>
    <w:lvl w:ilvl="8" w:tplc="9DCE59C0">
      <w:start w:val="1"/>
      <w:numFmt w:val="lowerRoman"/>
      <w:lvlText w:val="%9."/>
      <w:lvlJc w:val="right"/>
      <w:pPr>
        <w:ind w:left="6480" w:hanging="180"/>
      </w:pPr>
    </w:lvl>
  </w:abstractNum>
  <w:abstractNum w:abstractNumId="10" w15:restartNumberingAfterBreak="0">
    <w:nsid w:val="60FF6E0A"/>
    <w:multiLevelType w:val="multilevel"/>
    <w:tmpl w:val="78F8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440651"/>
    <w:multiLevelType w:val="multilevel"/>
    <w:tmpl w:val="1BF62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E97DCD"/>
    <w:multiLevelType w:val="multilevel"/>
    <w:tmpl w:val="D83E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025526"/>
    <w:multiLevelType w:val="hybridMultilevel"/>
    <w:tmpl w:val="FFFFFFFF"/>
    <w:lvl w:ilvl="0" w:tplc="E8325C96">
      <w:start w:val="1"/>
      <w:numFmt w:val="bullet"/>
      <w:lvlText w:val=""/>
      <w:lvlJc w:val="left"/>
      <w:pPr>
        <w:ind w:left="720" w:hanging="360"/>
      </w:pPr>
      <w:rPr>
        <w:rFonts w:ascii="Symbol" w:hAnsi="Symbol" w:hint="default"/>
      </w:rPr>
    </w:lvl>
    <w:lvl w:ilvl="1" w:tplc="64FCB26C">
      <w:start w:val="1"/>
      <w:numFmt w:val="bullet"/>
      <w:lvlText w:val="o"/>
      <w:lvlJc w:val="left"/>
      <w:pPr>
        <w:ind w:left="1440" w:hanging="360"/>
      </w:pPr>
      <w:rPr>
        <w:rFonts w:ascii="Courier New" w:hAnsi="Courier New" w:hint="default"/>
      </w:rPr>
    </w:lvl>
    <w:lvl w:ilvl="2" w:tplc="7102FD4C">
      <w:start w:val="1"/>
      <w:numFmt w:val="bullet"/>
      <w:lvlText w:val=""/>
      <w:lvlJc w:val="left"/>
      <w:pPr>
        <w:ind w:left="2160" w:hanging="360"/>
      </w:pPr>
      <w:rPr>
        <w:rFonts w:ascii="Wingdings" w:hAnsi="Wingdings" w:hint="default"/>
      </w:rPr>
    </w:lvl>
    <w:lvl w:ilvl="3" w:tplc="F64C7D4A">
      <w:start w:val="1"/>
      <w:numFmt w:val="bullet"/>
      <w:lvlText w:val=""/>
      <w:lvlJc w:val="left"/>
      <w:pPr>
        <w:ind w:left="2880" w:hanging="360"/>
      </w:pPr>
      <w:rPr>
        <w:rFonts w:ascii="Symbol" w:hAnsi="Symbol" w:hint="default"/>
      </w:rPr>
    </w:lvl>
    <w:lvl w:ilvl="4" w:tplc="03460868">
      <w:start w:val="1"/>
      <w:numFmt w:val="bullet"/>
      <w:lvlText w:val="o"/>
      <w:lvlJc w:val="left"/>
      <w:pPr>
        <w:ind w:left="3600" w:hanging="360"/>
      </w:pPr>
      <w:rPr>
        <w:rFonts w:ascii="Courier New" w:hAnsi="Courier New" w:hint="default"/>
      </w:rPr>
    </w:lvl>
    <w:lvl w:ilvl="5" w:tplc="D65876E6">
      <w:start w:val="1"/>
      <w:numFmt w:val="bullet"/>
      <w:lvlText w:val=""/>
      <w:lvlJc w:val="left"/>
      <w:pPr>
        <w:ind w:left="4320" w:hanging="360"/>
      </w:pPr>
      <w:rPr>
        <w:rFonts w:ascii="Wingdings" w:hAnsi="Wingdings" w:hint="default"/>
      </w:rPr>
    </w:lvl>
    <w:lvl w:ilvl="6" w:tplc="BFC0CDD0">
      <w:start w:val="1"/>
      <w:numFmt w:val="bullet"/>
      <w:lvlText w:val=""/>
      <w:lvlJc w:val="left"/>
      <w:pPr>
        <w:ind w:left="5040" w:hanging="360"/>
      </w:pPr>
      <w:rPr>
        <w:rFonts w:ascii="Symbol" w:hAnsi="Symbol" w:hint="default"/>
      </w:rPr>
    </w:lvl>
    <w:lvl w:ilvl="7" w:tplc="485C5DE4">
      <w:start w:val="1"/>
      <w:numFmt w:val="bullet"/>
      <w:lvlText w:val="o"/>
      <w:lvlJc w:val="left"/>
      <w:pPr>
        <w:ind w:left="5760" w:hanging="360"/>
      </w:pPr>
      <w:rPr>
        <w:rFonts w:ascii="Courier New" w:hAnsi="Courier New" w:hint="default"/>
      </w:rPr>
    </w:lvl>
    <w:lvl w:ilvl="8" w:tplc="5ED4620C">
      <w:start w:val="1"/>
      <w:numFmt w:val="bullet"/>
      <w:lvlText w:val=""/>
      <w:lvlJc w:val="left"/>
      <w:pPr>
        <w:ind w:left="6480" w:hanging="360"/>
      </w:pPr>
      <w:rPr>
        <w:rFonts w:ascii="Wingdings" w:hAnsi="Wingdings" w:hint="default"/>
      </w:rPr>
    </w:lvl>
  </w:abstractNum>
  <w:num w:numId="1" w16cid:durableId="1118646310">
    <w:abstractNumId w:val="12"/>
  </w:num>
  <w:num w:numId="2" w16cid:durableId="1641157331">
    <w:abstractNumId w:val="13"/>
  </w:num>
  <w:num w:numId="3" w16cid:durableId="1701970105">
    <w:abstractNumId w:val="6"/>
  </w:num>
  <w:num w:numId="4" w16cid:durableId="1949115809">
    <w:abstractNumId w:val="0"/>
  </w:num>
  <w:num w:numId="5" w16cid:durableId="1624144557">
    <w:abstractNumId w:val="8"/>
  </w:num>
  <w:num w:numId="6" w16cid:durableId="588463834">
    <w:abstractNumId w:val="2"/>
  </w:num>
  <w:num w:numId="7" w16cid:durableId="53355263">
    <w:abstractNumId w:val="9"/>
  </w:num>
  <w:num w:numId="8" w16cid:durableId="133835859">
    <w:abstractNumId w:val="4"/>
  </w:num>
  <w:num w:numId="9" w16cid:durableId="1279877472">
    <w:abstractNumId w:val="7"/>
  </w:num>
  <w:num w:numId="10" w16cid:durableId="1310013358">
    <w:abstractNumId w:val="1"/>
  </w:num>
  <w:num w:numId="11" w16cid:durableId="1184780485">
    <w:abstractNumId w:val="10"/>
  </w:num>
  <w:num w:numId="12" w16cid:durableId="723917583">
    <w:abstractNumId w:val="11"/>
  </w:num>
  <w:num w:numId="13" w16cid:durableId="1170222169">
    <w:abstractNumId w:val="5"/>
  </w:num>
  <w:num w:numId="14" w16cid:durableId="200234582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0C5CAC"/>
    <w:rsid w:val="0000083A"/>
    <w:rsid w:val="00000C1A"/>
    <w:rsid w:val="00000C87"/>
    <w:rsid w:val="000012FA"/>
    <w:rsid w:val="00001538"/>
    <w:rsid w:val="0000261B"/>
    <w:rsid w:val="00003516"/>
    <w:rsid w:val="00003C64"/>
    <w:rsid w:val="000044D1"/>
    <w:rsid w:val="000056EE"/>
    <w:rsid w:val="00006C7C"/>
    <w:rsid w:val="000108DB"/>
    <w:rsid w:val="00010C4D"/>
    <w:rsid w:val="000114FB"/>
    <w:rsid w:val="0001292A"/>
    <w:rsid w:val="000135EB"/>
    <w:rsid w:val="00015BF4"/>
    <w:rsid w:val="00017A90"/>
    <w:rsid w:val="000208CE"/>
    <w:rsid w:val="00022AD5"/>
    <w:rsid w:val="0002633C"/>
    <w:rsid w:val="00030642"/>
    <w:rsid w:val="000308D5"/>
    <w:rsid w:val="0003609D"/>
    <w:rsid w:val="000364EC"/>
    <w:rsid w:val="00036FE6"/>
    <w:rsid w:val="00037AC6"/>
    <w:rsid w:val="00041EDC"/>
    <w:rsid w:val="000421D6"/>
    <w:rsid w:val="00043431"/>
    <w:rsid w:val="00045362"/>
    <w:rsid w:val="00046C62"/>
    <w:rsid w:val="00046E85"/>
    <w:rsid w:val="00050738"/>
    <w:rsid w:val="00050E24"/>
    <w:rsid w:val="00050ED0"/>
    <w:rsid w:val="00051142"/>
    <w:rsid w:val="00051DD7"/>
    <w:rsid w:val="00053331"/>
    <w:rsid w:val="00053DF6"/>
    <w:rsid w:val="00055AE0"/>
    <w:rsid w:val="00056541"/>
    <w:rsid w:val="00057468"/>
    <w:rsid w:val="00061CBA"/>
    <w:rsid w:val="00064E3B"/>
    <w:rsid w:val="00066DCE"/>
    <w:rsid w:val="00071B6B"/>
    <w:rsid w:val="0007338A"/>
    <w:rsid w:val="0007494E"/>
    <w:rsid w:val="00074A0F"/>
    <w:rsid w:val="00074D12"/>
    <w:rsid w:val="00076538"/>
    <w:rsid w:val="00076FCD"/>
    <w:rsid w:val="00081AC9"/>
    <w:rsid w:val="00081E37"/>
    <w:rsid w:val="00082DCA"/>
    <w:rsid w:val="000834A4"/>
    <w:rsid w:val="000834CE"/>
    <w:rsid w:val="00083F9A"/>
    <w:rsid w:val="00084775"/>
    <w:rsid w:val="0008695C"/>
    <w:rsid w:val="00087B2D"/>
    <w:rsid w:val="00093192"/>
    <w:rsid w:val="00093A8A"/>
    <w:rsid w:val="00093C8D"/>
    <w:rsid w:val="000952E5"/>
    <w:rsid w:val="000A3813"/>
    <w:rsid w:val="000A7876"/>
    <w:rsid w:val="000A7D2F"/>
    <w:rsid w:val="000B04B4"/>
    <w:rsid w:val="000B14F7"/>
    <w:rsid w:val="000B1717"/>
    <w:rsid w:val="000B2953"/>
    <w:rsid w:val="000B403D"/>
    <w:rsid w:val="000B5622"/>
    <w:rsid w:val="000B58E1"/>
    <w:rsid w:val="000B6120"/>
    <w:rsid w:val="000B651B"/>
    <w:rsid w:val="000B6DAC"/>
    <w:rsid w:val="000C1F61"/>
    <w:rsid w:val="000C294F"/>
    <w:rsid w:val="000C35AB"/>
    <w:rsid w:val="000C3CC5"/>
    <w:rsid w:val="000C570D"/>
    <w:rsid w:val="000D2261"/>
    <w:rsid w:val="000D7D58"/>
    <w:rsid w:val="000D7FA4"/>
    <w:rsid w:val="000E05D3"/>
    <w:rsid w:val="000E17CA"/>
    <w:rsid w:val="000E2497"/>
    <w:rsid w:val="000E24C3"/>
    <w:rsid w:val="000E2998"/>
    <w:rsid w:val="000E441F"/>
    <w:rsid w:val="000E524D"/>
    <w:rsid w:val="000E67CA"/>
    <w:rsid w:val="000E7D2E"/>
    <w:rsid w:val="000F112C"/>
    <w:rsid w:val="000F1879"/>
    <w:rsid w:val="000F1C55"/>
    <w:rsid w:val="000F1F03"/>
    <w:rsid w:val="000F4507"/>
    <w:rsid w:val="000F5008"/>
    <w:rsid w:val="00101AD2"/>
    <w:rsid w:val="001057F0"/>
    <w:rsid w:val="00107C89"/>
    <w:rsid w:val="00107F6B"/>
    <w:rsid w:val="0011015E"/>
    <w:rsid w:val="0011072E"/>
    <w:rsid w:val="001109BA"/>
    <w:rsid w:val="00110DC3"/>
    <w:rsid w:val="001121AB"/>
    <w:rsid w:val="00114886"/>
    <w:rsid w:val="00115F91"/>
    <w:rsid w:val="00116037"/>
    <w:rsid w:val="001163D5"/>
    <w:rsid w:val="00123B97"/>
    <w:rsid w:val="001245D5"/>
    <w:rsid w:val="00124C4D"/>
    <w:rsid w:val="001267BA"/>
    <w:rsid w:val="001277DA"/>
    <w:rsid w:val="00131321"/>
    <w:rsid w:val="0013A473"/>
    <w:rsid w:val="001401EF"/>
    <w:rsid w:val="001452C4"/>
    <w:rsid w:val="00146D0D"/>
    <w:rsid w:val="001478F2"/>
    <w:rsid w:val="00152225"/>
    <w:rsid w:val="00153548"/>
    <w:rsid w:val="00154F72"/>
    <w:rsid w:val="0016249A"/>
    <w:rsid w:val="00164230"/>
    <w:rsid w:val="00171140"/>
    <w:rsid w:val="00172C86"/>
    <w:rsid w:val="00172F94"/>
    <w:rsid w:val="001740F5"/>
    <w:rsid w:val="001742E9"/>
    <w:rsid w:val="0017553F"/>
    <w:rsid w:val="00175615"/>
    <w:rsid w:val="001763B9"/>
    <w:rsid w:val="00176F3A"/>
    <w:rsid w:val="00177698"/>
    <w:rsid w:val="001778AE"/>
    <w:rsid w:val="001850DA"/>
    <w:rsid w:val="00185524"/>
    <w:rsid w:val="0018786D"/>
    <w:rsid w:val="00187C5D"/>
    <w:rsid w:val="00190B81"/>
    <w:rsid w:val="00194DA9"/>
    <w:rsid w:val="001958CA"/>
    <w:rsid w:val="0019650D"/>
    <w:rsid w:val="001A024E"/>
    <w:rsid w:val="001A3B5F"/>
    <w:rsid w:val="001A5BDB"/>
    <w:rsid w:val="001A5BF7"/>
    <w:rsid w:val="001A6D4E"/>
    <w:rsid w:val="001A7A89"/>
    <w:rsid w:val="001B0792"/>
    <w:rsid w:val="001B15DA"/>
    <w:rsid w:val="001B26EE"/>
    <w:rsid w:val="001B3409"/>
    <w:rsid w:val="001B3C6D"/>
    <w:rsid w:val="001B60EA"/>
    <w:rsid w:val="001B7BAB"/>
    <w:rsid w:val="001C0730"/>
    <w:rsid w:val="001C0A74"/>
    <w:rsid w:val="001C13D0"/>
    <w:rsid w:val="001C1E4D"/>
    <w:rsid w:val="001C2E39"/>
    <w:rsid w:val="001C340E"/>
    <w:rsid w:val="001C545A"/>
    <w:rsid w:val="001C6353"/>
    <w:rsid w:val="001C6FDE"/>
    <w:rsid w:val="001C72F9"/>
    <w:rsid w:val="001D129E"/>
    <w:rsid w:val="001D2F1B"/>
    <w:rsid w:val="001D5001"/>
    <w:rsid w:val="001D5AD8"/>
    <w:rsid w:val="001D7296"/>
    <w:rsid w:val="001D761B"/>
    <w:rsid w:val="001E222D"/>
    <w:rsid w:val="001E2730"/>
    <w:rsid w:val="001E2F8A"/>
    <w:rsid w:val="001E3F09"/>
    <w:rsid w:val="001E415F"/>
    <w:rsid w:val="001E6221"/>
    <w:rsid w:val="001E6EE1"/>
    <w:rsid w:val="001F0087"/>
    <w:rsid w:val="001F1E32"/>
    <w:rsid w:val="001F37B4"/>
    <w:rsid w:val="001F3ECF"/>
    <w:rsid w:val="001F4277"/>
    <w:rsid w:val="001F44DE"/>
    <w:rsid w:val="001F77B7"/>
    <w:rsid w:val="001F7B25"/>
    <w:rsid w:val="001F7ED5"/>
    <w:rsid w:val="002014F8"/>
    <w:rsid w:val="00202D76"/>
    <w:rsid w:val="002067B8"/>
    <w:rsid w:val="00211121"/>
    <w:rsid w:val="00211127"/>
    <w:rsid w:val="00211633"/>
    <w:rsid w:val="00212608"/>
    <w:rsid w:val="002155D3"/>
    <w:rsid w:val="00220143"/>
    <w:rsid w:val="002214D4"/>
    <w:rsid w:val="0022203D"/>
    <w:rsid w:val="002234C8"/>
    <w:rsid w:val="00225326"/>
    <w:rsid w:val="002260D8"/>
    <w:rsid w:val="00227EB6"/>
    <w:rsid w:val="0023115C"/>
    <w:rsid w:val="002336BE"/>
    <w:rsid w:val="00234A22"/>
    <w:rsid w:val="002402FD"/>
    <w:rsid w:val="00241759"/>
    <w:rsid w:val="0024318C"/>
    <w:rsid w:val="002437ED"/>
    <w:rsid w:val="00243A2E"/>
    <w:rsid w:val="002457F7"/>
    <w:rsid w:val="00245CB5"/>
    <w:rsid w:val="002504AD"/>
    <w:rsid w:val="002527D0"/>
    <w:rsid w:val="002548FE"/>
    <w:rsid w:val="00254E1E"/>
    <w:rsid w:val="00255D14"/>
    <w:rsid w:val="0025710C"/>
    <w:rsid w:val="00261375"/>
    <w:rsid w:val="002649C2"/>
    <w:rsid w:val="00265865"/>
    <w:rsid w:val="00265CCE"/>
    <w:rsid w:val="00266280"/>
    <w:rsid w:val="0026667F"/>
    <w:rsid w:val="002674F6"/>
    <w:rsid w:val="00272A15"/>
    <w:rsid w:val="002732D9"/>
    <w:rsid w:val="00274258"/>
    <w:rsid w:val="00275482"/>
    <w:rsid w:val="002761BB"/>
    <w:rsid w:val="00276346"/>
    <w:rsid w:val="00277408"/>
    <w:rsid w:val="00277914"/>
    <w:rsid w:val="00277EC2"/>
    <w:rsid w:val="00280EFB"/>
    <w:rsid w:val="002823F5"/>
    <w:rsid w:val="0028268A"/>
    <w:rsid w:val="00286554"/>
    <w:rsid w:val="00286E0C"/>
    <w:rsid w:val="002878A1"/>
    <w:rsid w:val="00290664"/>
    <w:rsid w:val="002906B7"/>
    <w:rsid w:val="00292671"/>
    <w:rsid w:val="002929B3"/>
    <w:rsid w:val="00293D11"/>
    <w:rsid w:val="00294487"/>
    <w:rsid w:val="0029523F"/>
    <w:rsid w:val="002953DF"/>
    <w:rsid w:val="00296A75"/>
    <w:rsid w:val="002A35E6"/>
    <w:rsid w:val="002A6A43"/>
    <w:rsid w:val="002A7081"/>
    <w:rsid w:val="002A7243"/>
    <w:rsid w:val="002A7274"/>
    <w:rsid w:val="002B1337"/>
    <w:rsid w:val="002B2770"/>
    <w:rsid w:val="002B3178"/>
    <w:rsid w:val="002B3E60"/>
    <w:rsid w:val="002B540B"/>
    <w:rsid w:val="002B642B"/>
    <w:rsid w:val="002B6761"/>
    <w:rsid w:val="002C1296"/>
    <w:rsid w:val="002C1B83"/>
    <w:rsid w:val="002C1EA2"/>
    <w:rsid w:val="002C2D69"/>
    <w:rsid w:val="002C39A4"/>
    <w:rsid w:val="002C5F1F"/>
    <w:rsid w:val="002D246E"/>
    <w:rsid w:val="002D31A3"/>
    <w:rsid w:val="002D4F0F"/>
    <w:rsid w:val="002D5231"/>
    <w:rsid w:val="002D533B"/>
    <w:rsid w:val="002D5F5F"/>
    <w:rsid w:val="002D64B1"/>
    <w:rsid w:val="002D66B4"/>
    <w:rsid w:val="002D6B28"/>
    <w:rsid w:val="002D7297"/>
    <w:rsid w:val="002D7BB2"/>
    <w:rsid w:val="002D7FDF"/>
    <w:rsid w:val="002E004B"/>
    <w:rsid w:val="002E688F"/>
    <w:rsid w:val="002E6C9B"/>
    <w:rsid w:val="002F4E0D"/>
    <w:rsid w:val="002F5A25"/>
    <w:rsid w:val="002F602A"/>
    <w:rsid w:val="002F6592"/>
    <w:rsid w:val="002F75BE"/>
    <w:rsid w:val="002F7EBC"/>
    <w:rsid w:val="002F7F66"/>
    <w:rsid w:val="00301CDB"/>
    <w:rsid w:val="00302008"/>
    <w:rsid w:val="00304701"/>
    <w:rsid w:val="00306AB6"/>
    <w:rsid w:val="00307B32"/>
    <w:rsid w:val="00311CE0"/>
    <w:rsid w:val="00313EEF"/>
    <w:rsid w:val="0031425E"/>
    <w:rsid w:val="00314CFC"/>
    <w:rsid w:val="0031737B"/>
    <w:rsid w:val="003178A5"/>
    <w:rsid w:val="00317AFD"/>
    <w:rsid w:val="003256F8"/>
    <w:rsid w:val="0033130E"/>
    <w:rsid w:val="00333E09"/>
    <w:rsid w:val="00334573"/>
    <w:rsid w:val="0033571E"/>
    <w:rsid w:val="0034053A"/>
    <w:rsid w:val="003407BA"/>
    <w:rsid w:val="00340B8F"/>
    <w:rsid w:val="00341717"/>
    <w:rsid w:val="0034502C"/>
    <w:rsid w:val="00345323"/>
    <w:rsid w:val="00347A0E"/>
    <w:rsid w:val="00347EA5"/>
    <w:rsid w:val="00351412"/>
    <w:rsid w:val="0035211C"/>
    <w:rsid w:val="003537DC"/>
    <w:rsid w:val="003558BF"/>
    <w:rsid w:val="0036192C"/>
    <w:rsid w:val="00362FCD"/>
    <w:rsid w:val="00364C06"/>
    <w:rsid w:val="0037026A"/>
    <w:rsid w:val="00370360"/>
    <w:rsid w:val="003736F6"/>
    <w:rsid w:val="00375D40"/>
    <w:rsid w:val="00382805"/>
    <w:rsid w:val="00382AFF"/>
    <w:rsid w:val="00383658"/>
    <w:rsid w:val="00385CEC"/>
    <w:rsid w:val="00395800"/>
    <w:rsid w:val="00396043"/>
    <w:rsid w:val="0039719F"/>
    <w:rsid w:val="003A03D9"/>
    <w:rsid w:val="003A0AE5"/>
    <w:rsid w:val="003A2344"/>
    <w:rsid w:val="003A3617"/>
    <w:rsid w:val="003A63A6"/>
    <w:rsid w:val="003A7F16"/>
    <w:rsid w:val="003B0EEF"/>
    <w:rsid w:val="003B3C16"/>
    <w:rsid w:val="003B3F2B"/>
    <w:rsid w:val="003B435D"/>
    <w:rsid w:val="003B4EBD"/>
    <w:rsid w:val="003B55F2"/>
    <w:rsid w:val="003B5646"/>
    <w:rsid w:val="003B5966"/>
    <w:rsid w:val="003B63C3"/>
    <w:rsid w:val="003B74AF"/>
    <w:rsid w:val="003C0053"/>
    <w:rsid w:val="003C0356"/>
    <w:rsid w:val="003C23C6"/>
    <w:rsid w:val="003C4F7D"/>
    <w:rsid w:val="003C5D12"/>
    <w:rsid w:val="003C6897"/>
    <w:rsid w:val="003C6F16"/>
    <w:rsid w:val="003C7ADB"/>
    <w:rsid w:val="003C7E47"/>
    <w:rsid w:val="003C7E88"/>
    <w:rsid w:val="003D0B32"/>
    <w:rsid w:val="003D1A80"/>
    <w:rsid w:val="003D3510"/>
    <w:rsid w:val="003D456E"/>
    <w:rsid w:val="003D4935"/>
    <w:rsid w:val="003D5D16"/>
    <w:rsid w:val="003D63B8"/>
    <w:rsid w:val="003D6A16"/>
    <w:rsid w:val="003D6B56"/>
    <w:rsid w:val="003D730F"/>
    <w:rsid w:val="003E0B4C"/>
    <w:rsid w:val="003E21D5"/>
    <w:rsid w:val="003E3514"/>
    <w:rsid w:val="003E3D11"/>
    <w:rsid w:val="003E3D54"/>
    <w:rsid w:val="003E730B"/>
    <w:rsid w:val="003F08B6"/>
    <w:rsid w:val="003F47E7"/>
    <w:rsid w:val="003F56B4"/>
    <w:rsid w:val="003F6F43"/>
    <w:rsid w:val="00401F8A"/>
    <w:rsid w:val="004022D7"/>
    <w:rsid w:val="00403AFC"/>
    <w:rsid w:val="004048A1"/>
    <w:rsid w:val="004063C5"/>
    <w:rsid w:val="00410173"/>
    <w:rsid w:val="00411678"/>
    <w:rsid w:val="004119B5"/>
    <w:rsid w:val="00411DA6"/>
    <w:rsid w:val="0041428B"/>
    <w:rsid w:val="00414406"/>
    <w:rsid w:val="00416C58"/>
    <w:rsid w:val="0041737E"/>
    <w:rsid w:val="00417F56"/>
    <w:rsid w:val="004207EF"/>
    <w:rsid w:val="00421917"/>
    <w:rsid w:val="00423009"/>
    <w:rsid w:val="004253CC"/>
    <w:rsid w:val="0042559D"/>
    <w:rsid w:val="004257FD"/>
    <w:rsid w:val="00426AAB"/>
    <w:rsid w:val="00427E64"/>
    <w:rsid w:val="00430D04"/>
    <w:rsid w:val="00431FC8"/>
    <w:rsid w:val="00433061"/>
    <w:rsid w:val="004343B6"/>
    <w:rsid w:val="004345E2"/>
    <w:rsid w:val="00435053"/>
    <w:rsid w:val="004353BD"/>
    <w:rsid w:val="00435FAE"/>
    <w:rsid w:val="00440BB7"/>
    <w:rsid w:val="00440CB3"/>
    <w:rsid w:val="00440CE0"/>
    <w:rsid w:val="00441362"/>
    <w:rsid w:val="00441CEF"/>
    <w:rsid w:val="0044215E"/>
    <w:rsid w:val="0044225A"/>
    <w:rsid w:val="004422A2"/>
    <w:rsid w:val="00442547"/>
    <w:rsid w:val="00445BAC"/>
    <w:rsid w:val="00447231"/>
    <w:rsid w:val="00451699"/>
    <w:rsid w:val="00451B08"/>
    <w:rsid w:val="00451C5B"/>
    <w:rsid w:val="00452AC1"/>
    <w:rsid w:val="004533CF"/>
    <w:rsid w:val="00453DBF"/>
    <w:rsid w:val="00454BDC"/>
    <w:rsid w:val="00454C4B"/>
    <w:rsid w:val="00455402"/>
    <w:rsid w:val="00455751"/>
    <w:rsid w:val="00455DA9"/>
    <w:rsid w:val="00457537"/>
    <w:rsid w:val="004602E1"/>
    <w:rsid w:val="0046097C"/>
    <w:rsid w:val="00460EFE"/>
    <w:rsid w:val="004617BD"/>
    <w:rsid w:val="0046654D"/>
    <w:rsid w:val="0046797E"/>
    <w:rsid w:val="004705D3"/>
    <w:rsid w:val="00471E95"/>
    <w:rsid w:val="00475372"/>
    <w:rsid w:val="004761F6"/>
    <w:rsid w:val="0047636B"/>
    <w:rsid w:val="00480F9A"/>
    <w:rsid w:val="004813E2"/>
    <w:rsid w:val="004825B8"/>
    <w:rsid w:val="00482956"/>
    <w:rsid w:val="00486CB2"/>
    <w:rsid w:val="00486FB6"/>
    <w:rsid w:val="004905E9"/>
    <w:rsid w:val="00491261"/>
    <w:rsid w:val="0049423A"/>
    <w:rsid w:val="004946DB"/>
    <w:rsid w:val="00496BD2"/>
    <w:rsid w:val="004A0A43"/>
    <w:rsid w:val="004A181C"/>
    <w:rsid w:val="004A2377"/>
    <w:rsid w:val="004A7807"/>
    <w:rsid w:val="004B22AB"/>
    <w:rsid w:val="004B25C0"/>
    <w:rsid w:val="004B5E87"/>
    <w:rsid w:val="004B5FC5"/>
    <w:rsid w:val="004B678B"/>
    <w:rsid w:val="004C315D"/>
    <w:rsid w:val="004C39BA"/>
    <w:rsid w:val="004C3AA7"/>
    <w:rsid w:val="004C601E"/>
    <w:rsid w:val="004C746B"/>
    <w:rsid w:val="004D26C5"/>
    <w:rsid w:val="004D2D60"/>
    <w:rsid w:val="004D3B6D"/>
    <w:rsid w:val="004D5ED1"/>
    <w:rsid w:val="004D6E8E"/>
    <w:rsid w:val="004D6F89"/>
    <w:rsid w:val="004E0172"/>
    <w:rsid w:val="004E04DA"/>
    <w:rsid w:val="004E0EC7"/>
    <w:rsid w:val="004E2B42"/>
    <w:rsid w:val="004E4F7E"/>
    <w:rsid w:val="004E53CC"/>
    <w:rsid w:val="004E639F"/>
    <w:rsid w:val="004E6BA2"/>
    <w:rsid w:val="004F10A9"/>
    <w:rsid w:val="004F1ED8"/>
    <w:rsid w:val="004F3475"/>
    <w:rsid w:val="004F7909"/>
    <w:rsid w:val="00504703"/>
    <w:rsid w:val="0050576B"/>
    <w:rsid w:val="0050606D"/>
    <w:rsid w:val="005101E9"/>
    <w:rsid w:val="00512EBD"/>
    <w:rsid w:val="00513496"/>
    <w:rsid w:val="00515347"/>
    <w:rsid w:val="005200F1"/>
    <w:rsid w:val="0052131F"/>
    <w:rsid w:val="00522852"/>
    <w:rsid w:val="005254E8"/>
    <w:rsid w:val="00525C56"/>
    <w:rsid w:val="0052735E"/>
    <w:rsid w:val="00527503"/>
    <w:rsid w:val="00530FEF"/>
    <w:rsid w:val="00532307"/>
    <w:rsid w:val="005327B1"/>
    <w:rsid w:val="00532BD3"/>
    <w:rsid w:val="00535ED0"/>
    <w:rsid w:val="00536B34"/>
    <w:rsid w:val="0053762A"/>
    <w:rsid w:val="00537E6E"/>
    <w:rsid w:val="00540953"/>
    <w:rsid w:val="00541318"/>
    <w:rsid w:val="005414CB"/>
    <w:rsid w:val="00544382"/>
    <w:rsid w:val="00544DE9"/>
    <w:rsid w:val="00546530"/>
    <w:rsid w:val="005479D4"/>
    <w:rsid w:val="005512F6"/>
    <w:rsid w:val="00553E10"/>
    <w:rsid w:val="005543A6"/>
    <w:rsid w:val="005558FD"/>
    <w:rsid w:val="005600CE"/>
    <w:rsid w:val="0056129E"/>
    <w:rsid w:val="0056231E"/>
    <w:rsid w:val="0056428E"/>
    <w:rsid w:val="00565F79"/>
    <w:rsid w:val="00566A0F"/>
    <w:rsid w:val="005704DA"/>
    <w:rsid w:val="00571275"/>
    <w:rsid w:val="005714CB"/>
    <w:rsid w:val="005721D8"/>
    <w:rsid w:val="0057467A"/>
    <w:rsid w:val="005756F6"/>
    <w:rsid w:val="00575F62"/>
    <w:rsid w:val="00576DF5"/>
    <w:rsid w:val="005771D4"/>
    <w:rsid w:val="0058153B"/>
    <w:rsid w:val="00581BB0"/>
    <w:rsid w:val="0058249D"/>
    <w:rsid w:val="00584D43"/>
    <w:rsid w:val="00585091"/>
    <w:rsid w:val="005855B4"/>
    <w:rsid w:val="00586F78"/>
    <w:rsid w:val="005918EB"/>
    <w:rsid w:val="005929B8"/>
    <w:rsid w:val="00592A3D"/>
    <w:rsid w:val="00594C7A"/>
    <w:rsid w:val="00595653"/>
    <w:rsid w:val="005A01C3"/>
    <w:rsid w:val="005A044A"/>
    <w:rsid w:val="005A0F65"/>
    <w:rsid w:val="005A1B84"/>
    <w:rsid w:val="005A243E"/>
    <w:rsid w:val="005A2F9C"/>
    <w:rsid w:val="005A30F9"/>
    <w:rsid w:val="005A447D"/>
    <w:rsid w:val="005A4F3D"/>
    <w:rsid w:val="005A5231"/>
    <w:rsid w:val="005A5AFA"/>
    <w:rsid w:val="005A6297"/>
    <w:rsid w:val="005A6385"/>
    <w:rsid w:val="005A6B3B"/>
    <w:rsid w:val="005A7ACB"/>
    <w:rsid w:val="005B0523"/>
    <w:rsid w:val="005B0E12"/>
    <w:rsid w:val="005B25EA"/>
    <w:rsid w:val="005B29A3"/>
    <w:rsid w:val="005B3B5E"/>
    <w:rsid w:val="005B5041"/>
    <w:rsid w:val="005B51E7"/>
    <w:rsid w:val="005C04D7"/>
    <w:rsid w:val="005C0C5F"/>
    <w:rsid w:val="005C11E5"/>
    <w:rsid w:val="005C35E7"/>
    <w:rsid w:val="005C3F37"/>
    <w:rsid w:val="005C4218"/>
    <w:rsid w:val="005C6858"/>
    <w:rsid w:val="005D10BD"/>
    <w:rsid w:val="005D1898"/>
    <w:rsid w:val="005D48F8"/>
    <w:rsid w:val="005D6A07"/>
    <w:rsid w:val="005E1BED"/>
    <w:rsid w:val="005E481D"/>
    <w:rsid w:val="005E54BF"/>
    <w:rsid w:val="005E7AE6"/>
    <w:rsid w:val="005F33E7"/>
    <w:rsid w:val="005F5304"/>
    <w:rsid w:val="005F567D"/>
    <w:rsid w:val="005F6917"/>
    <w:rsid w:val="005F7E6B"/>
    <w:rsid w:val="00600CB6"/>
    <w:rsid w:val="00605F39"/>
    <w:rsid w:val="006067EB"/>
    <w:rsid w:val="0060696F"/>
    <w:rsid w:val="006073AA"/>
    <w:rsid w:val="006111A4"/>
    <w:rsid w:val="006114B3"/>
    <w:rsid w:val="006118FF"/>
    <w:rsid w:val="00611FA6"/>
    <w:rsid w:val="00613BB0"/>
    <w:rsid w:val="00613CB3"/>
    <w:rsid w:val="00615EC9"/>
    <w:rsid w:val="00616209"/>
    <w:rsid w:val="00616764"/>
    <w:rsid w:val="00617771"/>
    <w:rsid w:val="006201A3"/>
    <w:rsid w:val="00621D4C"/>
    <w:rsid w:val="00621F72"/>
    <w:rsid w:val="00625FE5"/>
    <w:rsid w:val="006266F6"/>
    <w:rsid w:val="00627DF5"/>
    <w:rsid w:val="006306A1"/>
    <w:rsid w:val="00633892"/>
    <w:rsid w:val="00635241"/>
    <w:rsid w:val="0063529A"/>
    <w:rsid w:val="0063596F"/>
    <w:rsid w:val="00642977"/>
    <w:rsid w:val="0064334C"/>
    <w:rsid w:val="00645E96"/>
    <w:rsid w:val="0064723A"/>
    <w:rsid w:val="00651530"/>
    <w:rsid w:val="0065618E"/>
    <w:rsid w:val="006574AD"/>
    <w:rsid w:val="006578C9"/>
    <w:rsid w:val="00662E44"/>
    <w:rsid w:val="00663233"/>
    <w:rsid w:val="00664151"/>
    <w:rsid w:val="00665D2E"/>
    <w:rsid w:val="00666506"/>
    <w:rsid w:val="00666717"/>
    <w:rsid w:val="00670D64"/>
    <w:rsid w:val="00672638"/>
    <w:rsid w:val="0067268F"/>
    <w:rsid w:val="0067398A"/>
    <w:rsid w:val="006759FF"/>
    <w:rsid w:val="00675C6A"/>
    <w:rsid w:val="00681849"/>
    <w:rsid w:val="0068230F"/>
    <w:rsid w:val="00683E28"/>
    <w:rsid w:val="006860CF"/>
    <w:rsid w:val="00686EFC"/>
    <w:rsid w:val="00687120"/>
    <w:rsid w:val="00690E21"/>
    <w:rsid w:val="00691770"/>
    <w:rsid w:val="00693E50"/>
    <w:rsid w:val="006950AD"/>
    <w:rsid w:val="00695A9B"/>
    <w:rsid w:val="00695D77"/>
    <w:rsid w:val="00696290"/>
    <w:rsid w:val="006967F7"/>
    <w:rsid w:val="00696F16"/>
    <w:rsid w:val="0069706A"/>
    <w:rsid w:val="006A2968"/>
    <w:rsid w:val="006A2E54"/>
    <w:rsid w:val="006A63A6"/>
    <w:rsid w:val="006B1446"/>
    <w:rsid w:val="006B1B9B"/>
    <w:rsid w:val="006B253E"/>
    <w:rsid w:val="006B34CE"/>
    <w:rsid w:val="006B4E5A"/>
    <w:rsid w:val="006B50E1"/>
    <w:rsid w:val="006B6B82"/>
    <w:rsid w:val="006B7E2C"/>
    <w:rsid w:val="006C20FB"/>
    <w:rsid w:val="006C24C2"/>
    <w:rsid w:val="006C3CFC"/>
    <w:rsid w:val="006C3DF0"/>
    <w:rsid w:val="006C5240"/>
    <w:rsid w:val="006C73A6"/>
    <w:rsid w:val="006D0F78"/>
    <w:rsid w:val="006D10D9"/>
    <w:rsid w:val="006D137B"/>
    <w:rsid w:val="006D1395"/>
    <w:rsid w:val="006D358F"/>
    <w:rsid w:val="006D3BBD"/>
    <w:rsid w:val="006D4291"/>
    <w:rsid w:val="006D55E8"/>
    <w:rsid w:val="006D5F4F"/>
    <w:rsid w:val="006D6216"/>
    <w:rsid w:val="006E2686"/>
    <w:rsid w:val="006E297F"/>
    <w:rsid w:val="006E5A75"/>
    <w:rsid w:val="006E6037"/>
    <w:rsid w:val="006F0230"/>
    <w:rsid w:val="006F1B0C"/>
    <w:rsid w:val="006F26C8"/>
    <w:rsid w:val="006F31E1"/>
    <w:rsid w:val="006F3312"/>
    <w:rsid w:val="006F37A1"/>
    <w:rsid w:val="006F3A56"/>
    <w:rsid w:val="006F4D5A"/>
    <w:rsid w:val="006F6CA2"/>
    <w:rsid w:val="006F72FF"/>
    <w:rsid w:val="00701AAB"/>
    <w:rsid w:val="007043AA"/>
    <w:rsid w:val="00704CC8"/>
    <w:rsid w:val="007054A2"/>
    <w:rsid w:val="00707B44"/>
    <w:rsid w:val="00710304"/>
    <w:rsid w:val="00711BEB"/>
    <w:rsid w:val="00711D96"/>
    <w:rsid w:val="00711F62"/>
    <w:rsid w:val="00712E98"/>
    <w:rsid w:val="007136C5"/>
    <w:rsid w:val="0071489B"/>
    <w:rsid w:val="00714AE7"/>
    <w:rsid w:val="0071521E"/>
    <w:rsid w:val="00717417"/>
    <w:rsid w:val="00717650"/>
    <w:rsid w:val="00720112"/>
    <w:rsid w:val="0072042C"/>
    <w:rsid w:val="00720EF7"/>
    <w:rsid w:val="00721CFC"/>
    <w:rsid w:val="00722B00"/>
    <w:rsid w:val="00723707"/>
    <w:rsid w:val="0072373A"/>
    <w:rsid w:val="00723AC9"/>
    <w:rsid w:val="00723CE7"/>
    <w:rsid w:val="007241DA"/>
    <w:rsid w:val="00725529"/>
    <w:rsid w:val="00725D7B"/>
    <w:rsid w:val="00727D4E"/>
    <w:rsid w:val="00734CB5"/>
    <w:rsid w:val="00735F5E"/>
    <w:rsid w:val="007368EE"/>
    <w:rsid w:val="007377C2"/>
    <w:rsid w:val="007436D1"/>
    <w:rsid w:val="00744A03"/>
    <w:rsid w:val="00750A85"/>
    <w:rsid w:val="00753AC4"/>
    <w:rsid w:val="00753D1E"/>
    <w:rsid w:val="00754270"/>
    <w:rsid w:val="007566A4"/>
    <w:rsid w:val="00756BDB"/>
    <w:rsid w:val="0076541D"/>
    <w:rsid w:val="00765F31"/>
    <w:rsid w:val="0076616B"/>
    <w:rsid w:val="00767C06"/>
    <w:rsid w:val="00767DCE"/>
    <w:rsid w:val="007720C6"/>
    <w:rsid w:val="00774753"/>
    <w:rsid w:val="00774E8B"/>
    <w:rsid w:val="00776AF9"/>
    <w:rsid w:val="007771FE"/>
    <w:rsid w:val="00777808"/>
    <w:rsid w:val="00777929"/>
    <w:rsid w:val="0078259D"/>
    <w:rsid w:val="00782C98"/>
    <w:rsid w:val="007833AE"/>
    <w:rsid w:val="0078527B"/>
    <w:rsid w:val="0078629E"/>
    <w:rsid w:val="00787B45"/>
    <w:rsid w:val="00787FC4"/>
    <w:rsid w:val="00791754"/>
    <w:rsid w:val="00794850"/>
    <w:rsid w:val="007A0DF2"/>
    <w:rsid w:val="007A18A6"/>
    <w:rsid w:val="007A19E2"/>
    <w:rsid w:val="007A23AA"/>
    <w:rsid w:val="007A32C9"/>
    <w:rsid w:val="007A7AA8"/>
    <w:rsid w:val="007B0A64"/>
    <w:rsid w:val="007B13D9"/>
    <w:rsid w:val="007B21E0"/>
    <w:rsid w:val="007B39A7"/>
    <w:rsid w:val="007B3C38"/>
    <w:rsid w:val="007B54D0"/>
    <w:rsid w:val="007B5B2E"/>
    <w:rsid w:val="007B5DCE"/>
    <w:rsid w:val="007B60C2"/>
    <w:rsid w:val="007B7016"/>
    <w:rsid w:val="007C2AC7"/>
    <w:rsid w:val="007C3658"/>
    <w:rsid w:val="007C3666"/>
    <w:rsid w:val="007C4EAC"/>
    <w:rsid w:val="007C5DF1"/>
    <w:rsid w:val="007C5EB2"/>
    <w:rsid w:val="007D0E7D"/>
    <w:rsid w:val="007D473F"/>
    <w:rsid w:val="007D5DCD"/>
    <w:rsid w:val="007E1C6C"/>
    <w:rsid w:val="007E1E20"/>
    <w:rsid w:val="007E4503"/>
    <w:rsid w:val="007E5B24"/>
    <w:rsid w:val="007E69E8"/>
    <w:rsid w:val="007E7A4F"/>
    <w:rsid w:val="007F26E9"/>
    <w:rsid w:val="007F2A74"/>
    <w:rsid w:val="007F3999"/>
    <w:rsid w:val="007F4214"/>
    <w:rsid w:val="007F455C"/>
    <w:rsid w:val="0080006F"/>
    <w:rsid w:val="0080017D"/>
    <w:rsid w:val="00802DDE"/>
    <w:rsid w:val="00802E89"/>
    <w:rsid w:val="008032CC"/>
    <w:rsid w:val="00804C5F"/>
    <w:rsid w:val="00806860"/>
    <w:rsid w:val="008070C3"/>
    <w:rsid w:val="00810FA1"/>
    <w:rsid w:val="00812626"/>
    <w:rsid w:val="00813D96"/>
    <w:rsid w:val="008168BA"/>
    <w:rsid w:val="008173B2"/>
    <w:rsid w:val="00817A1E"/>
    <w:rsid w:val="00820963"/>
    <w:rsid w:val="00820971"/>
    <w:rsid w:val="008231F0"/>
    <w:rsid w:val="00825CF3"/>
    <w:rsid w:val="00827D7A"/>
    <w:rsid w:val="00830AA0"/>
    <w:rsid w:val="008314CC"/>
    <w:rsid w:val="008343E3"/>
    <w:rsid w:val="00834B2A"/>
    <w:rsid w:val="00835432"/>
    <w:rsid w:val="00835B5C"/>
    <w:rsid w:val="008368A9"/>
    <w:rsid w:val="00836D19"/>
    <w:rsid w:val="0083728D"/>
    <w:rsid w:val="008402AC"/>
    <w:rsid w:val="00841F92"/>
    <w:rsid w:val="00842F78"/>
    <w:rsid w:val="00842FED"/>
    <w:rsid w:val="00844391"/>
    <w:rsid w:val="00853A59"/>
    <w:rsid w:val="00853FBB"/>
    <w:rsid w:val="00855361"/>
    <w:rsid w:val="00856E8C"/>
    <w:rsid w:val="00857253"/>
    <w:rsid w:val="00857422"/>
    <w:rsid w:val="00857921"/>
    <w:rsid w:val="0086033D"/>
    <w:rsid w:val="008607E8"/>
    <w:rsid w:val="00860828"/>
    <w:rsid w:val="00860C8D"/>
    <w:rsid w:val="00861BB0"/>
    <w:rsid w:val="0086495B"/>
    <w:rsid w:val="00864B53"/>
    <w:rsid w:val="00864F10"/>
    <w:rsid w:val="00866DB5"/>
    <w:rsid w:val="0086788A"/>
    <w:rsid w:val="00871D34"/>
    <w:rsid w:val="008720B5"/>
    <w:rsid w:val="00872903"/>
    <w:rsid w:val="00873610"/>
    <w:rsid w:val="00874224"/>
    <w:rsid w:val="00874396"/>
    <w:rsid w:val="00875252"/>
    <w:rsid w:val="00875DEC"/>
    <w:rsid w:val="00876A6B"/>
    <w:rsid w:val="00882003"/>
    <w:rsid w:val="00885727"/>
    <w:rsid w:val="008870A8"/>
    <w:rsid w:val="00890122"/>
    <w:rsid w:val="00890B78"/>
    <w:rsid w:val="00890E37"/>
    <w:rsid w:val="00893291"/>
    <w:rsid w:val="008942B4"/>
    <w:rsid w:val="00895961"/>
    <w:rsid w:val="008967DD"/>
    <w:rsid w:val="00897388"/>
    <w:rsid w:val="008A1AA0"/>
    <w:rsid w:val="008A2809"/>
    <w:rsid w:val="008A42AE"/>
    <w:rsid w:val="008A4853"/>
    <w:rsid w:val="008A64C4"/>
    <w:rsid w:val="008A742D"/>
    <w:rsid w:val="008B1335"/>
    <w:rsid w:val="008B1F53"/>
    <w:rsid w:val="008B1FD3"/>
    <w:rsid w:val="008B2062"/>
    <w:rsid w:val="008B2855"/>
    <w:rsid w:val="008B28D3"/>
    <w:rsid w:val="008C0A5E"/>
    <w:rsid w:val="008C1336"/>
    <w:rsid w:val="008C2371"/>
    <w:rsid w:val="008C3ADC"/>
    <w:rsid w:val="008C411F"/>
    <w:rsid w:val="008C46F2"/>
    <w:rsid w:val="008C5797"/>
    <w:rsid w:val="008C6125"/>
    <w:rsid w:val="008C6648"/>
    <w:rsid w:val="008D0354"/>
    <w:rsid w:val="008D13A3"/>
    <w:rsid w:val="008D61AD"/>
    <w:rsid w:val="008D71C9"/>
    <w:rsid w:val="008E0A7A"/>
    <w:rsid w:val="008E1D8D"/>
    <w:rsid w:val="008E4CBC"/>
    <w:rsid w:val="008E6EE8"/>
    <w:rsid w:val="008E6F6A"/>
    <w:rsid w:val="008E7569"/>
    <w:rsid w:val="008E7B05"/>
    <w:rsid w:val="008F18E6"/>
    <w:rsid w:val="008F4E87"/>
    <w:rsid w:val="008F7A22"/>
    <w:rsid w:val="008F7B67"/>
    <w:rsid w:val="009025C4"/>
    <w:rsid w:val="009030E2"/>
    <w:rsid w:val="00903620"/>
    <w:rsid w:val="009045E2"/>
    <w:rsid w:val="00905FC5"/>
    <w:rsid w:val="009060C7"/>
    <w:rsid w:val="009061EA"/>
    <w:rsid w:val="00907DDD"/>
    <w:rsid w:val="0091044D"/>
    <w:rsid w:val="0091428D"/>
    <w:rsid w:val="00915343"/>
    <w:rsid w:val="009163DE"/>
    <w:rsid w:val="0091681E"/>
    <w:rsid w:val="00917022"/>
    <w:rsid w:val="00917DEC"/>
    <w:rsid w:val="00917FE6"/>
    <w:rsid w:val="0092057A"/>
    <w:rsid w:val="0092324D"/>
    <w:rsid w:val="00923B30"/>
    <w:rsid w:val="0092539F"/>
    <w:rsid w:val="00927E2D"/>
    <w:rsid w:val="009300C4"/>
    <w:rsid w:val="009313FE"/>
    <w:rsid w:val="00933AA5"/>
    <w:rsid w:val="009364CA"/>
    <w:rsid w:val="00936B0D"/>
    <w:rsid w:val="009411A3"/>
    <w:rsid w:val="00942231"/>
    <w:rsid w:val="00943DF9"/>
    <w:rsid w:val="009443A8"/>
    <w:rsid w:val="00946645"/>
    <w:rsid w:val="009467B1"/>
    <w:rsid w:val="00946D6C"/>
    <w:rsid w:val="00947242"/>
    <w:rsid w:val="00947B8C"/>
    <w:rsid w:val="00951FD7"/>
    <w:rsid w:val="00952D9E"/>
    <w:rsid w:val="009577C9"/>
    <w:rsid w:val="00957CBE"/>
    <w:rsid w:val="00961061"/>
    <w:rsid w:val="00961177"/>
    <w:rsid w:val="0096144C"/>
    <w:rsid w:val="00962D0F"/>
    <w:rsid w:val="009632ED"/>
    <w:rsid w:val="00971C10"/>
    <w:rsid w:val="00972626"/>
    <w:rsid w:val="009774CC"/>
    <w:rsid w:val="0098371C"/>
    <w:rsid w:val="00983D52"/>
    <w:rsid w:val="00983EB4"/>
    <w:rsid w:val="00984582"/>
    <w:rsid w:val="00990546"/>
    <w:rsid w:val="00990761"/>
    <w:rsid w:val="009910A4"/>
    <w:rsid w:val="00991B55"/>
    <w:rsid w:val="00992C65"/>
    <w:rsid w:val="0099602F"/>
    <w:rsid w:val="009A5300"/>
    <w:rsid w:val="009A5F9B"/>
    <w:rsid w:val="009A6341"/>
    <w:rsid w:val="009B008E"/>
    <w:rsid w:val="009B097F"/>
    <w:rsid w:val="009B118B"/>
    <w:rsid w:val="009B3119"/>
    <w:rsid w:val="009B3DB9"/>
    <w:rsid w:val="009B4392"/>
    <w:rsid w:val="009B49A4"/>
    <w:rsid w:val="009B50E6"/>
    <w:rsid w:val="009B6700"/>
    <w:rsid w:val="009B71F5"/>
    <w:rsid w:val="009B7B12"/>
    <w:rsid w:val="009C0122"/>
    <w:rsid w:val="009C1422"/>
    <w:rsid w:val="009C1A7D"/>
    <w:rsid w:val="009C298E"/>
    <w:rsid w:val="009C457C"/>
    <w:rsid w:val="009C4B9D"/>
    <w:rsid w:val="009C4BB0"/>
    <w:rsid w:val="009C6348"/>
    <w:rsid w:val="009C642B"/>
    <w:rsid w:val="009D0258"/>
    <w:rsid w:val="009D25F7"/>
    <w:rsid w:val="009D2730"/>
    <w:rsid w:val="009D2984"/>
    <w:rsid w:val="009D3F10"/>
    <w:rsid w:val="009D42EE"/>
    <w:rsid w:val="009D5363"/>
    <w:rsid w:val="009D6862"/>
    <w:rsid w:val="009D6E6A"/>
    <w:rsid w:val="009D7C81"/>
    <w:rsid w:val="009D7EF4"/>
    <w:rsid w:val="009E4109"/>
    <w:rsid w:val="009E5406"/>
    <w:rsid w:val="009E635F"/>
    <w:rsid w:val="009E6824"/>
    <w:rsid w:val="009F0E01"/>
    <w:rsid w:val="009F0F9F"/>
    <w:rsid w:val="009F1531"/>
    <w:rsid w:val="009F329A"/>
    <w:rsid w:val="009F4469"/>
    <w:rsid w:val="009F470E"/>
    <w:rsid w:val="009F5449"/>
    <w:rsid w:val="00A02A03"/>
    <w:rsid w:val="00A035B8"/>
    <w:rsid w:val="00A04DDF"/>
    <w:rsid w:val="00A06D8A"/>
    <w:rsid w:val="00A07049"/>
    <w:rsid w:val="00A07235"/>
    <w:rsid w:val="00A07B40"/>
    <w:rsid w:val="00A10926"/>
    <w:rsid w:val="00A110F0"/>
    <w:rsid w:val="00A14943"/>
    <w:rsid w:val="00A17473"/>
    <w:rsid w:val="00A20D07"/>
    <w:rsid w:val="00A23A38"/>
    <w:rsid w:val="00A24155"/>
    <w:rsid w:val="00A25049"/>
    <w:rsid w:val="00A27C11"/>
    <w:rsid w:val="00A32F84"/>
    <w:rsid w:val="00A33B7D"/>
    <w:rsid w:val="00A3453A"/>
    <w:rsid w:val="00A34A7B"/>
    <w:rsid w:val="00A34F1D"/>
    <w:rsid w:val="00A36859"/>
    <w:rsid w:val="00A37129"/>
    <w:rsid w:val="00A4133A"/>
    <w:rsid w:val="00A4268B"/>
    <w:rsid w:val="00A4569C"/>
    <w:rsid w:val="00A45735"/>
    <w:rsid w:val="00A506E7"/>
    <w:rsid w:val="00A50E2B"/>
    <w:rsid w:val="00A51396"/>
    <w:rsid w:val="00A51E6D"/>
    <w:rsid w:val="00A52975"/>
    <w:rsid w:val="00A52FB9"/>
    <w:rsid w:val="00A55951"/>
    <w:rsid w:val="00A56430"/>
    <w:rsid w:val="00A603CE"/>
    <w:rsid w:val="00A62088"/>
    <w:rsid w:val="00A663E7"/>
    <w:rsid w:val="00A675B0"/>
    <w:rsid w:val="00A700E3"/>
    <w:rsid w:val="00A71177"/>
    <w:rsid w:val="00A73618"/>
    <w:rsid w:val="00A743BF"/>
    <w:rsid w:val="00A75386"/>
    <w:rsid w:val="00A765A2"/>
    <w:rsid w:val="00A80353"/>
    <w:rsid w:val="00A80B2A"/>
    <w:rsid w:val="00A8182C"/>
    <w:rsid w:val="00A8550A"/>
    <w:rsid w:val="00A868A8"/>
    <w:rsid w:val="00A86C52"/>
    <w:rsid w:val="00A8706E"/>
    <w:rsid w:val="00A87D97"/>
    <w:rsid w:val="00A90339"/>
    <w:rsid w:val="00A90854"/>
    <w:rsid w:val="00A916A1"/>
    <w:rsid w:val="00A94D60"/>
    <w:rsid w:val="00A9665D"/>
    <w:rsid w:val="00A96CD5"/>
    <w:rsid w:val="00A96F1C"/>
    <w:rsid w:val="00A97695"/>
    <w:rsid w:val="00A97A15"/>
    <w:rsid w:val="00A97F84"/>
    <w:rsid w:val="00A9FA26"/>
    <w:rsid w:val="00AA0834"/>
    <w:rsid w:val="00AA1128"/>
    <w:rsid w:val="00AA15A2"/>
    <w:rsid w:val="00AA1BEA"/>
    <w:rsid w:val="00AA4ABE"/>
    <w:rsid w:val="00AA6815"/>
    <w:rsid w:val="00AA7271"/>
    <w:rsid w:val="00AB1C13"/>
    <w:rsid w:val="00AB2FE6"/>
    <w:rsid w:val="00AB3345"/>
    <w:rsid w:val="00AB3455"/>
    <w:rsid w:val="00AB3995"/>
    <w:rsid w:val="00AB5CE8"/>
    <w:rsid w:val="00AC0E6B"/>
    <w:rsid w:val="00AC1B66"/>
    <w:rsid w:val="00AC1BFA"/>
    <w:rsid w:val="00AC3437"/>
    <w:rsid w:val="00AC40E9"/>
    <w:rsid w:val="00AC56D0"/>
    <w:rsid w:val="00AD1769"/>
    <w:rsid w:val="00AD2E74"/>
    <w:rsid w:val="00AD2E8F"/>
    <w:rsid w:val="00AD3A13"/>
    <w:rsid w:val="00AD3B4D"/>
    <w:rsid w:val="00AE00C2"/>
    <w:rsid w:val="00AE08D7"/>
    <w:rsid w:val="00AE0E7D"/>
    <w:rsid w:val="00AE11CD"/>
    <w:rsid w:val="00AE34B5"/>
    <w:rsid w:val="00AE3B86"/>
    <w:rsid w:val="00AE6048"/>
    <w:rsid w:val="00AE6126"/>
    <w:rsid w:val="00AE6A0F"/>
    <w:rsid w:val="00AE76A2"/>
    <w:rsid w:val="00AE781A"/>
    <w:rsid w:val="00AF22C3"/>
    <w:rsid w:val="00AF28EF"/>
    <w:rsid w:val="00AF33F9"/>
    <w:rsid w:val="00AF4237"/>
    <w:rsid w:val="00AF4305"/>
    <w:rsid w:val="00AF5D79"/>
    <w:rsid w:val="00AF6C49"/>
    <w:rsid w:val="00AF6DD2"/>
    <w:rsid w:val="00AF72E9"/>
    <w:rsid w:val="00B00BFE"/>
    <w:rsid w:val="00B01098"/>
    <w:rsid w:val="00B022C8"/>
    <w:rsid w:val="00B02727"/>
    <w:rsid w:val="00B03985"/>
    <w:rsid w:val="00B05A28"/>
    <w:rsid w:val="00B05F6A"/>
    <w:rsid w:val="00B066F0"/>
    <w:rsid w:val="00B07DF2"/>
    <w:rsid w:val="00B10DFA"/>
    <w:rsid w:val="00B1161A"/>
    <w:rsid w:val="00B11747"/>
    <w:rsid w:val="00B150D0"/>
    <w:rsid w:val="00B15457"/>
    <w:rsid w:val="00B16397"/>
    <w:rsid w:val="00B210FF"/>
    <w:rsid w:val="00B220D0"/>
    <w:rsid w:val="00B24C77"/>
    <w:rsid w:val="00B2711C"/>
    <w:rsid w:val="00B279B3"/>
    <w:rsid w:val="00B27F94"/>
    <w:rsid w:val="00B35123"/>
    <w:rsid w:val="00B355DD"/>
    <w:rsid w:val="00B35DEB"/>
    <w:rsid w:val="00B365CA"/>
    <w:rsid w:val="00B3781B"/>
    <w:rsid w:val="00B419B8"/>
    <w:rsid w:val="00B430CB"/>
    <w:rsid w:val="00B43AD1"/>
    <w:rsid w:val="00B45314"/>
    <w:rsid w:val="00B479B3"/>
    <w:rsid w:val="00B4F90E"/>
    <w:rsid w:val="00B510D4"/>
    <w:rsid w:val="00B51983"/>
    <w:rsid w:val="00B56D5F"/>
    <w:rsid w:val="00B607A7"/>
    <w:rsid w:val="00B60DC0"/>
    <w:rsid w:val="00B660BD"/>
    <w:rsid w:val="00B66A3C"/>
    <w:rsid w:val="00B66DB5"/>
    <w:rsid w:val="00B70907"/>
    <w:rsid w:val="00B70B69"/>
    <w:rsid w:val="00B71A78"/>
    <w:rsid w:val="00B737D4"/>
    <w:rsid w:val="00B7745B"/>
    <w:rsid w:val="00B778D0"/>
    <w:rsid w:val="00B83302"/>
    <w:rsid w:val="00B843FE"/>
    <w:rsid w:val="00B84613"/>
    <w:rsid w:val="00B86379"/>
    <w:rsid w:val="00B863F2"/>
    <w:rsid w:val="00B90D77"/>
    <w:rsid w:val="00B912B8"/>
    <w:rsid w:val="00B912C7"/>
    <w:rsid w:val="00B91453"/>
    <w:rsid w:val="00B94A2B"/>
    <w:rsid w:val="00B96B5C"/>
    <w:rsid w:val="00B97474"/>
    <w:rsid w:val="00BA0817"/>
    <w:rsid w:val="00BA1BA5"/>
    <w:rsid w:val="00BA307D"/>
    <w:rsid w:val="00BA3687"/>
    <w:rsid w:val="00BA45F9"/>
    <w:rsid w:val="00BB1967"/>
    <w:rsid w:val="00BB2AAA"/>
    <w:rsid w:val="00BB3E40"/>
    <w:rsid w:val="00BB421D"/>
    <w:rsid w:val="00BB4772"/>
    <w:rsid w:val="00BB6F48"/>
    <w:rsid w:val="00BB79FF"/>
    <w:rsid w:val="00BB7EF9"/>
    <w:rsid w:val="00BC0F1E"/>
    <w:rsid w:val="00BC1740"/>
    <w:rsid w:val="00BC2863"/>
    <w:rsid w:val="00BC35C3"/>
    <w:rsid w:val="00BC3ADD"/>
    <w:rsid w:val="00BC3B87"/>
    <w:rsid w:val="00BC3CE8"/>
    <w:rsid w:val="00BC47FA"/>
    <w:rsid w:val="00BC5441"/>
    <w:rsid w:val="00BC5EBC"/>
    <w:rsid w:val="00BC61D2"/>
    <w:rsid w:val="00BD0C3D"/>
    <w:rsid w:val="00BD2739"/>
    <w:rsid w:val="00BD48EE"/>
    <w:rsid w:val="00BD4F1E"/>
    <w:rsid w:val="00BD7FCA"/>
    <w:rsid w:val="00BE19AC"/>
    <w:rsid w:val="00BE4085"/>
    <w:rsid w:val="00BE4934"/>
    <w:rsid w:val="00BE724E"/>
    <w:rsid w:val="00BE72EA"/>
    <w:rsid w:val="00BE7C81"/>
    <w:rsid w:val="00BE7D02"/>
    <w:rsid w:val="00BF0318"/>
    <w:rsid w:val="00BF2F21"/>
    <w:rsid w:val="00BF449E"/>
    <w:rsid w:val="00BF46D6"/>
    <w:rsid w:val="00BF548F"/>
    <w:rsid w:val="00BF6220"/>
    <w:rsid w:val="00BF6771"/>
    <w:rsid w:val="00BF7F6A"/>
    <w:rsid w:val="00C03C37"/>
    <w:rsid w:val="00C106F4"/>
    <w:rsid w:val="00C10CFA"/>
    <w:rsid w:val="00C115F6"/>
    <w:rsid w:val="00C11822"/>
    <w:rsid w:val="00C1221B"/>
    <w:rsid w:val="00C12A2A"/>
    <w:rsid w:val="00C167C0"/>
    <w:rsid w:val="00C210F7"/>
    <w:rsid w:val="00C229E1"/>
    <w:rsid w:val="00C22FB9"/>
    <w:rsid w:val="00C23187"/>
    <w:rsid w:val="00C25618"/>
    <w:rsid w:val="00C25896"/>
    <w:rsid w:val="00C31A2C"/>
    <w:rsid w:val="00C31C2B"/>
    <w:rsid w:val="00C327D9"/>
    <w:rsid w:val="00C32990"/>
    <w:rsid w:val="00C33890"/>
    <w:rsid w:val="00C346B4"/>
    <w:rsid w:val="00C34C26"/>
    <w:rsid w:val="00C36D7F"/>
    <w:rsid w:val="00C379A8"/>
    <w:rsid w:val="00C4004C"/>
    <w:rsid w:val="00C40A37"/>
    <w:rsid w:val="00C40FC7"/>
    <w:rsid w:val="00C41A95"/>
    <w:rsid w:val="00C43872"/>
    <w:rsid w:val="00C44114"/>
    <w:rsid w:val="00C445B0"/>
    <w:rsid w:val="00C463AF"/>
    <w:rsid w:val="00C464C6"/>
    <w:rsid w:val="00C46D5B"/>
    <w:rsid w:val="00C47559"/>
    <w:rsid w:val="00C47A93"/>
    <w:rsid w:val="00C51905"/>
    <w:rsid w:val="00C54170"/>
    <w:rsid w:val="00C573AC"/>
    <w:rsid w:val="00C6438B"/>
    <w:rsid w:val="00C644AD"/>
    <w:rsid w:val="00C65492"/>
    <w:rsid w:val="00C65608"/>
    <w:rsid w:val="00C65768"/>
    <w:rsid w:val="00C67412"/>
    <w:rsid w:val="00C6744B"/>
    <w:rsid w:val="00C675DE"/>
    <w:rsid w:val="00C708F9"/>
    <w:rsid w:val="00C70A78"/>
    <w:rsid w:val="00C7244C"/>
    <w:rsid w:val="00C7598D"/>
    <w:rsid w:val="00C76A20"/>
    <w:rsid w:val="00C7717E"/>
    <w:rsid w:val="00C82740"/>
    <w:rsid w:val="00C82793"/>
    <w:rsid w:val="00C82C42"/>
    <w:rsid w:val="00C82D4F"/>
    <w:rsid w:val="00C836F0"/>
    <w:rsid w:val="00C83D5B"/>
    <w:rsid w:val="00C85710"/>
    <w:rsid w:val="00C85E37"/>
    <w:rsid w:val="00C85FFB"/>
    <w:rsid w:val="00C86D8C"/>
    <w:rsid w:val="00C904C6"/>
    <w:rsid w:val="00C911E8"/>
    <w:rsid w:val="00C9217A"/>
    <w:rsid w:val="00C92B78"/>
    <w:rsid w:val="00C930C7"/>
    <w:rsid w:val="00C934D4"/>
    <w:rsid w:val="00C9382A"/>
    <w:rsid w:val="00C94F41"/>
    <w:rsid w:val="00C9658E"/>
    <w:rsid w:val="00CA0A71"/>
    <w:rsid w:val="00CA7285"/>
    <w:rsid w:val="00CA7CED"/>
    <w:rsid w:val="00CB2399"/>
    <w:rsid w:val="00CB38F0"/>
    <w:rsid w:val="00CB3983"/>
    <w:rsid w:val="00CB4515"/>
    <w:rsid w:val="00CB466D"/>
    <w:rsid w:val="00CB6307"/>
    <w:rsid w:val="00CC0060"/>
    <w:rsid w:val="00CC051B"/>
    <w:rsid w:val="00CC11EE"/>
    <w:rsid w:val="00CC17F7"/>
    <w:rsid w:val="00CC2F3A"/>
    <w:rsid w:val="00CC428A"/>
    <w:rsid w:val="00CC7104"/>
    <w:rsid w:val="00CD0B32"/>
    <w:rsid w:val="00CD0D1E"/>
    <w:rsid w:val="00CD1161"/>
    <w:rsid w:val="00CD2208"/>
    <w:rsid w:val="00CD2707"/>
    <w:rsid w:val="00CD4238"/>
    <w:rsid w:val="00CD5134"/>
    <w:rsid w:val="00CD76C3"/>
    <w:rsid w:val="00CD7A08"/>
    <w:rsid w:val="00CE0FDF"/>
    <w:rsid w:val="00CE176F"/>
    <w:rsid w:val="00CE322C"/>
    <w:rsid w:val="00CE3D2D"/>
    <w:rsid w:val="00CE418E"/>
    <w:rsid w:val="00CE45A5"/>
    <w:rsid w:val="00CE483A"/>
    <w:rsid w:val="00CE6602"/>
    <w:rsid w:val="00CE6810"/>
    <w:rsid w:val="00CE752F"/>
    <w:rsid w:val="00CE78D5"/>
    <w:rsid w:val="00CF0EF2"/>
    <w:rsid w:val="00CF139A"/>
    <w:rsid w:val="00CF2A51"/>
    <w:rsid w:val="00CF2BE7"/>
    <w:rsid w:val="00CF4FBA"/>
    <w:rsid w:val="00CF5F85"/>
    <w:rsid w:val="00CF6093"/>
    <w:rsid w:val="00D00053"/>
    <w:rsid w:val="00D00993"/>
    <w:rsid w:val="00D02CCA"/>
    <w:rsid w:val="00D04452"/>
    <w:rsid w:val="00D04848"/>
    <w:rsid w:val="00D07905"/>
    <w:rsid w:val="00D10C8E"/>
    <w:rsid w:val="00D11AD2"/>
    <w:rsid w:val="00D14464"/>
    <w:rsid w:val="00D177AC"/>
    <w:rsid w:val="00D202AE"/>
    <w:rsid w:val="00D24E8B"/>
    <w:rsid w:val="00D30CAB"/>
    <w:rsid w:val="00D31D67"/>
    <w:rsid w:val="00D32106"/>
    <w:rsid w:val="00D377DF"/>
    <w:rsid w:val="00D40175"/>
    <w:rsid w:val="00D40EAD"/>
    <w:rsid w:val="00D4311F"/>
    <w:rsid w:val="00D44978"/>
    <w:rsid w:val="00D4562C"/>
    <w:rsid w:val="00D45C99"/>
    <w:rsid w:val="00D50503"/>
    <w:rsid w:val="00D510D6"/>
    <w:rsid w:val="00D51CFD"/>
    <w:rsid w:val="00D52B4F"/>
    <w:rsid w:val="00D53879"/>
    <w:rsid w:val="00D54879"/>
    <w:rsid w:val="00D54889"/>
    <w:rsid w:val="00D55149"/>
    <w:rsid w:val="00D57417"/>
    <w:rsid w:val="00D57EF9"/>
    <w:rsid w:val="00D61DAE"/>
    <w:rsid w:val="00D62404"/>
    <w:rsid w:val="00D63DAB"/>
    <w:rsid w:val="00D648F0"/>
    <w:rsid w:val="00D64ECC"/>
    <w:rsid w:val="00D65129"/>
    <w:rsid w:val="00D661E6"/>
    <w:rsid w:val="00D735CF"/>
    <w:rsid w:val="00D73ED5"/>
    <w:rsid w:val="00D754FE"/>
    <w:rsid w:val="00D75DA3"/>
    <w:rsid w:val="00D7611E"/>
    <w:rsid w:val="00D81DA0"/>
    <w:rsid w:val="00D83B8C"/>
    <w:rsid w:val="00D86E24"/>
    <w:rsid w:val="00D87926"/>
    <w:rsid w:val="00D947FF"/>
    <w:rsid w:val="00D94F59"/>
    <w:rsid w:val="00D956A1"/>
    <w:rsid w:val="00D960CD"/>
    <w:rsid w:val="00D962F4"/>
    <w:rsid w:val="00D969B5"/>
    <w:rsid w:val="00D973A9"/>
    <w:rsid w:val="00D97E46"/>
    <w:rsid w:val="00DA152E"/>
    <w:rsid w:val="00DA2556"/>
    <w:rsid w:val="00DA2F60"/>
    <w:rsid w:val="00DA3005"/>
    <w:rsid w:val="00DA54EB"/>
    <w:rsid w:val="00DA61C5"/>
    <w:rsid w:val="00DA684B"/>
    <w:rsid w:val="00DA7867"/>
    <w:rsid w:val="00DB1E60"/>
    <w:rsid w:val="00DB2F78"/>
    <w:rsid w:val="00DB3BC2"/>
    <w:rsid w:val="00DB4D53"/>
    <w:rsid w:val="00DB629F"/>
    <w:rsid w:val="00DC0D7D"/>
    <w:rsid w:val="00DC30C3"/>
    <w:rsid w:val="00DC4EF1"/>
    <w:rsid w:val="00DC545E"/>
    <w:rsid w:val="00DC5AC6"/>
    <w:rsid w:val="00DC65D4"/>
    <w:rsid w:val="00DC6806"/>
    <w:rsid w:val="00DD0CF2"/>
    <w:rsid w:val="00DD1383"/>
    <w:rsid w:val="00DD412B"/>
    <w:rsid w:val="00DD4DFA"/>
    <w:rsid w:val="00DD76C3"/>
    <w:rsid w:val="00DD7A9F"/>
    <w:rsid w:val="00DE0ADB"/>
    <w:rsid w:val="00DE4AAD"/>
    <w:rsid w:val="00DE7A50"/>
    <w:rsid w:val="00DE7F28"/>
    <w:rsid w:val="00DF2028"/>
    <w:rsid w:val="00DF20C6"/>
    <w:rsid w:val="00DF32DA"/>
    <w:rsid w:val="00DF493D"/>
    <w:rsid w:val="00DF6A0A"/>
    <w:rsid w:val="00DF6F46"/>
    <w:rsid w:val="00DF7527"/>
    <w:rsid w:val="00E0132A"/>
    <w:rsid w:val="00E02F73"/>
    <w:rsid w:val="00E058DE"/>
    <w:rsid w:val="00E05960"/>
    <w:rsid w:val="00E10FC1"/>
    <w:rsid w:val="00E13429"/>
    <w:rsid w:val="00E15D0E"/>
    <w:rsid w:val="00E1699C"/>
    <w:rsid w:val="00E178BE"/>
    <w:rsid w:val="00E22209"/>
    <w:rsid w:val="00E23BD7"/>
    <w:rsid w:val="00E24936"/>
    <w:rsid w:val="00E24F56"/>
    <w:rsid w:val="00E2652D"/>
    <w:rsid w:val="00E27E67"/>
    <w:rsid w:val="00E30901"/>
    <w:rsid w:val="00E30C9F"/>
    <w:rsid w:val="00E31CA3"/>
    <w:rsid w:val="00E32435"/>
    <w:rsid w:val="00E3280A"/>
    <w:rsid w:val="00E3309E"/>
    <w:rsid w:val="00E3422A"/>
    <w:rsid w:val="00E350B0"/>
    <w:rsid w:val="00E4167F"/>
    <w:rsid w:val="00E442DB"/>
    <w:rsid w:val="00E44C7C"/>
    <w:rsid w:val="00E44FA0"/>
    <w:rsid w:val="00E45F75"/>
    <w:rsid w:val="00E4608F"/>
    <w:rsid w:val="00E469E3"/>
    <w:rsid w:val="00E47635"/>
    <w:rsid w:val="00E50B7B"/>
    <w:rsid w:val="00E50F5A"/>
    <w:rsid w:val="00E5252A"/>
    <w:rsid w:val="00E5282A"/>
    <w:rsid w:val="00E54183"/>
    <w:rsid w:val="00E54E09"/>
    <w:rsid w:val="00E575C0"/>
    <w:rsid w:val="00E57E52"/>
    <w:rsid w:val="00E6282A"/>
    <w:rsid w:val="00E6466D"/>
    <w:rsid w:val="00E646E7"/>
    <w:rsid w:val="00E65285"/>
    <w:rsid w:val="00E666F9"/>
    <w:rsid w:val="00E66B19"/>
    <w:rsid w:val="00E67295"/>
    <w:rsid w:val="00E67C58"/>
    <w:rsid w:val="00E70658"/>
    <w:rsid w:val="00E72362"/>
    <w:rsid w:val="00E732DA"/>
    <w:rsid w:val="00E7507B"/>
    <w:rsid w:val="00E801D6"/>
    <w:rsid w:val="00E82363"/>
    <w:rsid w:val="00E83157"/>
    <w:rsid w:val="00E83F7B"/>
    <w:rsid w:val="00E83FD4"/>
    <w:rsid w:val="00E84DE3"/>
    <w:rsid w:val="00E85096"/>
    <w:rsid w:val="00E8711D"/>
    <w:rsid w:val="00E90C6B"/>
    <w:rsid w:val="00E90FB7"/>
    <w:rsid w:val="00E922C0"/>
    <w:rsid w:val="00E9374F"/>
    <w:rsid w:val="00E9435E"/>
    <w:rsid w:val="00E96C0B"/>
    <w:rsid w:val="00E97888"/>
    <w:rsid w:val="00EA12F5"/>
    <w:rsid w:val="00EA4844"/>
    <w:rsid w:val="00EA4977"/>
    <w:rsid w:val="00EA77AE"/>
    <w:rsid w:val="00EA7B7C"/>
    <w:rsid w:val="00EA7EBA"/>
    <w:rsid w:val="00EB0D56"/>
    <w:rsid w:val="00EB1B51"/>
    <w:rsid w:val="00EB24E6"/>
    <w:rsid w:val="00EB266B"/>
    <w:rsid w:val="00EB3CBB"/>
    <w:rsid w:val="00EB4BFD"/>
    <w:rsid w:val="00EB5916"/>
    <w:rsid w:val="00EB64FF"/>
    <w:rsid w:val="00EB77A7"/>
    <w:rsid w:val="00EC0415"/>
    <w:rsid w:val="00EC16FE"/>
    <w:rsid w:val="00EC355F"/>
    <w:rsid w:val="00EC390C"/>
    <w:rsid w:val="00EC5802"/>
    <w:rsid w:val="00EC5BA7"/>
    <w:rsid w:val="00EC5C25"/>
    <w:rsid w:val="00EC6B08"/>
    <w:rsid w:val="00EC7192"/>
    <w:rsid w:val="00EC7370"/>
    <w:rsid w:val="00ED010C"/>
    <w:rsid w:val="00ED0E14"/>
    <w:rsid w:val="00ED2EBB"/>
    <w:rsid w:val="00ED3721"/>
    <w:rsid w:val="00ED3EBC"/>
    <w:rsid w:val="00ED4DEC"/>
    <w:rsid w:val="00ED7AD7"/>
    <w:rsid w:val="00EE11A6"/>
    <w:rsid w:val="00EE23B4"/>
    <w:rsid w:val="00EE3359"/>
    <w:rsid w:val="00EE3690"/>
    <w:rsid w:val="00EE524F"/>
    <w:rsid w:val="00EE6D75"/>
    <w:rsid w:val="00EE7361"/>
    <w:rsid w:val="00EE742E"/>
    <w:rsid w:val="00EF17D6"/>
    <w:rsid w:val="00EF29C7"/>
    <w:rsid w:val="00EF55D9"/>
    <w:rsid w:val="00F011B2"/>
    <w:rsid w:val="00F02DE7"/>
    <w:rsid w:val="00F0563A"/>
    <w:rsid w:val="00F0598A"/>
    <w:rsid w:val="00F06226"/>
    <w:rsid w:val="00F067D8"/>
    <w:rsid w:val="00F10571"/>
    <w:rsid w:val="00F111FA"/>
    <w:rsid w:val="00F112DF"/>
    <w:rsid w:val="00F1186E"/>
    <w:rsid w:val="00F12907"/>
    <w:rsid w:val="00F12B47"/>
    <w:rsid w:val="00F1310A"/>
    <w:rsid w:val="00F13210"/>
    <w:rsid w:val="00F15205"/>
    <w:rsid w:val="00F202D9"/>
    <w:rsid w:val="00F20867"/>
    <w:rsid w:val="00F22088"/>
    <w:rsid w:val="00F227D1"/>
    <w:rsid w:val="00F22FFD"/>
    <w:rsid w:val="00F24A16"/>
    <w:rsid w:val="00F24B4A"/>
    <w:rsid w:val="00F3118C"/>
    <w:rsid w:val="00F31304"/>
    <w:rsid w:val="00F3217A"/>
    <w:rsid w:val="00F33BEC"/>
    <w:rsid w:val="00F33F2A"/>
    <w:rsid w:val="00F3699A"/>
    <w:rsid w:val="00F36E01"/>
    <w:rsid w:val="00F41B08"/>
    <w:rsid w:val="00F42480"/>
    <w:rsid w:val="00F4626D"/>
    <w:rsid w:val="00F478DF"/>
    <w:rsid w:val="00F4799B"/>
    <w:rsid w:val="00F506D3"/>
    <w:rsid w:val="00F5156F"/>
    <w:rsid w:val="00F53872"/>
    <w:rsid w:val="00F53FDA"/>
    <w:rsid w:val="00F5499B"/>
    <w:rsid w:val="00F555A6"/>
    <w:rsid w:val="00F56D59"/>
    <w:rsid w:val="00F6078E"/>
    <w:rsid w:val="00F6186C"/>
    <w:rsid w:val="00F65206"/>
    <w:rsid w:val="00F7031B"/>
    <w:rsid w:val="00F72B0F"/>
    <w:rsid w:val="00F736D8"/>
    <w:rsid w:val="00F772E9"/>
    <w:rsid w:val="00F80146"/>
    <w:rsid w:val="00F801A5"/>
    <w:rsid w:val="00F81918"/>
    <w:rsid w:val="00F8235E"/>
    <w:rsid w:val="00F82C18"/>
    <w:rsid w:val="00F8300B"/>
    <w:rsid w:val="00F84C5D"/>
    <w:rsid w:val="00F861BE"/>
    <w:rsid w:val="00F87796"/>
    <w:rsid w:val="00F8794C"/>
    <w:rsid w:val="00F90353"/>
    <w:rsid w:val="00F909A9"/>
    <w:rsid w:val="00F91823"/>
    <w:rsid w:val="00F919AE"/>
    <w:rsid w:val="00F91ECC"/>
    <w:rsid w:val="00F92819"/>
    <w:rsid w:val="00F93E0A"/>
    <w:rsid w:val="00F961B9"/>
    <w:rsid w:val="00F96FEB"/>
    <w:rsid w:val="00FA2955"/>
    <w:rsid w:val="00FA5B1A"/>
    <w:rsid w:val="00FA6629"/>
    <w:rsid w:val="00FA6A15"/>
    <w:rsid w:val="00FAE002"/>
    <w:rsid w:val="00FB1A73"/>
    <w:rsid w:val="00FB4334"/>
    <w:rsid w:val="00FB52F2"/>
    <w:rsid w:val="00FB5357"/>
    <w:rsid w:val="00FB6105"/>
    <w:rsid w:val="00FB62A0"/>
    <w:rsid w:val="00FC1B3B"/>
    <w:rsid w:val="00FC2CE3"/>
    <w:rsid w:val="00FC37FF"/>
    <w:rsid w:val="00FC3B70"/>
    <w:rsid w:val="00FC4685"/>
    <w:rsid w:val="00FC4CBB"/>
    <w:rsid w:val="00FC5CCB"/>
    <w:rsid w:val="00FC61D7"/>
    <w:rsid w:val="00FC77AB"/>
    <w:rsid w:val="00FD06F6"/>
    <w:rsid w:val="00FD2406"/>
    <w:rsid w:val="00FD2923"/>
    <w:rsid w:val="00FD5987"/>
    <w:rsid w:val="00FD680C"/>
    <w:rsid w:val="00FD742D"/>
    <w:rsid w:val="00FE24F7"/>
    <w:rsid w:val="00FE26A2"/>
    <w:rsid w:val="00FE4035"/>
    <w:rsid w:val="00FE5DF3"/>
    <w:rsid w:val="00FE7513"/>
    <w:rsid w:val="00FF4B7F"/>
    <w:rsid w:val="0126DC0A"/>
    <w:rsid w:val="0137685C"/>
    <w:rsid w:val="013DB05A"/>
    <w:rsid w:val="014A3988"/>
    <w:rsid w:val="0155A672"/>
    <w:rsid w:val="0157EA60"/>
    <w:rsid w:val="019EAFB1"/>
    <w:rsid w:val="01A2385D"/>
    <w:rsid w:val="01A9D16C"/>
    <w:rsid w:val="01BC5B44"/>
    <w:rsid w:val="01BF4A35"/>
    <w:rsid w:val="01F7F40A"/>
    <w:rsid w:val="02212BA9"/>
    <w:rsid w:val="023BE305"/>
    <w:rsid w:val="026033CE"/>
    <w:rsid w:val="026DF0C3"/>
    <w:rsid w:val="027CAD41"/>
    <w:rsid w:val="028C03F3"/>
    <w:rsid w:val="02AC53D4"/>
    <w:rsid w:val="02C9452B"/>
    <w:rsid w:val="02E16EF2"/>
    <w:rsid w:val="03004F43"/>
    <w:rsid w:val="03260CD7"/>
    <w:rsid w:val="032D5922"/>
    <w:rsid w:val="036056D1"/>
    <w:rsid w:val="03687531"/>
    <w:rsid w:val="0371A747"/>
    <w:rsid w:val="0384E70F"/>
    <w:rsid w:val="0394612E"/>
    <w:rsid w:val="03958271"/>
    <w:rsid w:val="0398F41A"/>
    <w:rsid w:val="03BCA234"/>
    <w:rsid w:val="03D50456"/>
    <w:rsid w:val="03ED556A"/>
    <w:rsid w:val="03F043B1"/>
    <w:rsid w:val="03FA05A7"/>
    <w:rsid w:val="0443E2D9"/>
    <w:rsid w:val="04C4D4E7"/>
    <w:rsid w:val="04DD753B"/>
    <w:rsid w:val="04EE5CCF"/>
    <w:rsid w:val="04F2C0FC"/>
    <w:rsid w:val="0511501F"/>
    <w:rsid w:val="05175D0A"/>
    <w:rsid w:val="052F3F45"/>
    <w:rsid w:val="05A208D3"/>
    <w:rsid w:val="05C2B23F"/>
    <w:rsid w:val="05E71050"/>
    <w:rsid w:val="05ECF6BD"/>
    <w:rsid w:val="0601C3D8"/>
    <w:rsid w:val="0613F08F"/>
    <w:rsid w:val="06140FBD"/>
    <w:rsid w:val="06561848"/>
    <w:rsid w:val="06CED803"/>
    <w:rsid w:val="06D96E64"/>
    <w:rsid w:val="073A6D56"/>
    <w:rsid w:val="074FD36E"/>
    <w:rsid w:val="0754EDCF"/>
    <w:rsid w:val="0792B12F"/>
    <w:rsid w:val="0799B48C"/>
    <w:rsid w:val="07B1D04C"/>
    <w:rsid w:val="07BFE1AF"/>
    <w:rsid w:val="082AC663"/>
    <w:rsid w:val="0843121B"/>
    <w:rsid w:val="08C7A6C0"/>
    <w:rsid w:val="08D0D19C"/>
    <w:rsid w:val="092E1C59"/>
    <w:rsid w:val="0954C5C1"/>
    <w:rsid w:val="0962DB7B"/>
    <w:rsid w:val="096628F9"/>
    <w:rsid w:val="09A9709C"/>
    <w:rsid w:val="09AECF75"/>
    <w:rsid w:val="09B39BE9"/>
    <w:rsid w:val="09B9CDE5"/>
    <w:rsid w:val="09D7919C"/>
    <w:rsid w:val="09F218C6"/>
    <w:rsid w:val="09F47539"/>
    <w:rsid w:val="0A134F06"/>
    <w:rsid w:val="0A2D1F71"/>
    <w:rsid w:val="0A559E89"/>
    <w:rsid w:val="0A5FA383"/>
    <w:rsid w:val="0AE77126"/>
    <w:rsid w:val="0B0AD3A4"/>
    <w:rsid w:val="0B35A00C"/>
    <w:rsid w:val="0B3F152D"/>
    <w:rsid w:val="0B4662A0"/>
    <w:rsid w:val="0B764B09"/>
    <w:rsid w:val="0B7E4AB5"/>
    <w:rsid w:val="0B8C8256"/>
    <w:rsid w:val="0BA928CC"/>
    <w:rsid w:val="0BB0B81F"/>
    <w:rsid w:val="0BC110A2"/>
    <w:rsid w:val="0BC54F18"/>
    <w:rsid w:val="0BD6A62E"/>
    <w:rsid w:val="0BF47921"/>
    <w:rsid w:val="0C04E7F9"/>
    <w:rsid w:val="0C2E7F60"/>
    <w:rsid w:val="0C4A791B"/>
    <w:rsid w:val="0C6DCFAC"/>
    <w:rsid w:val="0C6ED23A"/>
    <w:rsid w:val="0C7FFEB6"/>
    <w:rsid w:val="0C838506"/>
    <w:rsid w:val="0C8AF72E"/>
    <w:rsid w:val="0C9A8BA2"/>
    <w:rsid w:val="0CC324FC"/>
    <w:rsid w:val="0CF18542"/>
    <w:rsid w:val="0D341FEA"/>
    <w:rsid w:val="0D42B801"/>
    <w:rsid w:val="0D4E6E53"/>
    <w:rsid w:val="0DA02067"/>
    <w:rsid w:val="0DEE4C61"/>
    <w:rsid w:val="0E0FB11B"/>
    <w:rsid w:val="0E533ABC"/>
    <w:rsid w:val="0E947B95"/>
    <w:rsid w:val="0EADC376"/>
    <w:rsid w:val="0ECF2A16"/>
    <w:rsid w:val="0EE6A79D"/>
    <w:rsid w:val="0F07934A"/>
    <w:rsid w:val="0F08DD4C"/>
    <w:rsid w:val="0F12A972"/>
    <w:rsid w:val="0F185784"/>
    <w:rsid w:val="0F2639BB"/>
    <w:rsid w:val="0F2A26A4"/>
    <w:rsid w:val="0F69BCE9"/>
    <w:rsid w:val="0F8C1445"/>
    <w:rsid w:val="0F9F8955"/>
    <w:rsid w:val="0FA01323"/>
    <w:rsid w:val="0FA6E337"/>
    <w:rsid w:val="0FAE850F"/>
    <w:rsid w:val="0FBEB324"/>
    <w:rsid w:val="0FC98DE6"/>
    <w:rsid w:val="100E7E8B"/>
    <w:rsid w:val="1067F2EF"/>
    <w:rsid w:val="1073C633"/>
    <w:rsid w:val="10AFC1EB"/>
    <w:rsid w:val="10BBEF9C"/>
    <w:rsid w:val="10C9151D"/>
    <w:rsid w:val="10E00507"/>
    <w:rsid w:val="10F95D80"/>
    <w:rsid w:val="111B134C"/>
    <w:rsid w:val="114ABFD1"/>
    <w:rsid w:val="1177397D"/>
    <w:rsid w:val="1178BDDD"/>
    <w:rsid w:val="11F2C165"/>
    <w:rsid w:val="12227A74"/>
    <w:rsid w:val="12431429"/>
    <w:rsid w:val="127A12A1"/>
    <w:rsid w:val="127BCF1D"/>
    <w:rsid w:val="128B66FC"/>
    <w:rsid w:val="129BF22D"/>
    <w:rsid w:val="12BF2E9B"/>
    <w:rsid w:val="134AB0DA"/>
    <w:rsid w:val="134CDD92"/>
    <w:rsid w:val="135075AF"/>
    <w:rsid w:val="1357E0A0"/>
    <w:rsid w:val="135ECEEC"/>
    <w:rsid w:val="136B7B03"/>
    <w:rsid w:val="136C2DD9"/>
    <w:rsid w:val="145C0ADA"/>
    <w:rsid w:val="146FAB1E"/>
    <w:rsid w:val="148D6FAC"/>
    <w:rsid w:val="149866C0"/>
    <w:rsid w:val="14AD25A0"/>
    <w:rsid w:val="14D70D36"/>
    <w:rsid w:val="14DA3022"/>
    <w:rsid w:val="15230989"/>
    <w:rsid w:val="15620B5D"/>
    <w:rsid w:val="1583A499"/>
    <w:rsid w:val="15AF4280"/>
    <w:rsid w:val="15C5BD92"/>
    <w:rsid w:val="15E57CDC"/>
    <w:rsid w:val="161CDFBB"/>
    <w:rsid w:val="162D899E"/>
    <w:rsid w:val="163EB389"/>
    <w:rsid w:val="164ADFB0"/>
    <w:rsid w:val="165138B5"/>
    <w:rsid w:val="165327D4"/>
    <w:rsid w:val="1668E32C"/>
    <w:rsid w:val="16878196"/>
    <w:rsid w:val="16B42231"/>
    <w:rsid w:val="16BA5F53"/>
    <w:rsid w:val="16C36960"/>
    <w:rsid w:val="16ED7BF3"/>
    <w:rsid w:val="1702A528"/>
    <w:rsid w:val="1712E498"/>
    <w:rsid w:val="173889C5"/>
    <w:rsid w:val="174DCA1C"/>
    <w:rsid w:val="1777321D"/>
    <w:rsid w:val="177CE598"/>
    <w:rsid w:val="1795D5C1"/>
    <w:rsid w:val="17C0A537"/>
    <w:rsid w:val="17C401D7"/>
    <w:rsid w:val="17C9750D"/>
    <w:rsid w:val="17D3CB82"/>
    <w:rsid w:val="17DFBE8B"/>
    <w:rsid w:val="17EC654E"/>
    <w:rsid w:val="180232BA"/>
    <w:rsid w:val="1804DC85"/>
    <w:rsid w:val="180AFF04"/>
    <w:rsid w:val="18221049"/>
    <w:rsid w:val="182550C8"/>
    <w:rsid w:val="1829F06F"/>
    <w:rsid w:val="182DC3A4"/>
    <w:rsid w:val="187D0AEC"/>
    <w:rsid w:val="18A05197"/>
    <w:rsid w:val="18AF892C"/>
    <w:rsid w:val="18B39711"/>
    <w:rsid w:val="18D1E39C"/>
    <w:rsid w:val="18D6634C"/>
    <w:rsid w:val="193CA74B"/>
    <w:rsid w:val="19527D13"/>
    <w:rsid w:val="197C2142"/>
    <w:rsid w:val="19814624"/>
    <w:rsid w:val="19896F3A"/>
    <w:rsid w:val="19CCC085"/>
    <w:rsid w:val="19E2366C"/>
    <w:rsid w:val="1A2B4701"/>
    <w:rsid w:val="1A3E6F2E"/>
    <w:rsid w:val="1A63EB1C"/>
    <w:rsid w:val="1A648A92"/>
    <w:rsid w:val="1A7BD47B"/>
    <w:rsid w:val="1A7F070A"/>
    <w:rsid w:val="1AC262DA"/>
    <w:rsid w:val="1AD977BB"/>
    <w:rsid w:val="1AF08885"/>
    <w:rsid w:val="1AF68201"/>
    <w:rsid w:val="1B049306"/>
    <w:rsid w:val="1B1D9CC0"/>
    <w:rsid w:val="1B5D944C"/>
    <w:rsid w:val="1B6D4A38"/>
    <w:rsid w:val="1B71A7C4"/>
    <w:rsid w:val="1BA17924"/>
    <w:rsid w:val="1BB360B9"/>
    <w:rsid w:val="1C4DBD1C"/>
    <w:rsid w:val="1C81C146"/>
    <w:rsid w:val="1C927516"/>
    <w:rsid w:val="1CD5AF87"/>
    <w:rsid w:val="1CE519F3"/>
    <w:rsid w:val="1D1DB17A"/>
    <w:rsid w:val="1D49651F"/>
    <w:rsid w:val="1D5C42E6"/>
    <w:rsid w:val="1D67428E"/>
    <w:rsid w:val="1D7105F5"/>
    <w:rsid w:val="1D7E3934"/>
    <w:rsid w:val="1D800685"/>
    <w:rsid w:val="1D90EFB0"/>
    <w:rsid w:val="1DBBD881"/>
    <w:rsid w:val="1DD14ED5"/>
    <w:rsid w:val="1E1D5393"/>
    <w:rsid w:val="1E1E1A7D"/>
    <w:rsid w:val="1E247A6C"/>
    <w:rsid w:val="1E59135F"/>
    <w:rsid w:val="1E8122FD"/>
    <w:rsid w:val="1E8E0F5A"/>
    <w:rsid w:val="1EB4BD61"/>
    <w:rsid w:val="1EB8E8A4"/>
    <w:rsid w:val="1EE60581"/>
    <w:rsid w:val="1EED1165"/>
    <w:rsid w:val="1F121A49"/>
    <w:rsid w:val="1F123FB8"/>
    <w:rsid w:val="1F31EB03"/>
    <w:rsid w:val="1F434E74"/>
    <w:rsid w:val="1F51DACB"/>
    <w:rsid w:val="1F58D8C5"/>
    <w:rsid w:val="1F6280D5"/>
    <w:rsid w:val="1F70621A"/>
    <w:rsid w:val="1F952F77"/>
    <w:rsid w:val="1FC57B52"/>
    <w:rsid w:val="1FFB3BA4"/>
    <w:rsid w:val="1FFBDC53"/>
    <w:rsid w:val="2004B7D1"/>
    <w:rsid w:val="201A09EB"/>
    <w:rsid w:val="2059AC0D"/>
    <w:rsid w:val="20887AF2"/>
    <w:rsid w:val="20CCFD39"/>
    <w:rsid w:val="212582F9"/>
    <w:rsid w:val="215213F0"/>
    <w:rsid w:val="21F3DBDC"/>
    <w:rsid w:val="2228F5FF"/>
    <w:rsid w:val="22352234"/>
    <w:rsid w:val="2243FFD3"/>
    <w:rsid w:val="2262246F"/>
    <w:rsid w:val="2272DB34"/>
    <w:rsid w:val="22782285"/>
    <w:rsid w:val="2278EDD0"/>
    <w:rsid w:val="2290285C"/>
    <w:rsid w:val="229A2AEB"/>
    <w:rsid w:val="22B67590"/>
    <w:rsid w:val="22B694E0"/>
    <w:rsid w:val="22C87309"/>
    <w:rsid w:val="22D26786"/>
    <w:rsid w:val="22D656FA"/>
    <w:rsid w:val="23089B87"/>
    <w:rsid w:val="23153D53"/>
    <w:rsid w:val="23257650"/>
    <w:rsid w:val="2329A151"/>
    <w:rsid w:val="232C77AA"/>
    <w:rsid w:val="23424C25"/>
    <w:rsid w:val="23541DB6"/>
    <w:rsid w:val="2375FD21"/>
    <w:rsid w:val="23A611AE"/>
    <w:rsid w:val="2408E916"/>
    <w:rsid w:val="24110E75"/>
    <w:rsid w:val="24404FBB"/>
    <w:rsid w:val="244B8EEF"/>
    <w:rsid w:val="2465C777"/>
    <w:rsid w:val="24668B65"/>
    <w:rsid w:val="24C49085"/>
    <w:rsid w:val="24C64079"/>
    <w:rsid w:val="25219362"/>
    <w:rsid w:val="25546DC8"/>
    <w:rsid w:val="2562D1C6"/>
    <w:rsid w:val="2564CB15"/>
    <w:rsid w:val="258A09B3"/>
    <w:rsid w:val="25D55A27"/>
    <w:rsid w:val="267DE782"/>
    <w:rsid w:val="268D8850"/>
    <w:rsid w:val="26B91D0A"/>
    <w:rsid w:val="26F3309E"/>
    <w:rsid w:val="26FDC17D"/>
    <w:rsid w:val="27209E6B"/>
    <w:rsid w:val="27C11B89"/>
    <w:rsid w:val="27CBEB55"/>
    <w:rsid w:val="281C6135"/>
    <w:rsid w:val="282672FD"/>
    <w:rsid w:val="28353B8E"/>
    <w:rsid w:val="284AE7EF"/>
    <w:rsid w:val="2851B373"/>
    <w:rsid w:val="28535D7A"/>
    <w:rsid w:val="2863F559"/>
    <w:rsid w:val="288D00C4"/>
    <w:rsid w:val="289934BE"/>
    <w:rsid w:val="28A2E51F"/>
    <w:rsid w:val="290219F3"/>
    <w:rsid w:val="294C5A0D"/>
    <w:rsid w:val="297A637F"/>
    <w:rsid w:val="29823A31"/>
    <w:rsid w:val="2992A58B"/>
    <w:rsid w:val="299C82DA"/>
    <w:rsid w:val="299F4048"/>
    <w:rsid w:val="29A4861A"/>
    <w:rsid w:val="29B2D1D2"/>
    <w:rsid w:val="29ED1A28"/>
    <w:rsid w:val="2A1943D1"/>
    <w:rsid w:val="2A20A95B"/>
    <w:rsid w:val="2A2C4531"/>
    <w:rsid w:val="2A361F17"/>
    <w:rsid w:val="2A626BE1"/>
    <w:rsid w:val="2A6443E1"/>
    <w:rsid w:val="2AAED85B"/>
    <w:rsid w:val="2ABFEE60"/>
    <w:rsid w:val="2AC157B6"/>
    <w:rsid w:val="2AC20B16"/>
    <w:rsid w:val="2AED1256"/>
    <w:rsid w:val="2AFCAC95"/>
    <w:rsid w:val="2B06FBB2"/>
    <w:rsid w:val="2B0C14BB"/>
    <w:rsid w:val="2B0EEF76"/>
    <w:rsid w:val="2B1C0312"/>
    <w:rsid w:val="2B36610E"/>
    <w:rsid w:val="2B3AE24F"/>
    <w:rsid w:val="2B7431B8"/>
    <w:rsid w:val="2BC7E360"/>
    <w:rsid w:val="2BE1AD71"/>
    <w:rsid w:val="2BE9DCB9"/>
    <w:rsid w:val="2BED0657"/>
    <w:rsid w:val="2BF7FDFB"/>
    <w:rsid w:val="2C1B91C6"/>
    <w:rsid w:val="2C67B7AC"/>
    <w:rsid w:val="2C6C7350"/>
    <w:rsid w:val="2C861AD6"/>
    <w:rsid w:val="2C8745EA"/>
    <w:rsid w:val="2C89820B"/>
    <w:rsid w:val="2C8BE189"/>
    <w:rsid w:val="2C8EB1A8"/>
    <w:rsid w:val="2C917EFE"/>
    <w:rsid w:val="2C936E1B"/>
    <w:rsid w:val="2C979A06"/>
    <w:rsid w:val="2C9F29AD"/>
    <w:rsid w:val="2CA1EB89"/>
    <w:rsid w:val="2CA731C5"/>
    <w:rsid w:val="2CB9337F"/>
    <w:rsid w:val="2CD47EE6"/>
    <w:rsid w:val="2CDAD31D"/>
    <w:rsid w:val="2CFDB3D9"/>
    <w:rsid w:val="2D045EFD"/>
    <w:rsid w:val="2D0A158D"/>
    <w:rsid w:val="2D19224D"/>
    <w:rsid w:val="2D217D3B"/>
    <w:rsid w:val="2D499A47"/>
    <w:rsid w:val="2D54D2A6"/>
    <w:rsid w:val="2D70E65A"/>
    <w:rsid w:val="2D72B919"/>
    <w:rsid w:val="2D954F6D"/>
    <w:rsid w:val="2DA7CBCE"/>
    <w:rsid w:val="2DB53F50"/>
    <w:rsid w:val="2DD899B6"/>
    <w:rsid w:val="2E0A1AB6"/>
    <w:rsid w:val="2E149F38"/>
    <w:rsid w:val="2E1B567A"/>
    <w:rsid w:val="2E86FBA6"/>
    <w:rsid w:val="2E8864F0"/>
    <w:rsid w:val="2E92A248"/>
    <w:rsid w:val="2E93F8C8"/>
    <w:rsid w:val="2E9549C7"/>
    <w:rsid w:val="2EB314A1"/>
    <w:rsid w:val="2EB393CF"/>
    <w:rsid w:val="2ED0F5EC"/>
    <w:rsid w:val="2EEB59C4"/>
    <w:rsid w:val="2F033ECD"/>
    <w:rsid w:val="2F046BD1"/>
    <w:rsid w:val="2F04EFE8"/>
    <w:rsid w:val="2F101A66"/>
    <w:rsid w:val="2F30F04C"/>
    <w:rsid w:val="2F31A196"/>
    <w:rsid w:val="2F354E57"/>
    <w:rsid w:val="2F3C74D6"/>
    <w:rsid w:val="2F4F8013"/>
    <w:rsid w:val="2F7A82EA"/>
    <w:rsid w:val="2FA87CE1"/>
    <w:rsid w:val="2FEB5130"/>
    <w:rsid w:val="300F308F"/>
    <w:rsid w:val="30109B55"/>
    <w:rsid w:val="30510948"/>
    <w:rsid w:val="30573011"/>
    <w:rsid w:val="30686BCE"/>
    <w:rsid w:val="309629A6"/>
    <w:rsid w:val="30A999EB"/>
    <w:rsid w:val="30B01170"/>
    <w:rsid w:val="30B5329E"/>
    <w:rsid w:val="30D09D83"/>
    <w:rsid w:val="30D3EB02"/>
    <w:rsid w:val="30FAC2BE"/>
    <w:rsid w:val="31008146"/>
    <w:rsid w:val="310AE5EA"/>
    <w:rsid w:val="3151966A"/>
    <w:rsid w:val="3171BFBE"/>
    <w:rsid w:val="31B08B92"/>
    <w:rsid w:val="31B39CE6"/>
    <w:rsid w:val="31BFA831"/>
    <w:rsid w:val="31EA7B8B"/>
    <w:rsid w:val="31EA8676"/>
    <w:rsid w:val="3266F0FC"/>
    <w:rsid w:val="32D49C03"/>
    <w:rsid w:val="3302EE2F"/>
    <w:rsid w:val="33150BDA"/>
    <w:rsid w:val="331D6322"/>
    <w:rsid w:val="333D5C57"/>
    <w:rsid w:val="33487A43"/>
    <w:rsid w:val="33521320"/>
    <w:rsid w:val="3375FC9F"/>
    <w:rsid w:val="33CBB446"/>
    <w:rsid w:val="33D440CC"/>
    <w:rsid w:val="34097B8F"/>
    <w:rsid w:val="340D5247"/>
    <w:rsid w:val="3421A74D"/>
    <w:rsid w:val="342D61E7"/>
    <w:rsid w:val="3441AB7B"/>
    <w:rsid w:val="344B26C9"/>
    <w:rsid w:val="3454F7F4"/>
    <w:rsid w:val="34578F8D"/>
    <w:rsid w:val="3481E715"/>
    <w:rsid w:val="348B8E10"/>
    <w:rsid w:val="34E62626"/>
    <w:rsid w:val="34FBED82"/>
    <w:rsid w:val="351E6C09"/>
    <w:rsid w:val="352155C8"/>
    <w:rsid w:val="352289D5"/>
    <w:rsid w:val="35B86D91"/>
    <w:rsid w:val="35B96AD5"/>
    <w:rsid w:val="35D7CE6C"/>
    <w:rsid w:val="364A62C6"/>
    <w:rsid w:val="365169CF"/>
    <w:rsid w:val="3680ECF9"/>
    <w:rsid w:val="36A0741D"/>
    <w:rsid w:val="36B001BE"/>
    <w:rsid w:val="3710E86E"/>
    <w:rsid w:val="37422D69"/>
    <w:rsid w:val="37820A33"/>
    <w:rsid w:val="378A63B8"/>
    <w:rsid w:val="37A97123"/>
    <w:rsid w:val="37DC5620"/>
    <w:rsid w:val="3802B2AF"/>
    <w:rsid w:val="38035A9C"/>
    <w:rsid w:val="3814985D"/>
    <w:rsid w:val="38153113"/>
    <w:rsid w:val="3823C87D"/>
    <w:rsid w:val="38449CB7"/>
    <w:rsid w:val="385BE11C"/>
    <w:rsid w:val="3870EF56"/>
    <w:rsid w:val="387BCE56"/>
    <w:rsid w:val="388377F6"/>
    <w:rsid w:val="38851F8B"/>
    <w:rsid w:val="3899D6A0"/>
    <w:rsid w:val="38A21042"/>
    <w:rsid w:val="38AD43EA"/>
    <w:rsid w:val="38B4E144"/>
    <w:rsid w:val="38B9D192"/>
    <w:rsid w:val="38DC304B"/>
    <w:rsid w:val="390CDAC1"/>
    <w:rsid w:val="39430777"/>
    <w:rsid w:val="3944BE38"/>
    <w:rsid w:val="39670829"/>
    <w:rsid w:val="397B8A0F"/>
    <w:rsid w:val="398CF14A"/>
    <w:rsid w:val="39AD243B"/>
    <w:rsid w:val="39D6FBD0"/>
    <w:rsid w:val="39D9CAEE"/>
    <w:rsid w:val="3A2215A5"/>
    <w:rsid w:val="3A276837"/>
    <w:rsid w:val="3A29DA46"/>
    <w:rsid w:val="3A310CAE"/>
    <w:rsid w:val="3A322C75"/>
    <w:rsid w:val="3A326A2B"/>
    <w:rsid w:val="3A7CB151"/>
    <w:rsid w:val="3A7F4CA9"/>
    <w:rsid w:val="3A9633F5"/>
    <w:rsid w:val="3AB5F597"/>
    <w:rsid w:val="3ABED783"/>
    <w:rsid w:val="3AF3FDA4"/>
    <w:rsid w:val="3AFE54F0"/>
    <w:rsid w:val="3B29B2FE"/>
    <w:rsid w:val="3BE362C9"/>
    <w:rsid w:val="3C251E23"/>
    <w:rsid w:val="3C34B7E8"/>
    <w:rsid w:val="3C46CC77"/>
    <w:rsid w:val="3C5A7AE9"/>
    <w:rsid w:val="3C5C9EBB"/>
    <w:rsid w:val="3C88E2C5"/>
    <w:rsid w:val="3C99B87D"/>
    <w:rsid w:val="3D2EEDA5"/>
    <w:rsid w:val="3D451D5E"/>
    <w:rsid w:val="3D47ACB6"/>
    <w:rsid w:val="3D922D53"/>
    <w:rsid w:val="3D925D3C"/>
    <w:rsid w:val="3DDD6CC3"/>
    <w:rsid w:val="3DDFD248"/>
    <w:rsid w:val="3DEEFC06"/>
    <w:rsid w:val="3E3F1D4B"/>
    <w:rsid w:val="3E504A00"/>
    <w:rsid w:val="3E6503BF"/>
    <w:rsid w:val="3E75DC10"/>
    <w:rsid w:val="3E7D8746"/>
    <w:rsid w:val="3E85E7E8"/>
    <w:rsid w:val="3EB62100"/>
    <w:rsid w:val="3F046012"/>
    <w:rsid w:val="3F26D040"/>
    <w:rsid w:val="3F49CB26"/>
    <w:rsid w:val="3F667090"/>
    <w:rsid w:val="3F69CA83"/>
    <w:rsid w:val="4007674F"/>
    <w:rsid w:val="403ECFC5"/>
    <w:rsid w:val="407768D6"/>
    <w:rsid w:val="4088D871"/>
    <w:rsid w:val="40BACD6E"/>
    <w:rsid w:val="40CA7014"/>
    <w:rsid w:val="40CD7ABD"/>
    <w:rsid w:val="40DF6212"/>
    <w:rsid w:val="4122AB75"/>
    <w:rsid w:val="4125E42F"/>
    <w:rsid w:val="416A1E95"/>
    <w:rsid w:val="4182AE7A"/>
    <w:rsid w:val="41A7F913"/>
    <w:rsid w:val="41A7FB38"/>
    <w:rsid w:val="41E196F5"/>
    <w:rsid w:val="41E61C2B"/>
    <w:rsid w:val="41E8903C"/>
    <w:rsid w:val="4216B3CE"/>
    <w:rsid w:val="42471A61"/>
    <w:rsid w:val="42610C8A"/>
    <w:rsid w:val="42881105"/>
    <w:rsid w:val="42D0C214"/>
    <w:rsid w:val="42D0DFBB"/>
    <w:rsid w:val="42E3CE45"/>
    <w:rsid w:val="42ED4797"/>
    <w:rsid w:val="42F22627"/>
    <w:rsid w:val="4316DDA6"/>
    <w:rsid w:val="43280E1C"/>
    <w:rsid w:val="4335E1D0"/>
    <w:rsid w:val="4341824D"/>
    <w:rsid w:val="437826F0"/>
    <w:rsid w:val="43BE1BC7"/>
    <w:rsid w:val="43F25432"/>
    <w:rsid w:val="441152E4"/>
    <w:rsid w:val="4445C344"/>
    <w:rsid w:val="445E5AFB"/>
    <w:rsid w:val="44946560"/>
    <w:rsid w:val="44A58465"/>
    <w:rsid w:val="44C3E064"/>
    <w:rsid w:val="44C6959D"/>
    <w:rsid w:val="44C6AF27"/>
    <w:rsid w:val="44F23866"/>
    <w:rsid w:val="4517EE07"/>
    <w:rsid w:val="4522B020"/>
    <w:rsid w:val="45369163"/>
    <w:rsid w:val="458B31A0"/>
    <w:rsid w:val="459FE756"/>
    <w:rsid w:val="45DD4C6D"/>
    <w:rsid w:val="45EF9C50"/>
    <w:rsid w:val="46183950"/>
    <w:rsid w:val="4627B29D"/>
    <w:rsid w:val="462A52F2"/>
    <w:rsid w:val="463FE219"/>
    <w:rsid w:val="4686F696"/>
    <w:rsid w:val="46CD3A14"/>
    <w:rsid w:val="46D2E1CE"/>
    <w:rsid w:val="46E6C49C"/>
    <w:rsid w:val="46F9FBE2"/>
    <w:rsid w:val="4719E75E"/>
    <w:rsid w:val="47410056"/>
    <w:rsid w:val="474BE91A"/>
    <w:rsid w:val="47A4CD27"/>
    <w:rsid w:val="47AB5A29"/>
    <w:rsid w:val="47E95EF1"/>
    <w:rsid w:val="48546E86"/>
    <w:rsid w:val="48B684C7"/>
    <w:rsid w:val="48CC9600"/>
    <w:rsid w:val="48E410BA"/>
    <w:rsid w:val="4901EAAE"/>
    <w:rsid w:val="4938FA0E"/>
    <w:rsid w:val="493E5004"/>
    <w:rsid w:val="497F176C"/>
    <w:rsid w:val="498059C4"/>
    <w:rsid w:val="498C50DF"/>
    <w:rsid w:val="49D48A0A"/>
    <w:rsid w:val="49EBB275"/>
    <w:rsid w:val="4A04B531"/>
    <w:rsid w:val="4A1B46E0"/>
    <w:rsid w:val="4A277C1D"/>
    <w:rsid w:val="4A971632"/>
    <w:rsid w:val="4A97CC31"/>
    <w:rsid w:val="4A9C4BD8"/>
    <w:rsid w:val="4A9CFDAA"/>
    <w:rsid w:val="4ABB0354"/>
    <w:rsid w:val="4AC405C7"/>
    <w:rsid w:val="4B109AB5"/>
    <w:rsid w:val="4B26CFF6"/>
    <w:rsid w:val="4B610D12"/>
    <w:rsid w:val="4B7978B3"/>
    <w:rsid w:val="4B7F1917"/>
    <w:rsid w:val="4B82EF69"/>
    <w:rsid w:val="4B8B00A2"/>
    <w:rsid w:val="4BA1365F"/>
    <w:rsid w:val="4BC2B241"/>
    <w:rsid w:val="4BE88E53"/>
    <w:rsid w:val="4BED809A"/>
    <w:rsid w:val="4C1AF0F0"/>
    <w:rsid w:val="4C23AABC"/>
    <w:rsid w:val="4C278BF1"/>
    <w:rsid w:val="4C2F5EFE"/>
    <w:rsid w:val="4C377CE3"/>
    <w:rsid w:val="4C573823"/>
    <w:rsid w:val="4C7101ED"/>
    <w:rsid w:val="4C891114"/>
    <w:rsid w:val="4CC46D2B"/>
    <w:rsid w:val="4CC701B1"/>
    <w:rsid w:val="4CC9923F"/>
    <w:rsid w:val="4CCA4789"/>
    <w:rsid w:val="4CD2E00F"/>
    <w:rsid w:val="4CE08D51"/>
    <w:rsid w:val="4CFE63E4"/>
    <w:rsid w:val="4D1C948C"/>
    <w:rsid w:val="4D1FDBC7"/>
    <w:rsid w:val="4D444E49"/>
    <w:rsid w:val="4D79A82A"/>
    <w:rsid w:val="4D84207B"/>
    <w:rsid w:val="4DB1E270"/>
    <w:rsid w:val="4DD17D0F"/>
    <w:rsid w:val="4DDCB83B"/>
    <w:rsid w:val="4DE27766"/>
    <w:rsid w:val="4DE5D1AA"/>
    <w:rsid w:val="4DF90103"/>
    <w:rsid w:val="4E23F2A7"/>
    <w:rsid w:val="4E3DD065"/>
    <w:rsid w:val="4E4B7614"/>
    <w:rsid w:val="4E4C7410"/>
    <w:rsid w:val="4E59DF0F"/>
    <w:rsid w:val="4EAFC02B"/>
    <w:rsid w:val="4EB7F471"/>
    <w:rsid w:val="4EBBB484"/>
    <w:rsid w:val="4ECC38FC"/>
    <w:rsid w:val="4F16DBE3"/>
    <w:rsid w:val="4F48D860"/>
    <w:rsid w:val="4F55A7AE"/>
    <w:rsid w:val="4F731034"/>
    <w:rsid w:val="4F7808F9"/>
    <w:rsid w:val="4F95C867"/>
    <w:rsid w:val="4FB41373"/>
    <w:rsid w:val="4FB84FBE"/>
    <w:rsid w:val="4FE3C327"/>
    <w:rsid w:val="500733B6"/>
    <w:rsid w:val="501E6A73"/>
    <w:rsid w:val="5024DF1E"/>
    <w:rsid w:val="50E51299"/>
    <w:rsid w:val="512500D2"/>
    <w:rsid w:val="512F0162"/>
    <w:rsid w:val="517B01E7"/>
    <w:rsid w:val="5185D64F"/>
    <w:rsid w:val="51B17B04"/>
    <w:rsid w:val="51B3D969"/>
    <w:rsid w:val="51BE3538"/>
    <w:rsid w:val="51DB1370"/>
    <w:rsid w:val="51DDF91C"/>
    <w:rsid w:val="51DF9D6C"/>
    <w:rsid w:val="52337480"/>
    <w:rsid w:val="523678E3"/>
    <w:rsid w:val="528E512C"/>
    <w:rsid w:val="52D62332"/>
    <w:rsid w:val="52F09C12"/>
    <w:rsid w:val="536F76EE"/>
    <w:rsid w:val="537A53C9"/>
    <w:rsid w:val="53880AD3"/>
    <w:rsid w:val="53A7D469"/>
    <w:rsid w:val="53C44819"/>
    <w:rsid w:val="53F0C8C3"/>
    <w:rsid w:val="5414AB76"/>
    <w:rsid w:val="5419957F"/>
    <w:rsid w:val="541E5714"/>
    <w:rsid w:val="542A9D05"/>
    <w:rsid w:val="5468998E"/>
    <w:rsid w:val="5496F946"/>
    <w:rsid w:val="54C9A291"/>
    <w:rsid w:val="54F5A5E2"/>
    <w:rsid w:val="54FBC57A"/>
    <w:rsid w:val="5510BEFB"/>
    <w:rsid w:val="551E9C57"/>
    <w:rsid w:val="55368C13"/>
    <w:rsid w:val="55636E22"/>
    <w:rsid w:val="5589C756"/>
    <w:rsid w:val="559D06AC"/>
    <w:rsid w:val="55A2A972"/>
    <w:rsid w:val="55D4C8CA"/>
    <w:rsid w:val="55DF540B"/>
    <w:rsid w:val="560DB6A3"/>
    <w:rsid w:val="5630B48C"/>
    <w:rsid w:val="563C8D25"/>
    <w:rsid w:val="564EE035"/>
    <w:rsid w:val="566E7BCE"/>
    <w:rsid w:val="56E4971B"/>
    <w:rsid w:val="56FEB11E"/>
    <w:rsid w:val="57127865"/>
    <w:rsid w:val="572D8CCD"/>
    <w:rsid w:val="5749BB1B"/>
    <w:rsid w:val="5751D4E5"/>
    <w:rsid w:val="57537104"/>
    <w:rsid w:val="57602987"/>
    <w:rsid w:val="5770545F"/>
    <w:rsid w:val="5782A310"/>
    <w:rsid w:val="5796B3C8"/>
    <w:rsid w:val="57B6435B"/>
    <w:rsid w:val="57C93BCB"/>
    <w:rsid w:val="580C5CAC"/>
    <w:rsid w:val="58114A7B"/>
    <w:rsid w:val="581388D7"/>
    <w:rsid w:val="581980D8"/>
    <w:rsid w:val="58406440"/>
    <w:rsid w:val="58523037"/>
    <w:rsid w:val="585C4F0C"/>
    <w:rsid w:val="586A80FF"/>
    <w:rsid w:val="588D618E"/>
    <w:rsid w:val="58FA15EE"/>
    <w:rsid w:val="58FB5628"/>
    <w:rsid w:val="5937226F"/>
    <w:rsid w:val="59463B3D"/>
    <w:rsid w:val="596AD20E"/>
    <w:rsid w:val="5974EB55"/>
    <w:rsid w:val="5988B2A8"/>
    <w:rsid w:val="598D3E81"/>
    <w:rsid w:val="59CBFA1E"/>
    <w:rsid w:val="59CDF1B5"/>
    <w:rsid w:val="59E44DDD"/>
    <w:rsid w:val="5A13561D"/>
    <w:rsid w:val="5A2D4F7F"/>
    <w:rsid w:val="5A2FE118"/>
    <w:rsid w:val="5A3A0B09"/>
    <w:rsid w:val="5A3F24FB"/>
    <w:rsid w:val="5A5D065C"/>
    <w:rsid w:val="5AAA4D38"/>
    <w:rsid w:val="5AC5F9DF"/>
    <w:rsid w:val="5ACCF61B"/>
    <w:rsid w:val="5AD37189"/>
    <w:rsid w:val="5ADF9E80"/>
    <w:rsid w:val="5B163633"/>
    <w:rsid w:val="5B21BB0B"/>
    <w:rsid w:val="5B3D6F54"/>
    <w:rsid w:val="5B42A2C6"/>
    <w:rsid w:val="5B452EA5"/>
    <w:rsid w:val="5B45A84B"/>
    <w:rsid w:val="5B4EDAD6"/>
    <w:rsid w:val="5B649C14"/>
    <w:rsid w:val="5C21F628"/>
    <w:rsid w:val="5C3CC041"/>
    <w:rsid w:val="5C3EF40C"/>
    <w:rsid w:val="5C3FB53E"/>
    <w:rsid w:val="5C4462CA"/>
    <w:rsid w:val="5C4CF900"/>
    <w:rsid w:val="5C772FB4"/>
    <w:rsid w:val="5C7752AA"/>
    <w:rsid w:val="5C85B77F"/>
    <w:rsid w:val="5C9DBB7C"/>
    <w:rsid w:val="5CB0FD9D"/>
    <w:rsid w:val="5CF5E3B9"/>
    <w:rsid w:val="5CF86BE7"/>
    <w:rsid w:val="5CF9EAF7"/>
    <w:rsid w:val="5D069110"/>
    <w:rsid w:val="5D13E244"/>
    <w:rsid w:val="5D48CE3D"/>
    <w:rsid w:val="5D58BC95"/>
    <w:rsid w:val="5D5A648F"/>
    <w:rsid w:val="5D67154A"/>
    <w:rsid w:val="5D672D63"/>
    <w:rsid w:val="5D683686"/>
    <w:rsid w:val="5D97DB66"/>
    <w:rsid w:val="5DBBABC1"/>
    <w:rsid w:val="5DC0C386"/>
    <w:rsid w:val="5DCD757D"/>
    <w:rsid w:val="5DFD5B00"/>
    <w:rsid w:val="5E460B93"/>
    <w:rsid w:val="5E58DFD8"/>
    <w:rsid w:val="5E5A3F6A"/>
    <w:rsid w:val="5E60FEF7"/>
    <w:rsid w:val="5E692A95"/>
    <w:rsid w:val="5E7AC789"/>
    <w:rsid w:val="5E85013E"/>
    <w:rsid w:val="5E96ADBA"/>
    <w:rsid w:val="5E9BFE78"/>
    <w:rsid w:val="5EC4CC2D"/>
    <w:rsid w:val="5ED56D04"/>
    <w:rsid w:val="5EF4668D"/>
    <w:rsid w:val="5EF706F3"/>
    <w:rsid w:val="5EFB1EED"/>
    <w:rsid w:val="5F00953A"/>
    <w:rsid w:val="5F13CD40"/>
    <w:rsid w:val="5F249CF4"/>
    <w:rsid w:val="5F2E365D"/>
    <w:rsid w:val="5F3374B2"/>
    <w:rsid w:val="5F3E844C"/>
    <w:rsid w:val="5F4E57AC"/>
    <w:rsid w:val="5F811BEE"/>
    <w:rsid w:val="5F8EC6FF"/>
    <w:rsid w:val="5FACEE9D"/>
    <w:rsid w:val="5FD92F29"/>
    <w:rsid w:val="5FE752D7"/>
    <w:rsid w:val="60169C19"/>
    <w:rsid w:val="6016C8A7"/>
    <w:rsid w:val="6044A6F4"/>
    <w:rsid w:val="604AC58E"/>
    <w:rsid w:val="60789641"/>
    <w:rsid w:val="60B351D4"/>
    <w:rsid w:val="60C49D4B"/>
    <w:rsid w:val="60C93291"/>
    <w:rsid w:val="60D0E0F4"/>
    <w:rsid w:val="60DBD1C5"/>
    <w:rsid w:val="610503C9"/>
    <w:rsid w:val="6133D27A"/>
    <w:rsid w:val="6166E2AA"/>
    <w:rsid w:val="61872DBB"/>
    <w:rsid w:val="61BCBA72"/>
    <w:rsid w:val="61FE91D1"/>
    <w:rsid w:val="62314664"/>
    <w:rsid w:val="623CC507"/>
    <w:rsid w:val="623E4151"/>
    <w:rsid w:val="62508FA7"/>
    <w:rsid w:val="626DBD37"/>
    <w:rsid w:val="628853B7"/>
    <w:rsid w:val="62BF0BC6"/>
    <w:rsid w:val="62C1F063"/>
    <w:rsid w:val="62D83508"/>
    <w:rsid w:val="62D8F338"/>
    <w:rsid w:val="62E935B5"/>
    <w:rsid w:val="634AC2E7"/>
    <w:rsid w:val="637763D8"/>
    <w:rsid w:val="638E1197"/>
    <w:rsid w:val="63AF28B2"/>
    <w:rsid w:val="63BB7B53"/>
    <w:rsid w:val="63C73770"/>
    <w:rsid w:val="64378E9C"/>
    <w:rsid w:val="643C61C0"/>
    <w:rsid w:val="64446F98"/>
    <w:rsid w:val="646F54F6"/>
    <w:rsid w:val="64A947C1"/>
    <w:rsid w:val="64CB2F04"/>
    <w:rsid w:val="64DA3252"/>
    <w:rsid w:val="64E2A93C"/>
    <w:rsid w:val="64E42F90"/>
    <w:rsid w:val="64EEE143"/>
    <w:rsid w:val="651BC633"/>
    <w:rsid w:val="65309A45"/>
    <w:rsid w:val="655A1FDE"/>
    <w:rsid w:val="6567D06E"/>
    <w:rsid w:val="65E25669"/>
    <w:rsid w:val="65F82011"/>
    <w:rsid w:val="663F8C22"/>
    <w:rsid w:val="66452DDC"/>
    <w:rsid w:val="665EAE9F"/>
    <w:rsid w:val="6677FF70"/>
    <w:rsid w:val="66BB421C"/>
    <w:rsid w:val="66CFA2F1"/>
    <w:rsid w:val="6708FCE9"/>
    <w:rsid w:val="6712C92A"/>
    <w:rsid w:val="6717D83F"/>
    <w:rsid w:val="6735B154"/>
    <w:rsid w:val="67391DF6"/>
    <w:rsid w:val="67544D24"/>
    <w:rsid w:val="6757FA43"/>
    <w:rsid w:val="676FAA77"/>
    <w:rsid w:val="677A3853"/>
    <w:rsid w:val="6793F545"/>
    <w:rsid w:val="67C982D9"/>
    <w:rsid w:val="67D10299"/>
    <w:rsid w:val="67D33315"/>
    <w:rsid w:val="67D76053"/>
    <w:rsid w:val="67FA9977"/>
    <w:rsid w:val="680C2726"/>
    <w:rsid w:val="681619F2"/>
    <w:rsid w:val="685B9DC8"/>
    <w:rsid w:val="686C245F"/>
    <w:rsid w:val="687F666A"/>
    <w:rsid w:val="688A3A4B"/>
    <w:rsid w:val="68A4FAF4"/>
    <w:rsid w:val="68A9B6C2"/>
    <w:rsid w:val="68C7D7CE"/>
    <w:rsid w:val="69244B0D"/>
    <w:rsid w:val="696B132C"/>
    <w:rsid w:val="697811B7"/>
    <w:rsid w:val="69BA2F5E"/>
    <w:rsid w:val="69DD43AC"/>
    <w:rsid w:val="69F46520"/>
    <w:rsid w:val="69F7F89A"/>
    <w:rsid w:val="6A0C9E69"/>
    <w:rsid w:val="6A338431"/>
    <w:rsid w:val="6A51E942"/>
    <w:rsid w:val="6A534FAD"/>
    <w:rsid w:val="6A6083E6"/>
    <w:rsid w:val="6A81F702"/>
    <w:rsid w:val="6A9FD44C"/>
    <w:rsid w:val="6AAFBF7C"/>
    <w:rsid w:val="6AB97CA7"/>
    <w:rsid w:val="6AC390DB"/>
    <w:rsid w:val="6AC6383D"/>
    <w:rsid w:val="6AE2A2DA"/>
    <w:rsid w:val="6AE3C634"/>
    <w:rsid w:val="6AE76DB0"/>
    <w:rsid w:val="6B05935A"/>
    <w:rsid w:val="6B070DCB"/>
    <w:rsid w:val="6B173916"/>
    <w:rsid w:val="6B29916D"/>
    <w:rsid w:val="6B3E7C56"/>
    <w:rsid w:val="6B59C0C2"/>
    <w:rsid w:val="6B89EE2C"/>
    <w:rsid w:val="6BA58099"/>
    <w:rsid w:val="6BC31419"/>
    <w:rsid w:val="6BC4AD61"/>
    <w:rsid w:val="6BCB8E7C"/>
    <w:rsid w:val="6BD9164A"/>
    <w:rsid w:val="6BE6FC5F"/>
    <w:rsid w:val="6BFE86D9"/>
    <w:rsid w:val="6C1C126A"/>
    <w:rsid w:val="6C3DF8D1"/>
    <w:rsid w:val="6C567987"/>
    <w:rsid w:val="6C7C3017"/>
    <w:rsid w:val="6CA4264E"/>
    <w:rsid w:val="6CA7E53E"/>
    <w:rsid w:val="6CCD1BCE"/>
    <w:rsid w:val="6CD13B9C"/>
    <w:rsid w:val="6CD60256"/>
    <w:rsid w:val="6CD72F99"/>
    <w:rsid w:val="6CE1877B"/>
    <w:rsid w:val="6CF2CEB2"/>
    <w:rsid w:val="6D378DEF"/>
    <w:rsid w:val="6D3E0D8A"/>
    <w:rsid w:val="6D3EDD55"/>
    <w:rsid w:val="6D455469"/>
    <w:rsid w:val="6D4BAB36"/>
    <w:rsid w:val="6D5A9CCF"/>
    <w:rsid w:val="6D999CF3"/>
    <w:rsid w:val="6DC078F3"/>
    <w:rsid w:val="6E2369A6"/>
    <w:rsid w:val="6EC2852F"/>
    <w:rsid w:val="6EC5FE05"/>
    <w:rsid w:val="6EE04E72"/>
    <w:rsid w:val="6EE7A24A"/>
    <w:rsid w:val="6F210354"/>
    <w:rsid w:val="6F38766A"/>
    <w:rsid w:val="6F74CDB3"/>
    <w:rsid w:val="6F840907"/>
    <w:rsid w:val="6F9DAC7F"/>
    <w:rsid w:val="6FAF7056"/>
    <w:rsid w:val="6FC05AC6"/>
    <w:rsid w:val="6FF19716"/>
    <w:rsid w:val="70066B69"/>
    <w:rsid w:val="700B97A4"/>
    <w:rsid w:val="7025FCD1"/>
    <w:rsid w:val="70269EE3"/>
    <w:rsid w:val="7094BDCA"/>
    <w:rsid w:val="70BDA0B3"/>
    <w:rsid w:val="70D43A54"/>
    <w:rsid w:val="70EBAEF9"/>
    <w:rsid w:val="70EF655F"/>
    <w:rsid w:val="711727B3"/>
    <w:rsid w:val="71256E8E"/>
    <w:rsid w:val="71399A88"/>
    <w:rsid w:val="714A7237"/>
    <w:rsid w:val="7173DDA3"/>
    <w:rsid w:val="719F38D6"/>
    <w:rsid w:val="71C723B0"/>
    <w:rsid w:val="71E423C3"/>
    <w:rsid w:val="71F99568"/>
    <w:rsid w:val="720B1938"/>
    <w:rsid w:val="721AE2DA"/>
    <w:rsid w:val="72238261"/>
    <w:rsid w:val="72297CB6"/>
    <w:rsid w:val="72A9B08C"/>
    <w:rsid w:val="72B1941B"/>
    <w:rsid w:val="72C1FA9C"/>
    <w:rsid w:val="72E72D1F"/>
    <w:rsid w:val="732D8302"/>
    <w:rsid w:val="7346A988"/>
    <w:rsid w:val="73956B20"/>
    <w:rsid w:val="73AF538A"/>
    <w:rsid w:val="73F510EC"/>
    <w:rsid w:val="74243535"/>
    <w:rsid w:val="7428B54D"/>
    <w:rsid w:val="742BCC81"/>
    <w:rsid w:val="743A0EA6"/>
    <w:rsid w:val="747BED5F"/>
    <w:rsid w:val="74861A2E"/>
    <w:rsid w:val="748E9BA4"/>
    <w:rsid w:val="74928D84"/>
    <w:rsid w:val="74F11C66"/>
    <w:rsid w:val="74F96864"/>
    <w:rsid w:val="751693F0"/>
    <w:rsid w:val="753068EB"/>
    <w:rsid w:val="7542E2D0"/>
    <w:rsid w:val="75675451"/>
    <w:rsid w:val="756EF360"/>
    <w:rsid w:val="75A1E332"/>
    <w:rsid w:val="75B010B1"/>
    <w:rsid w:val="75C1E51C"/>
    <w:rsid w:val="75DE187F"/>
    <w:rsid w:val="75E03EBB"/>
    <w:rsid w:val="76426042"/>
    <w:rsid w:val="76535E08"/>
    <w:rsid w:val="767ED796"/>
    <w:rsid w:val="7682BEAE"/>
    <w:rsid w:val="76A98313"/>
    <w:rsid w:val="76C08C68"/>
    <w:rsid w:val="76D17806"/>
    <w:rsid w:val="771687EC"/>
    <w:rsid w:val="771A4896"/>
    <w:rsid w:val="771A78A3"/>
    <w:rsid w:val="77556476"/>
    <w:rsid w:val="775FFC95"/>
    <w:rsid w:val="776F01D9"/>
    <w:rsid w:val="777E321D"/>
    <w:rsid w:val="7784CE99"/>
    <w:rsid w:val="778B32C5"/>
    <w:rsid w:val="778F5E2C"/>
    <w:rsid w:val="77B3CA5A"/>
    <w:rsid w:val="77BF8037"/>
    <w:rsid w:val="77CC84C5"/>
    <w:rsid w:val="7822BEDF"/>
    <w:rsid w:val="782F9D62"/>
    <w:rsid w:val="784D0030"/>
    <w:rsid w:val="78556367"/>
    <w:rsid w:val="788607CC"/>
    <w:rsid w:val="7887F148"/>
    <w:rsid w:val="78CD97D6"/>
    <w:rsid w:val="78FA5AD1"/>
    <w:rsid w:val="790DF087"/>
    <w:rsid w:val="79248766"/>
    <w:rsid w:val="792F6862"/>
    <w:rsid w:val="79425AB5"/>
    <w:rsid w:val="79486E1D"/>
    <w:rsid w:val="7974A52D"/>
    <w:rsid w:val="79EDD1AD"/>
    <w:rsid w:val="7A0850FE"/>
    <w:rsid w:val="7A08A2A8"/>
    <w:rsid w:val="7A0C23D3"/>
    <w:rsid w:val="7A32D046"/>
    <w:rsid w:val="7A7D1C1F"/>
    <w:rsid w:val="7A9165B8"/>
    <w:rsid w:val="7A9F2991"/>
    <w:rsid w:val="7AB69143"/>
    <w:rsid w:val="7AE479AB"/>
    <w:rsid w:val="7AFFD70D"/>
    <w:rsid w:val="7B0AAED4"/>
    <w:rsid w:val="7B31DEA5"/>
    <w:rsid w:val="7B3E1617"/>
    <w:rsid w:val="7B4E5CD5"/>
    <w:rsid w:val="7BD177F9"/>
    <w:rsid w:val="7BE0B642"/>
    <w:rsid w:val="7BEB4FAA"/>
    <w:rsid w:val="7BEDCFC3"/>
    <w:rsid w:val="7BFA2D21"/>
    <w:rsid w:val="7C1642B0"/>
    <w:rsid w:val="7C172BC6"/>
    <w:rsid w:val="7C9F4B40"/>
    <w:rsid w:val="7CA81B17"/>
    <w:rsid w:val="7CA86AEB"/>
    <w:rsid w:val="7CB46B58"/>
    <w:rsid w:val="7CDB0715"/>
    <w:rsid w:val="7CDC03C5"/>
    <w:rsid w:val="7D084EA7"/>
    <w:rsid w:val="7D33E158"/>
    <w:rsid w:val="7D482E5B"/>
    <w:rsid w:val="7D4FFA2A"/>
    <w:rsid w:val="7D536038"/>
    <w:rsid w:val="7DA5564D"/>
    <w:rsid w:val="7DB67740"/>
    <w:rsid w:val="7DCCEC98"/>
    <w:rsid w:val="7DD407BB"/>
    <w:rsid w:val="7DD5F3BE"/>
    <w:rsid w:val="7DDFF397"/>
    <w:rsid w:val="7DE3A35B"/>
    <w:rsid w:val="7DEACB59"/>
    <w:rsid w:val="7DEC3AE8"/>
    <w:rsid w:val="7DF5888A"/>
    <w:rsid w:val="7DFD9E3C"/>
    <w:rsid w:val="7E0252DF"/>
    <w:rsid w:val="7E37B1B3"/>
    <w:rsid w:val="7E4C2C4C"/>
    <w:rsid w:val="7E693ACD"/>
    <w:rsid w:val="7ECBEB83"/>
    <w:rsid w:val="7EF65EDB"/>
    <w:rsid w:val="7F3D0D63"/>
    <w:rsid w:val="7F45DEDA"/>
    <w:rsid w:val="7F4FDBB9"/>
    <w:rsid w:val="7F528D7F"/>
    <w:rsid w:val="7F5799EA"/>
    <w:rsid w:val="7F5E69EB"/>
    <w:rsid w:val="7F61BC4C"/>
    <w:rsid w:val="7F9D24F6"/>
    <w:rsid w:val="7FC77258"/>
    <w:rsid w:val="7FE0B840"/>
    <w:rsid w:val="7FF231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9EBA78"/>
  <w15:chartTrackingRefBased/>
  <w15:docId w15:val="{3B64E085-CBBE-4131-9D5C-B74F34F1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68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FC468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FC4685"/>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FC468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C468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C468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C468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C468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46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FC4685"/>
    <w:rPr>
      <w:b/>
      <w:bCs/>
      <w:i/>
      <w:iCs/>
      <w:spacing w:val="5"/>
    </w:rPr>
  </w:style>
  <w:style w:type="paragraph" w:styleId="Caption">
    <w:name w:val="caption"/>
    <w:basedOn w:val="Normal"/>
    <w:next w:val="Normal"/>
    <w:uiPriority w:val="35"/>
    <w:semiHidden/>
    <w:unhideWhenUsed/>
    <w:qFormat/>
    <w:rsid w:val="00FC4685"/>
    <w:pPr>
      <w:spacing w:after="200" w:line="240" w:lineRule="auto"/>
    </w:pPr>
    <w:rPr>
      <w:i/>
      <w:iCs/>
      <w:color w:val="0E2841" w:themeColor="text2"/>
      <w:sz w:val="18"/>
      <w:szCs w:val="18"/>
    </w:rPr>
  </w:style>
  <w:style w:type="character" w:styleId="Emphasis">
    <w:name w:val="Emphasis"/>
    <w:basedOn w:val="DefaultParagraphFont"/>
    <w:uiPriority w:val="20"/>
    <w:qFormat/>
    <w:rsid w:val="00FC4685"/>
    <w:rPr>
      <w:i/>
      <w:iCs/>
    </w:rPr>
  </w:style>
  <w:style w:type="character" w:customStyle="1" w:styleId="Heading1Char">
    <w:name w:val="Heading 1 Char"/>
    <w:basedOn w:val="DefaultParagraphFont"/>
    <w:link w:val="Heading1"/>
    <w:uiPriority w:val="9"/>
    <w:rsid w:val="00FC4685"/>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FC468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FC4685"/>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FC4685"/>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FC468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FC468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FC468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C46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C468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C4685"/>
    <w:rPr>
      <w:i/>
      <w:iCs/>
      <w:color w:val="156082" w:themeColor="accent1"/>
    </w:rPr>
  </w:style>
  <w:style w:type="paragraph" w:styleId="IntenseQuote">
    <w:name w:val="Intense Quote"/>
    <w:basedOn w:val="Normal"/>
    <w:next w:val="Normal"/>
    <w:link w:val="IntenseQuoteChar"/>
    <w:uiPriority w:val="30"/>
    <w:qFormat/>
    <w:rsid w:val="00FC468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C4685"/>
    <w:rPr>
      <w:i/>
      <w:iCs/>
      <w:color w:val="156082" w:themeColor="accent1"/>
    </w:rPr>
  </w:style>
  <w:style w:type="character" w:styleId="IntenseReference">
    <w:name w:val="Intense Reference"/>
    <w:basedOn w:val="DefaultParagraphFont"/>
    <w:uiPriority w:val="32"/>
    <w:qFormat/>
    <w:rsid w:val="00FC4685"/>
    <w:rPr>
      <w:b/>
      <w:bCs/>
      <w:smallCaps/>
      <w:color w:val="156082" w:themeColor="accent1"/>
      <w:spacing w:val="5"/>
    </w:rPr>
  </w:style>
  <w:style w:type="paragraph" w:styleId="ListParagraph">
    <w:name w:val="List Paragraph"/>
    <w:basedOn w:val="Normal"/>
    <w:uiPriority w:val="34"/>
    <w:qFormat/>
    <w:rsid w:val="00FC4685"/>
    <w:pPr>
      <w:ind w:left="720"/>
      <w:contextualSpacing/>
    </w:pPr>
  </w:style>
  <w:style w:type="paragraph" w:styleId="NoSpacing">
    <w:name w:val="No Spacing"/>
    <w:uiPriority w:val="1"/>
    <w:qFormat/>
    <w:rsid w:val="00FC4685"/>
    <w:pPr>
      <w:spacing w:after="0" w:line="240" w:lineRule="auto"/>
    </w:pPr>
  </w:style>
  <w:style w:type="paragraph" w:styleId="Quote">
    <w:name w:val="Quote"/>
    <w:basedOn w:val="Normal"/>
    <w:next w:val="Normal"/>
    <w:link w:val="QuoteChar"/>
    <w:uiPriority w:val="29"/>
    <w:qFormat/>
    <w:rsid w:val="00FC468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C4685"/>
    <w:rPr>
      <w:i/>
      <w:iCs/>
      <w:color w:val="404040" w:themeColor="text1" w:themeTint="BF"/>
    </w:rPr>
  </w:style>
  <w:style w:type="character" w:styleId="Strong">
    <w:name w:val="Strong"/>
    <w:basedOn w:val="DefaultParagraphFont"/>
    <w:uiPriority w:val="22"/>
    <w:qFormat/>
    <w:rsid w:val="00FC4685"/>
    <w:rPr>
      <w:b/>
      <w:bCs/>
    </w:rPr>
  </w:style>
  <w:style w:type="paragraph" w:styleId="Subtitle">
    <w:name w:val="Subtitle"/>
    <w:basedOn w:val="Normal"/>
    <w:next w:val="Normal"/>
    <w:link w:val="SubtitleChar"/>
    <w:uiPriority w:val="11"/>
    <w:qFormat/>
    <w:rsid w:val="00FC4685"/>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FC4685"/>
    <w:rPr>
      <w:color w:val="5A5A5A" w:themeColor="text1" w:themeTint="A5"/>
      <w:spacing w:val="15"/>
      <w:sz w:val="22"/>
      <w:szCs w:val="22"/>
    </w:rPr>
  </w:style>
  <w:style w:type="character" w:styleId="SubtleEmphasis">
    <w:name w:val="Subtle Emphasis"/>
    <w:basedOn w:val="DefaultParagraphFont"/>
    <w:uiPriority w:val="19"/>
    <w:qFormat/>
    <w:rsid w:val="00FC4685"/>
    <w:rPr>
      <w:i/>
      <w:iCs/>
      <w:color w:val="404040" w:themeColor="text1" w:themeTint="BF"/>
    </w:rPr>
  </w:style>
  <w:style w:type="character" w:styleId="SubtleReference">
    <w:name w:val="Subtle Reference"/>
    <w:basedOn w:val="DefaultParagraphFont"/>
    <w:uiPriority w:val="31"/>
    <w:qFormat/>
    <w:rsid w:val="00FC4685"/>
    <w:rPr>
      <w:smallCaps/>
      <w:color w:val="5A5A5A" w:themeColor="text1" w:themeTint="A5"/>
    </w:rPr>
  </w:style>
  <w:style w:type="paragraph" w:styleId="Title">
    <w:name w:val="Title"/>
    <w:basedOn w:val="Normal"/>
    <w:next w:val="Normal"/>
    <w:link w:val="TitleChar"/>
    <w:uiPriority w:val="10"/>
    <w:qFormat/>
    <w:rsid w:val="00FC4685"/>
    <w:pPr>
      <w:spacing w:after="0" w:line="640" w:lineRule="atLeast"/>
      <w:contextualSpacing/>
    </w:pPr>
    <w:rPr>
      <w:rFonts w:ascii="Aptos Display" w:eastAsiaTheme="majorEastAsia" w:hAnsi="Aptos Display" w:cstheme="majorBidi"/>
      <w:spacing w:val="-10"/>
      <w:kern w:val="28"/>
      <w:sz w:val="56"/>
      <w:szCs w:val="56"/>
    </w:rPr>
  </w:style>
  <w:style w:type="character" w:customStyle="1" w:styleId="TitleChar">
    <w:name w:val="Title Char"/>
    <w:basedOn w:val="DefaultParagraphFont"/>
    <w:link w:val="Title"/>
    <w:uiPriority w:val="10"/>
    <w:rsid w:val="00FC4685"/>
    <w:rPr>
      <w:rFonts w:ascii="Aptos Display" w:eastAsiaTheme="majorEastAsia" w:hAnsi="Aptos Display" w:cstheme="majorBidi"/>
      <w:spacing w:val="-10"/>
      <w:kern w:val="28"/>
      <w:sz w:val="56"/>
      <w:szCs w:val="56"/>
    </w:rPr>
  </w:style>
  <w:style w:type="paragraph" w:styleId="TOCHeading">
    <w:name w:val="TOC Heading"/>
    <w:basedOn w:val="Heading1"/>
    <w:next w:val="Normal"/>
    <w:uiPriority w:val="39"/>
    <w:semiHidden/>
    <w:unhideWhenUsed/>
    <w:qFormat/>
    <w:rsid w:val="00FC4685"/>
    <w:pPr>
      <w:outlineLvl w:val="9"/>
    </w:pPr>
  </w:style>
  <w:style w:type="paragraph" w:styleId="NormalWeb">
    <w:name w:val="Normal (Web)"/>
    <w:basedOn w:val="Normal"/>
    <w:uiPriority w:val="99"/>
    <w:semiHidden/>
    <w:unhideWhenUsed/>
    <w:rsid w:val="00383658"/>
    <w:pPr>
      <w:spacing w:before="100" w:beforeAutospacing="1" w:after="100" w:afterAutospacing="1" w:line="240" w:lineRule="auto"/>
    </w:pPr>
    <w:rPr>
      <w:rFonts w:ascii="Times New Roman" w:hAnsi="Times New Roman" w:cs="Times New Roman"/>
      <w:lang w:val="en-AU" w:eastAsia="en-GB"/>
    </w:rPr>
  </w:style>
  <w:style w:type="table" w:styleId="GridTable4-Accent1">
    <w:name w:val="Grid Table 4 Accent 1"/>
    <w:basedOn w:val="TableNormal"/>
    <w:uiPriority w:val="49"/>
    <w:rsid w:val="0033130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114886"/>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57417"/>
    <w:pPr>
      <w:spacing w:after="0" w:line="240" w:lineRule="auto"/>
    </w:pPr>
  </w:style>
  <w:style w:type="paragraph" w:styleId="CommentSubject">
    <w:name w:val="annotation subject"/>
    <w:basedOn w:val="CommentText"/>
    <w:next w:val="CommentText"/>
    <w:link w:val="CommentSubjectChar"/>
    <w:uiPriority w:val="99"/>
    <w:semiHidden/>
    <w:unhideWhenUsed/>
    <w:rsid w:val="00C85E37"/>
    <w:rPr>
      <w:b/>
      <w:bCs/>
    </w:rPr>
  </w:style>
  <w:style w:type="character" w:customStyle="1" w:styleId="CommentSubjectChar">
    <w:name w:val="Comment Subject Char"/>
    <w:basedOn w:val="CommentTextChar"/>
    <w:link w:val="CommentSubject"/>
    <w:uiPriority w:val="99"/>
    <w:semiHidden/>
    <w:rsid w:val="00C85E37"/>
    <w:rPr>
      <w:b/>
      <w:bCs/>
      <w:sz w:val="20"/>
      <w:szCs w:val="20"/>
    </w:rPr>
  </w:style>
  <w:style w:type="character" w:styleId="Mention">
    <w:name w:val="Mention"/>
    <w:basedOn w:val="DefaultParagraphFont"/>
    <w:uiPriority w:val="99"/>
    <w:unhideWhenUsed/>
    <w:rsid w:val="000B58E1"/>
    <w:rPr>
      <w:color w:val="2B579A"/>
      <w:shd w:val="clear" w:color="auto" w:fill="E1DFDD"/>
    </w:rPr>
  </w:style>
  <w:style w:type="character" w:styleId="UnresolvedMention">
    <w:name w:val="Unresolved Mention"/>
    <w:basedOn w:val="DefaultParagraphFont"/>
    <w:uiPriority w:val="99"/>
    <w:semiHidden/>
    <w:unhideWhenUsed/>
    <w:rsid w:val="00992C65"/>
    <w:rPr>
      <w:color w:val="605E5C"/>
      <w:shd w:val="clear" w:color="auto" w:fill="E1DFDD"/>
    </w:rPr>
  </w:style>
  <w:style w:type="paragraph" w:styleId="Header">
    <w:name w:val="header"/>
    <w:basedOn w:val="Normal"/>
    <w:link w:val="HeaderChar"/>
    <w:uiPriority w:val="99"/>
    <w:unhideWhenUsed/>
    <w:rsid w:val="00A663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3E7"/>
  </w:style>
  <w:style w:type="paragraph" w:styleId="Footer">
    <w:name w:val="footer"/>
    <w:basedOn w:val="Normal"/>
    <w:link w:val="FooterChar"/>
    <w:uiPriority w:val="99"/>
    <w:unhideWhenUsed/>
    <w:rsid w:val="00A663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3E7"/>
  </w:style>
  <w:style w:type="paragraph" w:styleId="EndnoteText">
    <w:name w:val="endnote text"/>
    <w:basedOn w:val="Normal"/>
    <w:link w:val="EndnoteTextChar"/>
    <w:uiPriority w:val="99"/>
    <w:semiHidden/>
    <w:unhideWhenUsed/>
    <w:rsid w:val="00B027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2727"/>
    <w:rPr>
      <w:sz w:val="20"/>
      <w:szCs w:val="20"/>
    </w:rPr>
  </w:style>
  <w:style w:type="character" w:styleId="EndnoteReference">
    <w:name w:val="endnote reference"/>
    <w:basedOn w:val="DefaultParagraphFont"/>
    <w:uiPriority w:val="99"/>
    <w:semiHidden/>
    <w:unhideWhenUsed/>
    <w:rsid w:val="00B027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rlene.McLennan@utas.edu.a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6766DE7D4B1242B60D5F644306D5FE" ma:contentTypeVersion="18" ma:contentTypeDescription="Create a new document." ma:contentTypeScope="" ma:versionID="166017569fd9e32adafd380bcddd2a23">
  <xsd:schema xmlns:xsd="http://www.w3.org/2001/XMLSchema" xmlns:xs="http://www.w3.org/2001/XMLSchema" xmlns:p="http://schemas.microsoft.com/office/2006/metadata/properties" xmlns:ns2="2617389f-58e4-49c5-9807-a75b64a65690" xmlns:ns3="4fbe84ba-42ff-48fc-84b2-90bec8d5fc41" xmlns:ns4="2d221494-178b-4357-bea6-3a87c5967eb4" targetNamespace="http://schemas.microsoft.com/office/2006/metadata/properties" ma:root="true" ma:fieldsID="0c59f7ed95da361545dc3648cbc43c51" ns2:_="" ns3:_="" ns4:_="">
    <xsd:import namespace="2617389f-58e4-49c5-9807-a75b64a65690"/>
    <xsd:import namespace="4fbe84ba-42ff-48fc-84b2-90bec8d5fc41"/>
    <xsd:import namespace="2d221494-178b-4357-bea6-3a87c5967e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7389f-58e4-49c5-9807-a75b64a65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e84ba-42ff-48fc-84b2-90bec8d5fc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221494-178b-4357-bea6-3a87c5967eb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49e8a7-8d61-44ed-9808-8b61a4cad994}" ma:internalName="TaxCatchAll" ma:showField="CatchAllData" ma:web="4fbe84ba-42ff-48fc-84b2-90bec8d5fc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17389f-58e4-49c5-9807-a75b64a65690">
      <Terms xmlns="http://schemas.microsoft.com/office/infopath/2007/PartnerControls"/>
    </lcf76f155ced4ddcb4097134ff3c332f>
    <TaxCatchAll xmlns="2d221494-178b-4357-bea6-3a87c5967eb4" xsi:nil="true"/>
  </documentManagement>
</p:properties>
</file>

<file path=customXml/itemProps1.xml><?xml version="1.0" encoding="utf-8"?>
<ds:datastoreItem xmlns:ds="http://schemas.openxmlformats.org/officeDocument/2006/customXml" ds:itemID="{A7CAA5DD-9338-4974-A59B-C0D24446C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7389f-58e4-49c5-9807-a75b64a65690"/>
    <ds:schemaRef ds:uri="4fbe84ba-42ff-48fc-84b2-90bec8d5fc41"/>
    <ds:schemaRef ds:uri="2d221494-178b-4357-bea6-3a87c5967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AB6F9D-732D-4D91-B861-9307B1DA8A93}">
  <ds:schemaRefs>
    <ds:schemaRef ds:uri="http://schemas.microsoft.com/sharepoint/v3/contenttype/forms"/>
  </ds:schemaRefs>
</ds:datastoreItem>
</file>

<file path=customXml/itemProps3.xml><?xml version="1.0" encoding="utf-8"?>
<ds:datastoreItem xmlns:ds="http://schemas.openxmlformats.org/officeDocument/2006/customXml" ds:itemID="{E44DE3E0-A01E-B746-80AE-9988AC1AF05E}">
  <ds:schemaRefs>
    <ds:schemaRef ds:uri="http://schemas.openxmlformats.org/officeDocument/2006/bibliography"/>
  </ds:schemaRefs>
</ds:datastoreItem>
</file>

<file path=customXml/itemProps4.xml><?xml version="1.0" encoding="utf-8"?>
<ds:datastoreItem xmlns:ds="http://schemas.openxmlformats.org/officeDocument/2006/customXml" ds:itemID="{E2CFF2E8-9C8F-45FE-A44C-5BE963DB1828}">
  <ds:schemaRefs>
    <ds:schemaRef ds:uri="http://schemas.microsoft.com/office/2006/metadata/properties"/>
    <ds:schemaRef ds:uri="http://schemas.microsoft.com/office/infopath/2007/PartnerControls"/>
    <ds:schemaRef ds:uri="2617389f-58e4-49c5-9807-a75b64a65690"/>
    <ds:schemaRef ds:uri="2d221494-178b-4357-bea6-3a87c5967eb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2440</Words>
  <Characters>15374</Characters>
  <Application>Microsoft Office Word</Application>
  <DocSecurity>0</DocSecurity>
  <Lines>260</Lines>
  <Paragraphs>108</Paragraphs>
  <ScaleCrop>false</ScaleCrop>
  <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Swayn</dc:creator>
  <cp:keywords/>
  <dc:description/>
  <cp:lastModifiedBy>David Swayn</cp:lastModifiedBy>
  <cp:revision>2</cp:revision>
  <dcterms:created xsi:type="dcterms:W3CDTF">2026-10-30T04:36:00Z</dcterms:created>
  <dcterms:modified xsi:type="dcterms:W3CDTF">2026-10-30T04:36:00Z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0x0101003E6766DE7D4B1242B60D5F644306D5FE</vt:lpwstr>
  </property>
  <property fmtid="{D5CDD505-2E9C-101B-9397-08002B2CF9AE}" pid="3" name="MediaServiceImageTags">
    <vt:lpwstr/>
  </property>
  <property fmtid="{D5CDD505-2E9C-101B-9397-08002B2CF9AE}" pid="4" name="docLang">
    <vt:lpwstr>en</vt:lpwstr>
  </property>
</Properties>
</file>