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7C28" w14:textId="77777777" w:rsidR="00C90ADA" w:rsidRPr="001E4868" w:rsidRDefault="00C90ADA" w:rsidP="00C90ADA">
      <w:pPr>
        <w:spacing w:before="1600"/>
      </w:pPr>
      <w:r w:rsidRPr="001E4868">
        <w:rPr>
          <w:rFonts w:ascii="Lato" w:eastAsia="Lato" w:hAnsi="Lato" w:cs="Lato"/>
          <w:b/>
          <w:bCs/>
          <w:color w:val="003368"/>
          <w:sz w:val="64"/>
          <w:szCs w:val="64"/>
        </w:rPr>
        <w:t>ADCET</w:t>
      </w:r>
    </w:p>
    <w:p w14:paraId="1044F6CE" w14:textId="77777777" w:rsidR="00C90ADA" w:rsidRPr="001E4868" w:rsidRDefault="00C90ADA" w:rsidP="00C90ADA">
      <w:pPr>
        <w:spacing w:after="60"/>
      </w:pPr>
      <w:r w:rsidRPr="001E4868">
        <w:rPr>
          <w:rFonts w:ascii="Lato" w:eastAsia="Lato" w:hAnsi="Lato" w:cs="Lato"/>
          <w:color w:val="003368"/>
          <w:sz w:val="24"/>
          <w:szCs w:val="24"/>
        </w:rPr>
        <w:t>Australian Disability Clearinghouse on Education and Training</w:t>
      </w:r>
    </w:p>
    <w:p w14:paraId="40BD025F" w14:textId="77777777" w:rsidR="00C90ADA" w:rsidRPr="001E4868" w:rsidRDefault="00C90ADA" w:rsidP="006841CE">
      <w:pPr>
        <w:spacing w:after="1080"/>
      </w:pPr>
      <w:r w:rsidRPr="001E4868">
        <w:rPr>
          <w:rFonts w:ascii="Lato" w:eastAsia="Lato" w:hAnsi="Lato" w:cs="Lato"/>
          <w:i/>
          <w:iCs/>
        </w:rPr>
        <w:t>Supporting you, Supporting Students</w:t>
      </w:r>
    </w:p>
    <w:p w14:paraId="5391FB56" w14:textId="77777777" w:rsidR="00C90ADA" w:rsidRPr="001E4868" w:rsidRDefault="00C90ADA" w:rsidP="00C90ADA">
      <w:pPr>
        <w:spacing w:after="120"/>
      </w:pPr>
      <w:r w:rsidRPr="001E4868">
        <w:rPr>
          <w:rFonts w:ascii="Lato" w:eastAsia="Lato" w:hAnsi="Lato" w:cs="Lato"/>
          <w:b/>
          <w:bCs/>
          <w:color w:val="003368"/>
          <w:sz w:val="34"/>
          <w:szCs w:val="34"/>
        </w:rPr>
        <w:t>Submission to the Australian Tertiary Education Commission</w:t>
      </w:r>
    </w:p>
    <w:p w14:paraId="2263EE08" w14:textId="77777777" w:rsidR="00C90ADA" w:rsidRPr="001E4868" w:rsidRDefault="00C90ADA" w:rsidP="00C90ADA">
      <w:pPr>
        <w:spacing w:after="360"/>
      </w:pPr>
      <w:r w:rsidRPr="001E4868">
        <w:rPr>
          <w:rFonts w:ascii="Lato" w:eastAsia="Lato" w:hAnsi="Lato" w:cs="Lato"/>
          <w:color w:val="231F20"/>
          <w:sz w:val="26"/>
          <w:szCs w:val="26"/>
        </w:rPr>
        <w:t>A More Joined-Up Tertiary System: Discussion Paper</w:t>
      </w:r>
    </w:p>
    <w:p w14:paraId="6EAF6FF0" w14:textId="77777777" w:rsidR="00C90ADA" w:rsidRPr="001E4868" w:rsidRDefault="00C90ADA" w:rsidP="00C90ADA">
      <w:pPr>
        <w:spacing w:after="60"/>
      </w:pPr>
      <w:r w:rsidRPr="001E4868">
        <w:rPr>
          <w:rFonts w:ascii="Lato" w:eastAsia="Lato" w:hAnsi="Lato" w:cs="Lato"/>
          <w:color w:val="231F20"/>
        </w:rPr>
        <w:t>Submission from the Australian Disability Clearinghouse on Education and Training (ADCET)</w:t>
      </w:r>
    </w:p>
    <w:p w14:paraId="0FB56D80" w14:textId="1D4AF566" w:rsidR="00C90ADA" w:rsidRPr="001E4868" w:rsidRDefault="00C90ADA" w:rsidP="00A72DCA">
      <w:pPr>
        <w:spacing w:after="600"/>
      </w:pPr>
      <w:r w:rsidRPr="001E4868">
        <w:rPr>
          <w:rFonts w:ascii="Lato" w:eastAsia="Lato" w:hAnsi="Lato" w:cs="Lato"/>
          <w:color w:val="231F20"/>
        </w:rPr>
        <w:t>June 2026</w:t>
      </w:r>
      <w:r w:rsidRPr="001E4868">
        <w:br w:type="page"/>
      </w:r>
    </w:p>
    <w:p w14:paraId="3E368F48" w14:textId="77777777" w:rsidR="00C90ADA" w:rsidRPr="001E4868" w:rsidRDefault="00C90ADA" w:rsidP="00C90ADA">
      <w:pPr>
        <w:pStyle w:val="Heading1"/>
      </w:pPr>
      <w:r w:rsidRPr="001E4868">
        <w:rPr>
          <w:rFonts w:ascii="Lato" w:eastAsia="Lato" w:hAnsi="Lato" w:cs="Lato"/>
          <w:b/>
          <w:color w:val="003368"/>
          <w:sz w:val="30"/>
        </w:rPr>
        <w:lastRenderedPageBreak/>
        <w:t>About ADCET</w:t>
      </w:r>
    </w:p>
    <w:p w14:paraId="4E239772" w14:textId="77777777" w:rsidR="00C90ADA" w:rsidRPr="001E4868" w:rsidRDefault="00C90ADA" w:rsidP="00C90ADA">
      <w:pPr>
        <w:rPr>
          <w:rFonts w:ascii="Lato" w:eastAsia="Lato" w:hAnsi="Lato" w:cs="Lato"/>
        </w:rPr>
      </w:pPr>
      <w:r w:rsidRPr="001E4868">
        <w:rPr>
          <w:rFonts w:ascii="Lato" w:eastAsia="Lato" w:hAnsi="Lato" w:cs="Lato"/>
        </w:rPr>
        <w:t xml:space="preserve">The Australian Disability Clearinghouse on Education and Training (ADCET) is a national clearinghouse for disability inclusion and accessibility in tertiary education. Hosted by the University of Tasmania, it shares practical guidance, resources, training and advice for disability practitioners, educators and institutions across both higher education and vocational education and training (VET). </w:t>
      </w:r>
      <w:proofErr w:type="spellStart"/>
      <w:r w:rsidRPr="001E4868">
        <w:rPr>
          <w:rFonts w:ascii="Lato" w:eastAsia="Lato" w:hAnsi="Lato" w:cs="Lato"/>
        </w:rPr>
        <w:t>ADCET's</w:t>
      </w:r>
      <w:proofErr w:type="spellEnd"/>
      <w:r w:rsidRPr="001E4868">
        <w:rPr>
          <w:rFonts w:ascii="Lato" w:eastAsia="Lato" w:hAnsi="Lato" w:cs="Lato"/>
        </w:rPr>
        <w:t xml:space="preserve"> core funding sits within the higher education portfolio, though the website has a substantial history of collaboration across the tertiary continuum including the development of VET specific resources, and has also collaborated to develop and host school to tertiary transitions resources.</w:t>
      </w:r>
    </w:p>
    <w:p w14:paraId="2F27D96F" w14:textId="77777777" w:rsidR="00C90ADA" w:rsidRPr="001E4868" w:rsidRDefault="00C90ADA" w:rsidP="00C90ADA">
      <w:pPr>
        <w:rPr>
          <w:rFonts w:ascii="Lato" w:eastAsia="Lato" w:hAnsi="Lato" w:cs="Lato"/>
        </w:rPr>
      </w:pPr>
      <w:r w:rsidRPr="001E4868">
        <w:rPr>
          <w:rFonts w:ascii="Lato" w:eastAsia="Lato" w:hAnsi="Lato" w:cs="Lato"/>
        </w:rPr>
        <w:t xml:space="preserve">Last year there were more than 1.4 million engagements on </w:t>
      </w:r>
      <w:proofErr w:type="spellStart"/>
      <w:r w:rsidRPr="001E4868">
        <w:rPr>
          <w:rFonts w:ascii="Lato" w:eastAsia="Lato" w:hAnsi="Lato" w:cs="Lato"/>
        </w:rPr>
        <w:t>ADCET’s</w:t>
      </w:r>
      <w:proofErr w:type="spellEnd"/>
      <w:r w:rsidRPr="001E4868">
        <w:rPr>
          <w:rFonts w:ascii="Lato" w:eastAsia="Lato" w:hAnsi="Lato" w:cs="Lato"/>
        </w:rPr>
        <w:t xml:space="preserve"> website from people seeking information about supporting students with disability in tertiary education, with user growth for 2026 currently sitting at 5.8%.    </w:t>
      </w:r>
    </w:p>
    <w:p w14:paraId="26CD47CD" w14:textId="77777777" w:rsidR="00C90ADA" w:rsidRPr="001E4868" w:rsidRDefault="00C90ADA" w:rsidP="00C90ADA">
      <w:pPr>
        <w:pStyle w:val="Heading1"/>
      </w:pPr>
      <w:r w:rsidRPr="001E4868">
        <w:rPr>
          <w:rFonts w:ascii="Lato" w:eastAsia="Lato" w:hAnsi="Lato" w:cs="Lato"/>
          <w:b/>
          <w:color w:val="003368"/>
          <w:sz w:val="30"/>
        </w:rPr>
        <w:t>1. Executive summary</w:t>
      </w:r>
    </w:p>
    <w:p w14:paraId="2C483A19" w14:textId="77777777" w:rsidR="00C90ADA" w:rsidRPr="001E4868" w:rsidRDefault="00C90ADA" w:rsidP="00C90ADA">
      <w:pPr>
        <w:rPr>
          <w:rFonts w:ascii="Lato" w:eastAsia="Lato" w:hAnsi="Lato" w:cs="Lato"/>
        </w:rPr>
      </w:pPr>
      <w:r w:rsidRPr="001E4868">
        <w:rPr>
          <w:rFonts w:ascii="Lato" w:eastAsia="Lato" w:hAnsi="Lato" w:cs="Lato"/>
        </w:rPr>
        <w:t xml:space="preserve">The </w:t>
      </w:r>
      <w:r w:rsidRPr="001E4868">
        <w:rPr>
          <w:rFonts w:ascii="Lato" w:eastAsia="Lato" w:hAnsi="Lato" w:cs="Lato"/>
          <w:i/>
          <w:iCs/>
        </w:rPr>
        <w:t>Disability Discrimination Act 1992</w:t>
      </w:r>
      <w:r w:rsidRPr="001E4868">
        <w:rPr>
          <w:rFonts w:ascii="Lato" w:eastAsia="Lato" w:hAnsi="Lato" w:cs="Lato"/>
        </w:rPr>
        <w:t xml:space="preserve"> and the </w:t>
      </w:r>
      <w:r w:rsidRPr="001E4868">
        <w:rPr>
          <w:rFonts w:ascii="Lato" w:eastAsia="Lato" w:hAnsi="Lato" w:cs="Lato"/>
          <w:i/>
          <w:iCs/>
        </w:rPr>
        <w:t>Disability Standards for Education 2005</w:t>
      </w:r>
      <w:r w:rsidRPr="001E4868">
        <w:rPr>
          <w:rFonts w:ascii="Lato" w:eastAsia="Lato" w:hAnsi="Lato" w:cs="Lato"/>
        </w:rPr>
        <w:t xml:space="preserve"> apply across the lifespan of education, from school through vocational education and training (VET) and on to higher education. ADCET has two decades of dual-sector content that supports institutions to implement inclusive practice for students with disability across this continuum.</w:t>
      </w:r>
      <w:r w:rsidRPr="001E4868">
        <w:rPr>
          <w:rStyle w:val="FootnoteReference"/>
        </w:rPr>
        <w:endnoteReference w:id="1"/>
      </w:r>
    </w:p>
    <w:p w14:paraId="40F37813" w14:textId="77777777" w:rsidR="00C90ADA" w:rsidRPr="001E4868" w:rsidRDefault="00C90ADA" w:rsidP="00C90ADA">
      <w:pPr>
        <w:rPr>
          <w:rFonts w:ascii="Lato" w:eastAsia="Lato" w:hAnsi="Lato" w:cs="Lato"/>
        </w:rPr>
      </w:pPr>
      <w:r w:rsidRPr="001E4868">
        <w:rPr>
          <w:rFonts w:ascii="Lato" w:eastAsia="Lato" w:hAnsi="Lato" w:cs="Lato"/>
        </w:rPr>
        <w:t>Support that is uneven, unpredictable, poorly linked between settings or opaque in how it is funded tends to produce poorer outcomes for the students it is meant to help. For students with disability, the points where people move between settings – from school into VET or higher education, between the two tertiary sectors, between institutions and from study into work – are where support is most often lost.</w:t>
      </w:r>
    </w:p>
    <w:p w14:paraId="0BA84596" w14:textId="77777777" w:rsidR="00C90ADA" w:rsidRPr="001E4868" w:rsidRDefault="00C90ADA" w:rsidP="00C90ADA">
      <w:pPr>
        <w:rPr>
          <w:rFonts w:ascii="Lato" w:eastAsia="Lato" w:hAnsi="Lato" w:cs="Lato"/>
        </w:rPr>
      </w:pPr>
      <w:r w:rsidRPr="001E4868">
        <w:rPr>
          <w:rFonts w:ascii="Lato" w:eastAsia="Lato" w:hAnsi="Lato" w:cs="Lato"/>
        </w:rPr>
        <w:t>With more than nine in ten projected new jobs over the next decade requiring post-secondary qualifications, access to tertiary education is now an economic and social necessity, not only an equity question. Disclosure of disability has risen sharply in higher education, from around 5% of domestic undergraduates in 2011 to 13.5% (about 98,000 students) in 2024, while the share of VET students who identify as having disability has stayed close to 4 to 5% over the same period.</w:t>
      </w:r>
      <w:r w:rsidRPr="001E4868">
        <w:rPr>
          <w:rStyle w:val="FootnoteReference"/>
        </w:rPr>
        <w:endnoteReference w:id="2"/>
      </w:r>
      <w:r w:rsidRPr="001E4868">
        <w:rPr>
          <w:rFonts w:ascii="Lato" w:eastAsia="Lato" w:hAnsi="Lato" w:cs="Lato"/>
        </w:rPr>
        <w:t xml:space="preserve"> </w:t>
      </w:r>
      <w:r w:rsidRPr="001E4868">
        <w:rPr>
          <w:rStyle w:val="FootnoteReference"/>
        </w:rPr>
        <w:endnoteReference w:id="3"/>
      </w:r>
      <w:r w:rsidRPr="001E4868">
        <w:t xml:space="preserve"> </w:t>
      </w:r>
      <w:r w:rsidRPr="001E4868">
        <w:rPr>
          <w:rFonts w:ascii="Lato" w:eastAsia="Lato" w:hAnsi="Lato" w:cs="Lato"/>
        </w:rPr>
        <w:t>Much of the workforce the country most urgently needs is trained through VET:  as an example, Jobs and Skills Australia's 2025 occupation shortage analysis identifies continuing shortages across technician and trades occupations, including workers relating to clean energy transitions. For these reasons, the Roadmap should treat disability inclusion as a structural design feature of a joined-up tertiary system, not as a supplementary access issue.</w:t>
      </w:r>
      <w:r w:rsidRPr="001E4868">
        <w:rPr>
          <w:rStyle w:val="FootnoteReference"/>
        </w:rPr>
        <w:endnoteReference w:id="4"/>
      </w:r>
    </w:p>
    <w:p w14:paraId="0D2C5C77" w14:textId="77777777" w:rsidR="00C90ADA" w:rsidRPr="001E4868" w:rsidRDefault="00C90ADA" w:rsidP="00C90ADA">
      <w:r w:rsidRPr="001E4868">
        <w:rPr>
          <w:rFonts w:ascii="Lato" w:eastAsia="Lato" w:hAnsi="Lato" w:cs="Lato"/>
        </w:rPr>
        <w:t>This submission speaks to three pillars:</w:t>
      </w:r>
    </w:p>
    <w:p w14:paraId="79E40B1B" w14:textId="77777777" w:rsidR="00C90ADA" w:rsidRPr="001E4868" w:rsidRDefault="00C90ADA" w:rsidP="00C90ADA">
      <w:pPr>
        <w:pStyle w:val="ListParagraph"/>
        <w:numPr>
          <w:ilvl w:val="0"/>
          <w:numId w:val="1"/>
        </w:numPr>
        <w:suppressAutoHyphens w:val="0"/>
        <w:spacing w:after="100" w:line="278" w:lineRule="auto"/>
      </w:pPr>
      <w:r w:rsidRPr="001E4868">
        <w:rPr>
          <w:rFonts w:ascii="Lato" w:eastAsia="Lato" w:hAnsi="Lato" w:cs="Lato"/>
        </w:rPr>
        <w:t>Fair access must run across the full continuum: from school into VET and higher education, between sectors, across people's lives and into employment.</w:t>
      </w:r>
    </w:p>
    <w:p w14:paraId="3C8B0EC2" w14:textId="77777777" w:rsidR="00C90ADA" w:rsidRPr="001E4868" w:rsidRDefault="00C90ADA" w:rsidP="00C90ADA">
      <w:pPr>
        <w:pStyle w:val="ListParagraph"/>
        <w:numPr>
          <w:ilvl w:val="0"/>
          <w:numId w:val="1"/>
        </w:numPr>
        <w:suppressAutoHyphens w:val="0"/>
        <w:spacing w:after="100" w:line="278" w:lineRule="auto"/>
      </w:pPr>
      <w:r w:rsidRPr="001E4868">
        <w:rPr>
          <w:rFonts w:ascii="Lato" w:eastAsia="Lato" w:hAnsi="Lato" w:cs="Lato"/>
        </w:rPr>
        <w:t>A joined-up system needs national disability support, data and funding architecture. The current imbalance is most pronounced in VET, where there is no national disability support mechanism equivalent to arrangements in schools or higher education.</w:t>
      </w:r>
    </w:p>
    <w:p w14:paraId="3DC1FD5F" w14:textId="77777777" w:rsidR="00C90ADA" w:rsidRPr="001E4868" w:rsidRDefault="00C90ADA" w:rsidP="00C90ADA">
      <w:pPr>
        <w:pStyle w:val="ListParagraph"/>
        <w:numPr>
          <w:ilvl w:val="0"/>
          <w:numId w:val="1"/>
        </w:numPr>
        <w:suppressAutoHyphens w:val="0"/>
        <w:spacing w:after="100" w:line="278" w:lineRule="auto"/>
      </w:pPr>
      <w:r w:rsidRPr="001E4868">
        <w:rPr>
          <w:rFonts w:ascii="Lato" w:eastAsia="Lato" w:hAnsi="Lato" w:cs="Lato"/>
        </w:rPr>
        <w:lastRenderedPageBreak/>
        <w:t xml:space="preserve">The Roadmap should seek to fund the practical infrastructure that makes inclusion </w:t>
      </w:r>
      <w:proofErr w:type="gramStart"/>
      <w:r w:rsidRPr="001E4868">
        <w:rPr>
          <w:rFonts w:ascii="Lato" w:eastAsia="Lato" w:hAnsi="Lato" w:cs="Lato"/>
        </w:rPr>
        <w:t>work:</w:t>
      </w:r>
      <w:proofErr w:type="gramEnd"/>
      <w:r w:rsidRPr="001E4868">
        <w:rPr>
          <w:rFonts w:ascii="Lato" w:eastAsia="Lato" w:hAnsi="Lato" w:cs="Lato"/>
        </w:rPr>
        <w:t xml:space="preserve"> transition support, portable reasonable adjustment information, inclusive design, collective procurement linked to accessibility standards, comparable complaints oversight and cross-sector implementation resources.</w:t>
      </w:r>
    </w:p>
    <w:p w14:paraId="5621F7A2" w14:textId="77777777" w:rsidR="00C90ADA" w:rsidRPr="001E4868" w:rsidRDefault="00C90ADA" w:rsidP="00C90ADA">
      <w:r w:rsidRPr="001E4868">
        <w:rPr>
          <w:rFonts w:ascii="Lato" w:eastAsia="Lato" w:hAnsi="Lato" w:cs="Lato"/>
        </w:rPr>
        <w:t>The system ADCET asks the Roadmap to build is one where education is designed to include as many students as possible by default, and where students with disability know what support is available, know how to obtain it and receive it consistently. The aim is an experience that is even, fair, respectful and transparent across the continuum, whichever sector a student is in and wherever they live.</w:t>
      </w:r>
    </w:p>
    <w:p w14:paraId="7025DEAF" w14:textId="77777777" w:rsidR="00C90ADA" w:rsidRPr="001E4868" w:rsidRDefault="00C90ADA" w:rsidP="00C90ADA">
      <w:pPr>
        <w:pStyle w:val="Heading1"/>
        <w:rPr>
          <w:rFonts w:ascii="Lato" w:eastAsia="Lato" w:hAnsi="Lato" w:cs="Lato"/>
          <w:b/>
          <w:color w:val="003368"/>
          <w:sz w:val="30"/>
        </w:rPr>
      </w:pPr>
      <w:r w:rsidRPr="001E4868">
        <w:rPr>
          <w:rFonts w:ascii="Lato" w:eastAsia="Lato" w:hAnsi="Lato" w:cs="Lato"/>
          <w:b/>
          <w:color w:val="003368"/>
          <w:sz w:val="30"/>
        </w:rPr>
        <w:t>2. Summary of recommendations</w:t>
      </w:r>
    </w:p>
    <w:p w14:paraId="77DCE1CC" w14:textId="77777777" w:rsidR="00C90ADA" w:rsidRPr="001E4868" w:rsidRDefault="00C90ADA" w:rsidP="00C90ADA">
      <w:pPr>
        <w:rPr>
          <w:lang w:eastAsia="en-US"/>
        </w:rPr>
      </w:pPr>
      <w:r w:rsidRPr="001E4868">
        <w:rPr>
          <w:lang w:eastAsia="en-US"/>
        </w:rPr>
        <w:t xml:space="preserve">ADCET recommends that the Commission: </w:t>
      </w:r>
    </w:p>
    <w:p w14:paraId="6FCF4378" w14:textId="77777777" w:rsidR="00C90ADA" w:rsidRPr="001E4868" w:rsidRDefault="00C90ADA" w:rsidP="00C90ADA">
      <w:pPr>
        <w:pStyle w:val="ListParagraph"/>
        <w:numPr>
          <w:ilvl w:val="0"/>
          <w:numId w:val="2"/>
        </w:numPr>
        <w:suppressAutoHyphens w:val="0"/>
        <w:spacing w:line="278" w:lineRule="auto"/>
        <w:rPr>
          <w:rFonts w:ascii="Lato" w:eastAsia="Lato" w:hAnsi="Lato" w:cs="Lato"/>
        </w:rPr>
      </w:pPr>
      <w:r w:rsidRPr="001E4868">
        <w:rPr>
          <w:rFonts w:ascii="Lato" w:eastAsia="Lato" w:hAnsi="Lato" w:cs="Lato"/>
        </w:rPr>
        <w:t>Organise the Roadmap around fair access across the full continuum: from school into VET and higher education, across people's lives, and into employment.</w:t>
      </w:r>
    </w:p>
    <w:p w14:paraId="7D5C563D"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Build disability competence into professional development for career advisers, including the connection between funded employment supports such as Inclusive Employment Australia (IEA) and tertiary study.</w:t>
      </w:r>
    </w:p>
    <w:p w14:paraId="5A6567E8"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 xml:space="preserve">Pair provider-level obligations under the 2025 </w:t>
      </w:r>
      <w:r w:rsidRPr="001E4868">
        <w:rPr>
          <w:rFonts w:ascii="Lato" w:eastAsia="Lato" w:hAnsi="Lato" w:cs="Lato"/>
          <w:i/>
          <w:iCs/>
        </w:rPr>
        <w:t>Standards for RTOs</w:t>
      </w:r>
      <w:r w:rsidRPr="001E4868">
        <w:rPr>
          <w:rFonts w:ascii="Lato" w:eastAsia="Lato" w:hAnsi="Lato" w:cs="Lato"/>
        </w:rPr>
        <w:t xml:space="preserve"> with a national underpinning of consistent data, funding and strategy.</w:t>
      </w:r>
    </w:p>
    <w:p w14:paraId="7F5011F5"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 xml:space="preserve">Set a consistent national baseline for disability support across both tertiary sectors, in collaboration with the </w:t>
      </w:r>
      <w:proofErr w:type="gramStart"/>
      <w:r w:rsidRPr="001E4868">
        <w:rPr>
          <w:rFonts w:ascii="Lato" w:eastAsia="Lato" w:hAnsi="Lato" w:cs="Lato"/>
        </w:rPr>
        <w:t>schools</w:t>
      </w:r>
      <w:proofErr w:type="gramEnd"/>
      <w:r w:rsidRPr="001E4868">
        <w:rPr>
          <w:rFonts w:ascii="Lato" w:eastAsia="Lato" w:hAnsi="Lato" w:cs="Lato"/>
        </w:rPr>
        <w:t xml:space="preserve"> sector, including a national disability support mechanism for VET.</w:t>
      </w:r>
    </w:p>
    <w:p w14:paraId="3DCDECAC"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Adopt consistent measures of disability across VET and higher education that link to the school continuum and connect to the National Disability Data Asset.</w:t>
      </w:r>
    </w:p>
    <w:p w14:paraId="1FFD6850"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Fund dedicated transition support at every major junction across the continuum, with portable reasonable adjustment information co-designed with people with disability.</w:t>
      </w:r>
    </w:p>
    <w:p w14:paraId="57979922"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 xml:space="preserve">Embed inclusive design across the system: Universal Design for Learning (UDL) in teaching and assessment, Universal Design (UD) in physical and digital environments, and accessible ICT procurement against AS EN 301 549 and </w:t>
      </w:r>
      <w:proofErr w:type="spellStart"/>
      <w:r w:rsidRPr="001E4868">
        <w:rPr>
          <w:rFonts w:ascii="Lato" w:eastAsia="Lato" w:hAnsi="Lato" w:cs="Lato"/>
        </w:rPr>
        <w:t>WCAG</w:t>
      </w:r>
      <w:proofErr w:type="spellEnd"/>
      <w:r w:rsidRPr="001E4868">
        <w:rPr>
          <w:rFonts w:ascii="Lato" w:eastAsia="Lato" w:hAnsi="Lato" w:cs="Lato"/>
        </w:rPr>
        <w:t xml:space="preserve"> 2.2 AA across both sectors.</w:t>
      </w:r>
    </w:p>
    <w:p w14:paraId="6DDA7F8C"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Extend independent, escalated complaints oversight across both tertiary sectors.</w:t>
      </w:r>
    </w:p>
    <w:p w14:paraId="725C01A9"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Recognise and resource cross-sector disability resources, including ADCET, as part of the Roadmap's implementation capability.</w:t>
      </w:r>
    </w:p>
    <w:p w14:paraId="4EB8AE80" w14:textId="77777777" w:rsidR="00C90ADA" w:rsidRPr="001E4868" w:rsidRDefault="00C90ADA" w:rsidP="00C90ADA">
      <w:pPr>
        <w:pStyle w:val="ListParagraph"/>
        <w:numPr>
          <w:ilvl w:val="0"/>
          <w:numId w:val="2"/>
        </w:numPr>
        <w:suppressAutoHyphens w:val="0"/>
        <w:spacing w:line="278" w:lineRule="auto"/>
      </w:pPr>
      <w:r w:rsidRPr="001E4868">
        <w:rPr>
          <w:rFonts w:ascii="Lato" w:eastAsia="Lato" w:hAnsi="Lato" w:cs="Lato"/>
        </w:rPr>
        <w:t>Name disability inclusion as a core design feature of the Roadmap, addressed through a dedicated stream of work co-designed with people with disability.</w:t>
      </w:r>
    </w:p>
    <w:p w14:paraId="1E0B32F4" w14:textId="77777777" w:rsidR="00C90ADA" w:rsidRPr="001E4868" w:rsidRDefault="00C90ADA" w:rsidP="00C90ADA">
      <w:pPr>
        <w:pStyle w:val="Heading1"/>
      </w:pPr>
      <w:r w:rsidRPr="001E4868">
        <w:rPr>
          <w:rFonts w:ascii="Lato" w:eastAsia="Lato" w:hAnsi="Lato" w:cs="Lato"/>
          <w:b/>
          <w:color w:val="003368"/>
          <w:sz w:val="30"/>
        </w:rPr>
        <w:lastRenderedPageBreak/>
        <w:t>3. The case for reform</w:t>
      </w:r>
    </w:p>
    <w:p w14:paraId="2EAE74F0" w14:textId="77777777" w:rsidR="00C90ADA" w:rsidRPr="001E4868" w:rsidRDefault="00C90ADA" w:rsidP="00C90ADA">
      <w:pPr>
        <w:pStyle w:val="Heading2"/>
      </w:pPr>
      <w:r w:rsidRPr="001E4868">
        <w:rPr>
          <w:rFonts w:ascii="Lato" w:eastAsia="Lato" w:hAnsi="Lato" w:cs="Lato"/>
          <w:b/>
          <w:color w:val="003368"/>
        </w:rPr>
        <w:t>3.1 Fair access across the whole continuum</w:t>
      </w:r>
    </w:p>
    <w:p w14:paraId="75C8DACC" w14:textId="77777777" w:rsidR="00C90ADA" w:rsidRPr="001E4868" w:rsidRDefault="00C90ADA" w:rsidP="00C90ADA">
      <w:r w:rsidRPr="001E4868">
        <w:rPr>
          <w:rFonts w:ascii="Lato" w:eastAsia="Lato" w:hAnsi="Lato" w:cs="Lato"/>
        </w:rPr>
        <w:t xml:space="preserve">The discussion paper frames the learner journey well, but more attention is needed to the years before entry to VET or higher education and the consistency of experiences from school to tertiary and between providers, using the lens of the current and future labour market. Jobs and Skills Australia projects that more than nine in ten new jobs over the next decade will require post-secondary qualifications: around half a </w:t>
      </w:r>
      <w:proofErr w:type="gramStart"/>
      <w:r w:rsidRPr="001E4868">
        <w:rPr>
          <w:rFonts w:ascii="Lato" w:eastAsia="Lato" w:hAnsi="Lato" w:cs="Lato"/>
        </w:rPr>
        <w:t>bachelor</w:t>
      </w:r>
      <w:proofErr w:type="gramEnd"/>
      <w:r w:rsidRPr="001E4868">
        <w:rPr>
          <w:rFonts w:ascii="Lato" w:eastAsia="Lato" w:hAnsi="Lato" w:cs="Lato"/>
        </w:rPr>
        <w:t xml:space="preserve"> degree or higher, and most of the remainder a VET qualification. Tertiary education is becoming a precondition for economic participation, and the country needs all sectors well linked and performing for all students.</w:t>
      </w:r>
      <w:r w:rsidRPr="001E4868">
        <w:rPr>
          <w:rStyle w:val="FootnoteReference"/>
        </w:rPr>
        <w:endnoteReference w:id="5"/>
      </w:r>
    </w:p>
    <w:p w14:paraId="5C7754A3" w14:textId="77777777" w:rsidR="00C90ADA" w:rsidRPr="001E4868" w:rsidRDefault="00C90ADA" w:rsidP="00C90ADA">
      <w:pPr>
        <w:rPr>
          <w:rFonts w:ascii="Lato" w:eastAsia="Lato" w:hAnsi="Lato" w:cs="Lato"/>
        </w:rPr>
      </w:pPr>
      <w:r w:rsidRPr="001E4868">
        <w:rPr>
          <w:rFonts w:ascii="Lato" w:eastAsia="Lato" w:hAnsi="Lato" w:cs="Lato"/>
        </w:rPr>
        <w:t>In 2025, 27.0% of Australian school students received an educational adjustment due to disability, up from 18.0% in 2015. These young people have grown up in a school system built around identifying disability and providing adjustments – a system required to proactively identify students who need support. When they leave school, much of that scaffolding falls away.</w:t>
      </w:r>
      <w:r w:rsidRPr="001E4868">
        <w:rPr>
          <w:rStyle w:val="FootnoteReference"/>
        </w:rPr>
        <w:endnoteReference w:id="6"/>
      </w:r>
    </w:p>
    <w:p w14:paraId="6073B743" w14:textId="77777777" w:rsidR="00C90ADA" w:rsidRPr="001E4868" w:rsidRDefault="00C90ADA" w:rsidP="00C90ADA">
      <w:pPr>
        <w:rPr>
          <w:rFonts w:ascii="Lato" w:eastAsia="Lato" w:hAnsi="Lato" w:cs="Lato"/>
        </w:rPr>
      </w:pPr>
      <w:r w:rsidRPr="001E4868">
        <w:rPr>
          <w:rFonts w:ascii="Lato" w:eastAsia="Lato" w:hAnsi="Lato" w:cs="Lato"/>
        </w:rPr>
        <w:t xml:space="preserve">This picture is shaped in part by the different national structures and mechanisms available in VET and higher education. Participation rates in the two sectors are moving at different paces and directions: the share of domestic undergraduates who identify as having disability rose from around 5% in 2011 to 13.5% in 2024 in higher education, while the VET share has stayed close to 4 to 5%. Higher education offers established disability services with a national funding mechanism, while VET has no national disability funding mechanism and support varies by provider and state. This mismatch of participation rates, apparatus and funding for the provision of reasonable adjustments and inclusive design can lead to real barriers to economic participation. </w:t>
      </w:r>
    </w:p>
    <w:p w14:paraId="0DCCEFDF" w14:textId="77777777" w:rsidR="00C90ADA" w:rsidRPr="001E4868" w:rsidRDefault="00C90ADA" w:rsidP="00C90ADA">
      <w:r w:rsidRPr="001E4868">
        <w:rPr>
          <w:rFonts w:ascii="Lato" w:eastAsia="Lato" w:hAnsi="Lato" w:cs="Lato"/>
        </w:rPr>
        <w:t>Recent higher education policy directions could drive the quality of inclusive education in higher education providers upward. To remain eligible for the Disability Support Fund (</w:t>
      </w:r>
      <w:proofErr w:type="spellStart"/>
      <w:r w:rsidRPr="001E4868">
        <w:rPr>
          <w:rFonts w:ascii="Lato" w:eastAsia="Lato" w:hAnsi="Lato" w:cs="Lato"/>
        </w:rPr>
        <w:t>DSF</w:t>
      </w:r>
      <w:proofErr w:type="spellEnd"/>
      <w:r w:rsidRPr="001E4868">
        <w:rPr>
          <w:rFonts w:ascii="Lato" w:eastAsia="Lato" w:hAnsi="Lato" w:cs="Lato"/>
        </w:rPr>
        <w:t xml:space="preserve">) from the 2027 grant year, Table A universities must establish a disability governance committee with a majority of members who are people with disability and put in place disability education and workforce inclusion strategies developed with people with disability. The same reforms name Universal Design for Learning (UDL) in the legislative instrument as a permitted use of </w:t>
      </w:r>
      <w:proofErr w:type="spellStart"/>
      <w:r w:rsidRPr="001E4868">
        <w:rPr>
          <w:rFonts w:ascii="Lato" w:eastAsia="Lato" w:hAnsi="Lato" w:cs="Lato"/>
        </w:rPr>
        <w:t>DSF</w:t>
      </w:r>
      <w:proofErr w:type="spellEnd"/>
      <w:r w:rsidRPr="001E4868">
        <w:rPr>
          <w:rFonts w:ascii="Lato" w:eastAsia="Lato" w:hAnsi="Lato" w:cs="Lato"/>
        </w:rPr>
        <w:t xml:space="preserve"> funds, alongside staffing, equipment and bulk ICT licences, giving providers clearer scope to invest in inclusive design rather than individual adjustments alone.</w:t>
      </w:r>
      <w:r w:rsidRPr="001E4868">
        <w:rPr>
          <w:rStyle w:val="FootnoteReference"/>
        </w:rPr>
        <w:endnoteReference w:id="7"/>
      </w:r>
      <w:r w:rsidRPr="001E4868">
        <w:rPr>
          <w:rFonts w:ascii="Lato" w:eastAsia="Lato" w:hAnsi="Lato" w:cs="Lato"/>
        </w:rPr>
        <w:t xml:space="preserve"> In the VET sector, The 2025 </w:t>
      </w:r>
      <w:r w:rsidRPr="001E4868">
        <w:rPr>
          <w:rFonts w:ascii="Lato" w:eastAsia="Lato" w:hAnsi="Lato" w:cs="Lato"/>
          <w:i/>
          <w:iCs/>
        </w:rPr>
        <w:t>Standards for Registered Training Organisations</w:t>
      </w:r>
      <w:r w:rsidRPr="001E4868">
        <w:rPr>
          <w:rFonts w:ascii="Lato" w:eastAsia="Lato" w:hAnsi="Lato" w:cs="Lato"/>
        </w:rPr>
        <w:t>, in effect from 1 July 2025, strengthen each provider's learner support and outcomes focus, which is welcome, but they operate provider by provider and do not create the cohesive national data or funding the sector lacks.</w:t>
      </w:r>
      <w:r w:rsidRPr="001E4868">
        <w:rPr>
          <w:rStyle w:val="FootnoteReference"/>
        </w:rPr>
        <w:endnoteReference w:id="8"/>
      </w:r>
      <w:r w:rsidRPr="001E4868">
        <w:rPr>
          <w:rStyle w:val="FootnoteReference"/>
        </w:rPr>
        <w:endnoteReference w:id="9"/>
      </w:r>
      <w:r w:rsidRPr="001E4868">
        <w:rPr>
          <w:rFonts w:ascii="Lato" w:eastAsia="Lato" w:hAnsi="Lato" w:cs="Lato"/>
        </w:rPr>
        <w:t xml:space="preserve"> Both sets of reforms strengthen disability inclusion at the provider level, but each works only within its own sector’s mechanisms: funding conditions in higher education and provider standards in VET. A joined-up approach across the two, aligned as closely as possible with schools, would help students experience consistent support and expectations as they move through the tertiary system.</w:t>
      </w:r>
    </w:p>
    <w:p w14:paraId="49979896" w14:textId="77777777" w:rsidR="00C90ADA" w:rsidRPr="001E4868" w:rsidRDefault="00C90ADA" w:rsidP="00C90ADA">
      <w:pPr>
        <w:rPr>
          <w:rFonts w:ascii="Lato" w:eastAsia="Lato" w:hAnsi="Lato" w:cs="Lato"/>
        </w:rPr>
      </w:pPr>
      <w:r w:rsidRPr="001E4868">
        <w:rPr>
          <w:rFonts w:ascii="Lato" w:eastAsia="Lato" w:hAnsi="Lato" w:cs="Lato"/>
        </w:rPr>
        <w:t xml:space="preserve">There is also work to be done on the quality and access of employment supports. Funded employment supports such as IEA help people with disability prepare for, find and keep work, but could be much better linked with the sector producing the nation’s future workforce. Because most new jobs need a post-secondary qualification, these links should run both ways, driven by policy and incentivised for IEA providers: tertiary providers should connect </w:t>
      </w:r>
      <w:r w:rsidRPr="001E4868">
        <w:rPr>
          <w:rFonts w:ascii="Lato" w:eastAsia="Lato" w:hAnsi="Lato" w:cs="Lato"/>
        </w:rPr>
        <w:lastRenderedPageBreak/>
        <w:t>students to employment supports as they approach completion, and employment supports should build strong linkages with the tertiary system that makes good work possible. ADCET hosts program material for this type of arrangement: the University Specialist Employment Partnerships (</w:t>
      </w:r>
      <w:proofErr w:type="spellStart"/>
      <w:r w:rsidRPr="001E4868">
        <w:rPr>
          <w:rFonts w:ascii="Lato" w:eastAsia="Lato" w:hAnsi="Lato" w:cs="Lato"/>
        </w:rPr>
        <w:t>USEP</w:t>
      </w:r>
      <w:proofErr w:type="spellEnd"/>
      <w:r w:rsidRPr="001E4868">
        <w:rPr>
          <w:rFonts w:ascii="Lato" w:eastAsia="Lato" w:hAnsi="Lato" w:cs="Lato"/>
        </w:rPr>
        <w:t>) and TAFE Specialist Employment Partnerships (</w:t>
      </w:r>
      <w:proofErr w:type="spellStart"/>
      <w:r w:rsidRPr="001E4868">
        <w:rPr>
          <w:rFonts w:ascii="Lato" w:eastAsia="Lato" w:hAnsi="Lato" w:cs="Lato"/>
        </w:rPr>
        <w:t>TSEP</w:t>
      </w:r>
      <w:proofErr w:type="spellEnd"/>
      <w:r w:rsidRPr="001E4868">
        <w:rPr>
          <w:rFonts w:ascii="Lato" w:eastAsia="Lato" w:hAnsi="Lato" w:cs="Lato"/>
        </w:rPr>
        <w:t>) programs connect students and graduates with disability with specialist employment services that can support transition into work in their field, an existing foundation the Roadmap can build on. Information about disability support should also be a visible, accurate part of any cross-sector information platform, including careers resources, post school advice and career advice. Professional development for career advisers should therefore build disability-support literacy alongside broader sector knowledge, so advice about courses, occupations and pathways includes realistic advice about support, disclosure and adjustment processes.</w:t>
      </w:r>
      <w:r w:rsidRPr="001E4868">
        <w:rPr>
          <w:rStyle w:val="FootnoteReference"/>
        </w:rPr>
        <w:endnoteReference w:id="10"/>
      </w:r>
      <w:r w:rsidRPr="001E4868">
        <w:rPr>
          <w:rStyle w:val="FootnoteReference"/>
        </w:rPr>
        <w:endnoteReference w:id="11"/>
      </w:r>
    </w:p>
    <w:p w14:paraId="57C592B3"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1: </w:t>
      </w:r>
      <w:r w:rsidRPr="001E4868">
        <w:rPr>
          <w:rFonts w:ascii="Lato" w:eastAsia="Lato" w:hAnsi="Lato" w:cs="Lato"/>
        </w:rPr>
        <w:t>Organise the Roadmap around fair access across the full continuum: from school into VET and higher education, across people's lives, and into employment.</w:t>
      </w:r>
    </w:p>
    <w:p w14:paraId="5199BF8F"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2: </w:t>
      </w:r>
      <w:r w:rsidRPr="001E4868">
        <w:rPr>
          <w:rFonts w:ascii="Lato" w:eastAsia="Lato" w:hAnsi="Lato" w:cs="Lato"/>
        </w:rPr>
        <w:t>Build disability competence into professional development for career advisers, including the connection between funded employment supports such as Inclusive Employment Australia (IEA) and tertiary study.</w:t>
      </w:r>
    </w:p>
    <w:p w14:paraId="1256A552"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3: </w:t>
      </w:r>
      <w:r w:rsidRPr="001E4868">
        <w:rPr>
          <w:rFonts w:ascii="Lato" w:eastAsia="Lato" w:hAnsi="Lato" w:cs="Lato"/>
        </w:rPr>
        <w:t xml:space="preserve">Pair provider-level obligations under the 2025 </w:t>
      </w:r>
      <w:r w:rsidRPr="001E4868">
        <w:rPr>
          <w:rFonts w:ascii="Lato" w:eastAsia="Lato" w:hAnsi="Lato" w:cs="Lato"/>
          <w:i/>
          <w:iCs/>
        </w:rPr>
        <w:t>Standards for RTOs</w:t>
      </w:r>
      <w:r w:rsidRPr="001E4868">
        <w:rPr>
          <w:rFonts w:ascii="Lato" w:eastAsia="Lato" w:hAnsi="Lato" w:cs="Lato"/>
        </w:rPr>
        <w:t xml:space="preserve"> with a national underpinning of consistent data, funding and strategy.</w:t>
      </w:r>
    </w:p>
    <w:p w14:paraId="24999575" w14:textId="77777777" w:rsidR="00C90ADA" w:rsidRPr="001E4868" w:rsidRDefault="00C90ADA" w:rsidP="003742E3">
      <w:pPr>
        <w:pStyle w:val="Heading2"/>
        <w:spacing w:before="240"/>
      </w:pPr>
      <w:r w:rsidRPr="001E4868">
        <w:rPr>
          <w:rFonts w:ascii="Lato" w:eastAsia="Lato" w:hAnsi="Lato" w:cs="Lato"/>
          <w:b/>
          <w:color w:val="003368"/>
        </w:rPr>
        <w:t>3.2 Funding, disclosure and data</w:t>
      </w:r>
    </w:p>
    <w:p w14:paraId="330782BF" w14:textId="77777777" w:rsidR="00C90ADA" w:rsidRPr="001E4868" w:rsidRDefault="00C90ADA" w:rsidP="003742E3">
      <w:pPr>
        <w:spacing w:after="240"/>
        <w:rPr>
          <w:rFonts w:ascii="Lato" w:eastAsia="Lato" w:hAnsi="Lato" w:cs="Lato"/>
        </w:rPr>
      </w:pPr>
      <w:r w:rsidRPr="001E4868">
        <w:rPr>
          <w:rFonts w:ascii="Lato" w:eastAsia="Lato" w:hAnsi="Lato" w:cs="Lato"/>
        </w:rPr>
        <w:t xml:space="preserve">The discussion paper notes that funding settings differ across sectors and can distort choice. From a disability perspective the imbalance is pronounced. The table below sets out indicative sector scale against dedicated disability funding available. </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048"/>
        <w:gridCol w:w="2389"/>
        <w:gridCol w:w="3810"/>
      </w:tblGrid>
      <w:tr w:rsidR="00C90ADA" w:rsidRPr="001E4868" w14:paraId="7A63164B" w14:textId="77777777" w:rsidTr="00F266C0">
        <w:tc>
          <w:tcPr>
            <w:tcW w:w="2048" w:type="dxa"/>
            <w:shd w:val="clear" w:color="auto" w:fill="003368"/>
          </w:tcPr>
          <w:p w14:paraId="372755D8" w14:textId="77777777" w:rsidR="00C90ADA" w:rsidRPr="001E4868" w:rsidRDefault="00C90ADA" w:rsidP="00F266C0">
            <w:r w:rsidRPr="001E4868">
              <w:rPr>
                <w:rFonts w:ascii="Lato" w:eastAsia="Lato" w:hAnsi="Lato" w:cs="Lato"/>
                <w:b/>
                <w:color w:val="FFFFFF"/>
                <w:sz w:val="20"/>
              </w:rPr>
              <w:t>Sector</w:t>
            </w:r>
          </w:p>
        </w:tc>
        <w:tc>
          <w:tcPr>
            <w:tcW w:w="2389" w:type="dxa"/>
            <w:shd w:val="clear" w:color="auto" w:fill="003368"/>
          </w:tcPr>
          <w:p w14:paraId="7B150AB2" w14:textId="77777777" w:rsidR="00C90ADA" w:rsidRPr="001E4868" w:rsidRDefault="00C90ADA" w:rsidP="00F266C0">
            <w:r w:rsidRPr="001E4868">
              <w:rPr>
                <w:rFonts w:ascii="Lato" w:eastAsia="Lato" w:hAnsi="Lato" w:cs="Lato"/>
                <w:b/>
                <w:color w:val="FFFFFF"/>
                <w:sz w:val="20"/>
              </w:rPr>
              <w:t>Sector scale / expenditure indicator</w:t>
            </w:r>
          </w:p>
        </w:tc>
        <w:tc>
          <w:tcPr>
            <w:tcW w:w="3810" w:type="dxa"/>
            <w:shd w:val="clear" w:color="auto" w:fill="003368"/>
          </w:tcPr>
          <w:p w14:paraId="71483696" w14:textId="77777777" w:rsidR="00C90ADA" w:rsidRPr="001E4868" w:rsidRDefault="00C90ADA" w:rsidP="00F266C0">
            <w:r w:rsidRPr="001E4868">
              <w:rPr>
                <w:rFonts w:ascii="Lato" w:eastAsia="Lato" w:hAnsi="Lato" w:cs="Lato"/>
                <w:b/>
                <w:color w:val="FFFFFF"/>
                <w:sz w:val="20"/>
              </w:rPr>
              <w:t>Dedicated national disability funding</w:t>
            </w:r>
          </w:p>
        </w:tc>
      </w:tr>
      <w:tr w:rsidR="00C90ADA" w:rsidRPr="001E4868" w14:paraId="26E2E44E" w14:textId="77777777" w:rsidTr="00F266C0">
        <w:tc>
          <w:tcPr>
            <w:tcW w:w="2048" w:type="dxa"/>
          </w:tcPr>
          <w:p w14:paraId="465B3A8D" w14:textId="77777777" w:rsidR="00C90ADA" w:rsidRPr="001E4868" w:rsidRDefault="00C90ADA" w:rsidP="00F266C0">
            <w:r w:rsidRPr="001E4868">
              <w:rPr>
                <w:rFonts w:ascii="Lato" w:eastAsia="Lato" w:hAnsi="Lato" w:cs="Lato"/>
                <w:b/>
                <w:sz w:val="21"/>
              </w:rPr>
              <w:t>Schools</w:t>
            </w:r>
          </w:p>
        </w:tc>
        <w:tc>
          <w:tcPr>
            <w:tcW w:w="2389" w:type="dxa"/>
          </w:tcPr>
          <w:p w14:paraId="34E1FE14" w14:textId="77777777" w:rsidR="00C90ADA" w:rsidRPr="001E4868" w:rsidRDefault="00C90ADA" w:rsidP="00F266C0">
            <w:r w:rsidRPr="001E4868">
              <w:rPr>
                <w:rFonts w:ascii="Lato" w:eastAsia="Lato" w:hAnsi="Lato" w:cs="Lato"/>
                <w:sz w:val="21"/>
              </w:rPr>
              <w:t>$91.0 billion government recurrent expenditure (2023-24)</w:t>
            </w:r>
          </w:p>
        </w:tc>
        <w:tc>
          <w:tcPr>
            <w:tcW w:w="3810" w:type="dxa"/>
          </w:tcPr>
          <w:p w14:paraId="5CDD0A59" w14:textId="77777777" w:rsidR="00C90ADA" w:rsidRPr="001E4868" w:rsidRDefault="00C90ADA" w:rsidP="00F266C0">
            <w:r w:rsidRPr="001E4868">
              <w:rPr>
                <w:rFonts w:ascii="Lato" w:eastAsia="Lato" w:hAnsi="Lato" w:cs="Lato"/>
                <w:sz w:val="21"/>
              </w:rPr>
              <w:t xml:space="preserve">Yes. The </w:t>
            </w:r>
            <w:proofErr w:type="spellStart"/>
            <w:r w:rsidRPr="001E4868">
              <w:rPr>
                <w:rFonts w:ascii="Lato" w:eastAsia="Lato" w:hAnsi="Lato" w:cs="Lato"/>
                <w:sz w:val="21"/>
              </w:rPr>
              <w:t>NCCD</w:t>
            </w:r>
            <w:proofErr w:type="spellEnd"/>
            <w:r w:rsidRPr="001E4868">
              <w:rPr>
                <w:rFonts w:ascii="Lato" w:eastAsia="Lato" w:hAnsi="Lato" w:cs="Lato"/>
                <w:sz w:val="21"/>
              </w:rPr>
              <w:t xml:space="preserve"> drives the Student with Disability Loading: an estimated $5.1 billion in Commonwealth funding in 2026, plus state and territory contributions.</w:t>
            </w:r>
            <w:r w:rsidRPr="001E4868">
              <w:rPr>
                <w:rStyle w:val="FootnoteReference"/>
              </w:rPr>
              <w:endnoteReference w:id="12"/>
            </w:r>
          </w:p>
        </w:tc>
      </w:tr>
      <w:tr w:rsidR="00C90ADA" w:rsidRPr="001E4868" w14:paraId="619D2FEA" w14:textId="77777777" w:rsidTr="00F266C0">
        <w:tc>
          <w:tcPr>
            <w:tcW w:w="2048" w:type="dxa"/>
          </w:tcPr>
          <w:p w14:paraId="695D545B" w14:textId="77777777" w:rsidR="00C90ADA" w:rsidRPr="001E4868" w:rsidRDefault="00C90ADA" w:rsidP="00F266C0">
            <w:r w:rsidRPr="001E4868">
              <w:rPr>
                <w:rFonts w:ascii="Lato" w:eastAsia="Lato" w:hAnsi="Lato" w:cs="Lato"/>
                <w:b/>
                <w:sz w:val="21"/>
              </w:rPr>
              <w:t>VET</w:t>
            </w:r>
          </w:p>
        </w:tc>
        <w:tc>
          <w:tcPr>
            <w:tcW w:w="2389" w:type="dxa"/>
          </w:tcPr>
          <w:p w14:paraId="3C7A26F6" w14:textId="77777777" w:rsidR="00C90ADA" w:rsidRPr="001E4868" w:rsidRDefault="00C90ADA" w:rsidP="00F266C0">
            <w:r w:rsidRPr="001E4868">
              <w:rPr>
                <w:rFonts w:ascii="Lato" w:eastAsia="Lato" w:hAnsi="Lato" w:cs="Lato"/>
                <w:sz w:val="21"/>
              </w:rPr>
              <w:t>$8.9 billion government recurrent expenditure (2024)</w:t>
            </w:r>
          </w:p>
        </w:tc>
        <w:tc>
          <w:tcPr>
            <w:tcW w:w="3810" w:type="dxa"/>
          </w:tcPr>
          <w:p w14:paraId="35358788" w14:textId="77777777" w:rsidR="00C90ADA" w:rsidRPr="001E4868" w:rsidRDefault="00C90ADA" w:rsidP="00F266C0">
            <w:r w:rsidRPr="001E4868">
              <w:rPr>
                <w:rFonts w:ascii="Lato" w:eastAsia="Lato" w:hAnsi="Lato" w:cs="Lato"/>
                <w:sz w:val="21"/>
              </w:rPr>
              <w:t xml:space="preserve">No general national mechanism. </w:t>
            </w:r>
            <w:proofErr w:type="spellStart"/>
            <w:r w:rsidRPr="001E4868">
              <w:rPr>
                <w:rFonts w:ascii="Lato" w:eastAsia="Lato" w:hAnsi="Lato" w:cs="Lato"/>
                <w:sz w:val="21"/>
              </w:rPr>
              <w:t>DAAWS</w:t>
            </w:r>
            <w:proofErr w:type="spellEnd"/>
            <w:r w:rsidRPr="001E4868">
              <w:rPr>
                <w:rFonts w:ascii="Lato" w:eastAsia="Lato" w:hAnsi="Lato" w:cs="Lato"/>
                <w:sz w:val="21"/>
              </w:rPr>
              <w:t xml:space="preserve"> supports employers of eligible apprentices and trainees with disability and some off-the-job training supports, but there is no VET equivalent of the schools loading or the higher education Disability Support Program. State arrangements remain a patchwork.</w:t>
            </w:r>
            <w:r w:rsidRPr="001E4868">
              <w:rPr>
                <w:rStyle w:val="FootnoteReference"/>
              </w:rPr>
              <w:endnoteReference w:id="13"/>
            </w:r>
          </w:p>
        </w:tc>
      </w:tr>
      <w:tr w:rsidR="00C90ADA" w:rsidRPr="001E4868" w14:paraId="31234D2C" w14:textId="77777777" w:rsidTr="00F266C0">
        <w:tc>
          <w:tcPr>
            <w:tcW w:w="2048" w:type="dxa"/>
          </w:tcPr>
          <w:p w14:paraId="66441718" w14:textId="77777777" w:rsidR="00C90ADA" w:rsidRPr="001E4868" w:rsidRDefault="00C90ADA" w:rsidP="00F266C0">
            <w:r w:rsidRPr="001E4868">
              <w:rPr>
                <w:rFonts w:ascii="Lato" w:eastAsia="Lato" w:hAnsi="Lato" w:cs="Lato"/>
                <w:b/>
                <w:sz w:val="21"/>
              </w:rPr>
              <w:t>Higher education (universities)</w:t>
            </w:r>
          </w:p>
        </w:tc>
        <w:tc>
          <w:tcPr>
            <w:tcW w:w="2389" w:type="dxa"/>
          </w:tcPr>
          <w:p w14:paraId="5D36F3EB" w14:textId="77777777" w:rsidR="00C90ADA" w:rsidRPr="001E4868" w:rsidRDefault="00C90ADA" w:rsidP="00F266C0">
            <w:r w:rsidRPr="001E4868">
              <w:rPr>
                <w:rFonts w:ascii="Lato" w:eastAsia="Lato" w:hAnsi="Lato" w:cs="Lato"/>
                <w:sz w:val="21"/>
              </w:rPr>
              <w:t>$43.1 billion total university sector expenses (2024)</w:t>
            </w:r>
          </w:p>
        </w:tc>
        <w:tc>
          <w:tcPr>
            <w:tcW w:w="3810" w:type="dxa"/>
          </w:tcPr>
          <w:p w14:paraId="20387669" w14:textId="77777777" w:rsidR="00C90ADA" w:rsidRPr="001E4868" w:rsidRDefault="00C90ADA" w:rsidP="00F266C0">
            <w:r w:rsidRPr="001E4868">
              <w:rPr>
                <w:rFonts w:ascii="Lato" w:eastAsia="Lato" w:hAnsi="Lato" w:cs="Lato"/>
                <w:sz w:val="21"/>
              </w:rPr>
              <w:t xml:space="preserve">Yes. The Disability Support Program, including the Disability Support Fund, provides supplementary support for eligible higher education providers. From 2025, the Disability Support Fund was increased by approximately </w:t>
            </w:r>
            <w:r w:rsidRPr="001E4868">
              <w:rPr>
                <w:rFonts w:ascii="Lato" w:eastAsia="Lato" w:hAnsi="Lato" w:cs="Lato"/>
                <w:sz w:val="21"/>
              </w:rPr>
              <w:lastRenderedPageBreak/>
              <w:t>$40 million per year, quadrupling current funding levels.</w:t>
            </w:r>
            <w:r w:rsidRPr="001E4868">
              <w:rPr>
                <w:rStyle w:val="FootnoteReference"/>
              </w:rPr>
              <w:endnoteReference w:id="14"/>
            </w:r>
          </w:p>
        </w:tc>
      </w:tr>
    </w:tbl>
    <w:p w14:paraId="32545F36" w14:textId="77777777" w:rsidR="00C90ADA" w:rsidRPr="001E4868" w:rsidRDefault="00C90ADA" w:rsidP="00C90ADA">
      <w:pPr>
        <w:rPr>
          <w:rFonts w:ascii="Lato" w:eastAsia="Lato" w:hAnsi="Lato" w:cs="Lato"/>
        </w:rPr>
      </w:pPr>
    </w:p>
    <w:p w14:paraId="69D5665E" w14:textId="77777777" w:rsidR="00C90ADA" w:rsidRPr="001E4868" w:rsidRDefault="00C90ADA" w:rsidP="00C90ADA">
      <w:r w:rsidRPr="001E4868">
        <w:rPr>
          <w:rFonts w:ascii="Lato" w:eastAsia="Lato" w:hAnsi="Lato" w:cs="Lato"/>
        </w:rPr>
        <w:t xml:space="preserve">Whilst the expenditure figures and disability funding measures are different types of instruments and not strictly comparable, exploring funding in this way showcases potential impacts for students from a disjointed approach to the implementation of the DDA across the student lifecycle. The schools loading is needs-based funding, while the Disability Support Fund is a supplementary fund that sits on top of universities' existing obligations under the </w:t>
      </w:r>
      <w:r w:rsidRPr="001E4868">
        <w:rPr>
          <w:rFonts w:ascii="Lato" w:eastAsia="Lato" w:hAnsi="Lato" w:cs="Lato"/>
          <w:i/>
          <w:iCs/>
        </w:rPr>
        <w:t>Disability Discrimination Act 1992</w:t>
      </w:r>
      <w:r w:rsidRPr="001E4868">
        <w:rPr>
          <w:rFonts w:ascii="Lato" w:eastAsia="Lato" w:hAnsi="Lato" w:cs="Lato"/>
        </w:rPr>
        <w:t xml:space="preserve"> and </w:t>
      </w:r>
      <w:r w:rsidRPr="001E4868">
        <w:rPr>
          <w:rFonts w:ascii="Lato" w:eastAsia="Lato" w:hAnsi="Lato" w:cs="Lato"/>
          <w:i/>
          <w:iCs/>
        </w:rPr>
        <w:t>Disability Standards for Education 2005</w:t>
      </w:r>
      <w:r w:rsidRPr="001E4868">
        <w:rPr>
          <w:rFonts w:ascii="Lato" w:eastAsia="Lato" w:hAnsi="Lato" w:cs="Lato"/>
        </w:rPr>
        <w:t>, which schools and VET providers must also comply with. The difficulty of making like-for-like comparisons despite all sectors requiring compliance with the same underpinning legal instrument (the DDA) is a substantial design problem. This issue, unresolved, is likely to disproportionately affect students with disability as their employment futures increasingly rely on obtaining a tertiary qualification to find work.</w:t>
      </w:r>
      <w:r w:rsidRPr="001E4868">
        <w:rPr>
          <w:rStyle w:val="FootnoteReference"/>
        </w:rPr>
        <w:endnoteReference w:id="15"/>
      </w:r>
    </w:p>
    <w:p w14:paraId="35FC9A4B" w14:textId="77777777" w:rsidR="00C90ADA" w:rsidRPr="001E4868" w:rsidRDefault="00C90ADA" w:rsidP="00C90ADA">
      <w:pPr>
        <w:rPr>
          <w:rFonts w:ascii="Lato" w:eastAsia="Lato" w:hAnsi="Lato" w:cs="Lato"/>
        </w:rPr>
      </w:pPr>
      <w:r w:rsidRPr="001E4868">
        <w:rPr>
          <w:rFonts w:ascii="Lato" w:eastAsia="Lato" w:hAnsi="Lato" w:cs="Lato"/>
        </w:rPr>
        <w:t xml:space="preserve">The other consideration is method of disclosure, which drives the data used for decision-making: students are proactively identified in schools but largely required to self-disclose in VET and higher education. Schools are actively encouraged to identify and document students with disability, because doing so is tied to funded support. On leaving school, students move into a tertiary system that depends on the student choosing to disclose. </w:t>
      </w:r>
    </w:p>
    <w:p w14:paraId="4C754BD9" w14:textId="77777777" w:rsidR="00C90ADA" w:rsidRPr="001E4868" w:rsidRDefault="00C90ADA" w:rsidP="00C90ADA">
      <w:pPr>
        <w:rPr>
          <w:rFonts w:ascii="Lato" w:eastAsia="Lato" w:hAnsi="Lato" w:cs="Lato"/>
        </w:rPr>
      </w:pPr>
      <w:r w:rsidRPr="001E4868">
        <w:rPr>
          <w:rFonts w:ascii="Lato" w:eastAsia="Lato" w:hAnsi="Lato" w:cs="Lato"/>
        </w:rPr>
        <w:t xml:space="preserve">This means that a student who has just moved from the </w:t>
      </w:r>
      <w:proofErr w:type="gramStart"/>
      <w:r w:rsidRPr="001E4868">
        <w:rPr>
          <w:rFonts w:ascii="Lato" w:eastAsia="Lato" w:hAnsi="Lato" w:cs="Lato"/>
        </w:rPr>
        <w:t>schools</w:t>
      </w:r>
      <w:proofErr w:type="gramEnd"/>
      <w:r w:rsidRPr="001E4868">
        <w:rPr>
          <w:rFonts w:ascii="Lato" w:eastAsia="Lato" w:hAnsi="Lato" w:cs="Lato"/>
        </w:rPr>
        <w:t xml:space="preserve"> system to either VET or higher education may be encountering training providers who are not directly incentivised to proactively include them, obscuring the true representation in these sectors, and potentially leading to less provision of support than is required. The Australian Universities Accord recommended a needs-based funding model with loadings for under-represented students, including students with disability, but the needs-based funding introduced from 2026 directs loadings to students from low socio-economic backgrounds, First Nations students and those at regional campuses, not to students with disability, who are instead supported through the separately expanded Disability Support Program. This, paired with the VET sector’s funding makeup, leads to a need for a joined-up and coordinated approach to disability support in tertiary education, beginning with the needs of learners flowing from schools. </w:t>
      </w:r>
      <w:r w:rsidRPr="001E4868">
        <w:rPr>
          <w:rStyle w:val="FootnoteReference"/>
        </w:rPr>
        <w:endnoteReference w:id="16"/>
      </w:r>
    </w:p>
    <w:p w14:paraId="4AEB8EE9"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4: </w:t>
      </w:r>
      <w:r w:rsidRPr="001E4868">
        <w:rPr>
          <w:rFonts w:ascii="Lato" w:eastAsia="Lato" w:hAnsi="Lato" w:cs="Lato"/>
        </w:rPr>
        <w:t xml:space="preserve">Set a consistent national baseline for disability support across both tertiary sectors, in collaboration with the </w:t>
      </w:r>
      <w:proofErr w:type="gramStart"/>
      <w:r w:rsidRPr="001E4868">
        <w:rPr>
          <w:rFonts w:ascii="Lato" w:eastAsia="Lato" w:hAnsi="Lato" w:cs="Lato"/>
        </w:rPr>
        <w:t>schools</w:t>
      </w:r>
      <w:proofErr w:type="gramEnd"/>
      <w:r w:rsidRPr="001E4868">
        <w:rPr>
          <w:rFonts w:ascii="Lato" w:eastAsia="Lato" w:hAnsi="Lato" w:cs="Lato"/>
        </w:rPr>
        <w:t xml:space="preserve"> sector, including a national disability support mechanism for VET.</w:t>
      </w:r>
    </w:p>
    <w:p w14:paraId="3F5FD876" w14:textId="77777777" w:rsidR="00C90ADA" w:rsidRPr="001E4868" w:rsidRDefault="00C90ADA" w:rsidP="003742E3">
      <w:pPr>
        <w:spacing w:before="240"/>
        <w:rPr>
          <w:rFonts w:ascii="Lato" w:eastAsia="Lato" w:hAnsi="Lato" w:cs="Lato"/>
        </w:rPr>
      </w:pPr>
      <w:r w:rsidRPr="001E4868">
        <w:rPr>
          <w:rFonts w:ascii="Lato" w:eastAsia="Lato" w:hAnsi="Lato" w:cs="Lato"/>
        </w:rPr>
        <w:t xml:space="preserve">A joined-up tertiary system needs to treat disability access as a core requirement, with robust and comparable datasets that can be used to drive policy and decision making. Schools currently collect the most structured disability data through the </w:t>
      </w:r>
      <w:proofErr w:type="spellStart"/>
      <w:r w:rsidRPr="001E4868">
        <w:rPr>
          <w:rFonts w:ascii="Lato" w:eastAsia="Lato" w:hAnsi="Lato" w:cs="Lato"/>
        </w:rPr>
        <w:t>NCCD</w:t>
      </w:r>
      <w:proofErr w:type="spellEnd"/>
      <w:r w:rsidRPr="001E4868">
        <w:rPr>
          <w:rFonts w:ascii="Lato" w:eastAsia="Lato" w:hAnsi="Lato" w:cs="Lato"/>
        </w:rPr>
        <w:t xml:space="preserve">, higher education collects self-disclosed disability data; VET has national data through </w:t>
      </w:r>
      <w:proofErr w:type="spellStart"/>
      <w:r w:rsidRPr="001E4868">
        <w:rPr>
          <w:rFonts w:ascii="Lato" w:eastAsia="Lato" w:hAnsi="Lato" w:cs="Lato"/>
        </w:rPr>
        <w:t>NCVER</w:t>
      </w:r>
      <w:proofErr w:type="spellEnd"/>
      <w:r w:rsidRPr="001E4868">
        <w:rPr>
          <w:rFonts w:ascii="Lato" w:eastAsia="Lato" w:hAnsi="Lato" w:cs="Lato"/>
        </w:rPr>
        <w:t xml:space="preserve">, but it also captures only self-disclosed disability and, unlike the </w:t>
      </w:r>
      <w:proofErr w:type="spellStart"/>
      <w:r w:rsidRPr="001E4868">
        <w:rPr>
          <w:rFonts w:ascii="Lato" w:eastAsia="Lato" w:hAnsi="Lato" w:cs="Lato"/>
        </w:rPr>
        <w:t>NCCD</w:t>
      </w:r>
      <w:proofErr w:type="spellEnd"/>
      <w:r w:rsidRPr="001E4868">
        <w:rPr>
          <w:rFonts w:ascii="Lato" w:eastAsia="Lato" w:hAnsi="Lato" w:cs="Lato"/>
        </w:rPr>
        <w:t>, is not an adjustment-based collection.</w:t>
      </w:r>
      <w:r w:rsidRPr="001E4868">
        <w:rPr>
          <w:rStyle w:val="FootnoteReference"/>
        </w:rPr>
        <w:endnoteReference w:id="17"/>
      </w:r>
    </w:p>
    <w:p w14:paraId="28DA806E" w14:textId="77777777" w:rsidR="00C90ADA" w:rsidRPr="001E4868" w:rsidRDefault="00C90ADA" w:rsidP="00C90ADA">
      <w:pPr>
        <w:rPr>
          <w:rFonts w:ascii="Lato" w:eastAsia="Lato" w:hAnsi="Lato" w:cs="Lato"/>
        </w:rPr>
      </w:pPr>
      <w:r w:rsidRPr="001E4868">
        <w:rPr>
          <w:rFonts w:ascii="Lato" w:eastAsia="Lato" w:hAnsi="Lato" w:cs="Lato"/>
        </w:rPr>
        <w:t xml:space="preserve">There is national infrastructure to build on. The National Disability Data Asset brings together de-identified government data, is co-governed with people with disability, and is already planning to expand into education, including tertiary education. The school sector has shown that a consistent measure can work at scale, at least for its intended purpose: the </w:t>
      </w:r>
      <w:proofErr w:type="spellStart"/>
      <w:r w:rsidRPr="001E4868">
        <w:rPr>
          <w:rFonts w:ascii="Lato" w:eastAsia="Lato" w:hAnsi="Lato" w:cs="Lato"/>
        </w:rPr>
        <w:t>NCCD</w:t>
      </w:r>
      <w:proofErr w:type="spellEnd"/>
      <w:r w:rsidRPr="001E4868">
        <w:rPr>
          <w:rFonts w:ascii="Lato" w:eastAsia="Lato" w:hAnsi="Lato" w:cs="Lato"/>
        </w:rPr>
        <w:t xml:space="preserve"> counts students by the level of adjustment they receive rather than by diagnosis or triggered </w:t>
      </w:r>
      <w:r w:rsidRPr="001E4868">
        <w:rPr>
          <w:rFonts w:ascii="Lato" w:eastAsia="Lato" w:hAnsi="Lato" w:cs="Lato"/>
        </w:rPr>
        <w:lastRenderedPageBreak/>
        <w:t xml:space="preserve">by the supply of documentation or self-disclosure from the student, family or carers. Although the </w:t>
      </w:r>
      <w:proofErr w:type="spellStart"/>
      <w:r w:rsidRPr="001E4868">
        <w:rPr>
          <w:rFonts w:ascii="Lato" w:eastAsia="Lato" w:hAnsi="Lato" w:cs="Lato"/>
        </w:rPr>
        <w:t>NCCD</w:t>
      </w:r>
      <w:proofErr w:type="spellEnd"/>
      <w:r w:rsidRPr="001E4868">
        <w:rPr>
          <w:rFonts w:ascii="Lato" w:eastAsia="Lato" w:hAnsi="Lato" w:cs="Lato"/>
        </w:rPr>
        <w:t xml:space="preserve"> has its own limitations and learnings to be drawn out, it offers a working model for data collection.</w:t>
      </w:r>
      <w:r w:rsidRPr="001E4868">
        <w:rPr>
          <w:rStyle w:val="FootnoteReference"/>
        </w:rPr>
        <w:endnoteReference w:id="18"/>
      </w:r>
    </w:p>
    <w:p w14:paraId="30554F9E" w14:textId="77777777" w:rsidR="00C90ADA" w:rsidRPr="001E4868" w:rsidRDefault="00C90ADA" w:rsidP="00C90ADA">
      <w:r w:rsidRPr="001E4868">
        <w:rPr>
          <w:rFonts w:ascii="Lato" w:eastAsia="Lato" w:hAnsi="Lato" w:cs="Lato"/>
        </w:rPr>
        <w:t>A cross-sector approach should adopt a consistent measure of disability across VET and higher education, linkable across the school-to-tertiary continuum and connected to the National Disability Data Asset rather than built as a parallel collection. Privacy, consent and data leadership by people with disability should be designed into that architecture from the start. This would let the system measure the experience of students with disability across education sectors for the first time.</w:t>
      </w:r>
    </w:p>
    <w:p w14:paraId="53DC1EAA"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5: </w:t>
      </w:r>
      <w:r w:rsidRPr="001E4868">
        <w:rPr>
          <w:rFonts w:ascii="Lato" w:eastAsia="Lato" w:hAnsi="Lato" w:cs="Lato"/>
        </w:rPr>
        <w:t>Adopt consistent measures of disability across VET and higher education that link to the school continuum and connect to the National Disability Data Asset.</w:t>
      </w:r>
    </w:p>
    <w:p w14:paraId="3E91376D" w14:textId="77777777" w:rsidR="00C90ADA" w:rsidRPr="001E4868" w:rsidRDefault="00C90ADA" w:rsidP="00C90ADA">
      <w:pPr>
        <w:pStyle w:val="Heading2"/>
      </w:pPr>
      <w:r w:rsidRPr="001E4868">
        <w:rPr>
          <w:rFonts w:ascii="Lato" w:eastAsia="Lato" w:hAnsi="Lato" w:cs="Lato"/>
          <w:b/>
          <w:color w:val="003368"/>
        </w:rPr>
        <w:t>3.3 Transitions and portable adjustment information</w:t>
      </w:r>
    </w:p>
    <w:p w14:paraId="64081801" w14:textId="77777777" w:rsidR="00C90ADA" w:rsidRPr="001E4868" w:rsidRDefault="00C90ADA" w:rsidP="00C90ADA">
      <w:pPr>
        <w:rPr>
          <w:rFonts w:ascii="Lato" w:eastAsia="Lato" w:hAnsi="Lato" w:cs="Lato"/>
        </w:rPr>
      </w:pPr>
      <w:r w:rsidRPr="001E4868">
        <w:rPr>
          <w:rFonts w:ascii="Lato" w:eastAsia="Lato" w:hAnsi="Lato" w:cs="Lato"/>
        </w:rPr>
        <w:t xml:space="preserve">Transitions are the points where support can be </w:t>
      </w:r>
      <w:proofErr w:type="gramStart"/>
      <w:r w:rsidRPr="001E4868">
        <w:rPr>
          <w:rFonts w:ascii="Lato" w:eastAsia="Lato" w:hAnsi="Lato" w:cs="Lato"/>
        </w:rPr>
        <w:t>lost:</w:t>
      </w:r>
      <w:proofErr w:type="gramEnd"/>
      <w:r w:rsidRPr="001E4868">
        <w:rPr>
          <w:rFonts w:ascii="Lato" w:eastAsia="Lato" w:hAnsi="Lato" w:cs="Lato"/>
        </w:rPr>
        <w:t xml:space="preserve"> where documentation is lost, disclosure </w:t>
      </w:r>
      <w:proofErr w:type="gramStart"/>
      <w:r w:rsidRPr="001E4868">
        <w:rPr>
          <w:rFonts w:ascii="Lato" w:eastAsia="Lato" w:hAnsi="Lato" w:cs="Lato"/>
        </w:rPr>
        <w:t>has to</w:t>
      </w:r>
      <w:proofErr w:type="gramEnd"/>
      <w:r w:rsidRPr="001E4868">
        <w:rPr>
          <w:rFonts w:ascii="Lato" w:eastAsia="Lato" w:hAnsi="Lato" w:cs="Lato"/>
        </w:rPr>
        <w:t xml:space="preserve"> be repeated and a well-supported student can be forced to start from scratch. Few students are explicitly taught the skill the tertiary system now </w:t>
      </w:r>
      <w:proofErr w:type="gramStart"/>
      <w:r w:rsidRPr="001E4868">
        <w:rPr>
          <w:rFonts w:ascii="Lato" w:eastAsia="Lato" w:hAnsi="Lato" w:cs="Lato"/>
        </w:rPr>
        <w:t>expects:</w:t>
      </w:r>
      <w:proofErr w:type="gramEnd"/>
      <w:r w:rsidRPr="001E4868">
        <w:rPr>
          <w:rFonts w:ascii="Lato" w:eastAsia="Lato" w:hAnsi="Lato" w:cs="Lato"/>
        </w:rPr>
        <w:t xml:space="preserve"> how to understand, request and negotiate reasonable adjustments. In school these are largely arranged around the student; in tertiary study the responsibility shifts to the student. Building that skill is a learnable, fundable part of transition.</w:t>
      </w:r>
    </w:p>
    <w:p w14:paraId="4978CDB5" w14:textId="77777777" w:rsidR="00C90ADA" w:rsidRPr="001E4868" w:rsidRDefault="00C90ADA" w:rsidP="00C90ADA">
      <w:pPr>
        <w:rPr>
          <w:rFonts w:ascii="Lato" w:eastAsia="Lato" w:hAnsi="Lato" w:cs="Lato"/>
        </w:rPr>
      </w:pPr>
      <w:r w:rsidRPr="001E4868">
        <w:rPr>
          <w:rFonts w:ascii="Lato" w:eastAsia="Lato" w:hAnsi="Lato" w:cs="Lato"/>
        </w:rPr>
        <w:t>A student who was well supported at school on the strength of a teacher's professional judgement can arrive in VET or higher education to find the same need must be re-evidenced, re-disclosed and renegotiated from the start. Compounding this, the student is not resourced to bundle up the adjustments already working for them and carry them across the join: the supports do not travel with the student. Portable disability documentation, and transition support that helps students assemble and present their own evidence, would bridge some of this divide.</w:t>
      </w:r>
    </w:p>
    <w:p w14:paraId="3B830F5D" w14:textId="77777777" w:rsidR="00C90ADA" w:rsidRPr="001E4868" w:rsidRDefault="00C90ADA" w:rsidP="00C90ADA">
      <w:pPr>
        <w:rPr>
          <w:rFonts w:ascii="Lato" w:eastAsia="Lato" w:hAnsi="Lato" w:cs="Lato"/>
        </w:rPr>
      </w:pPr>
      <w:r w:rsidRPr="001E4868">
        <w:rPr>
          <w:rFonts w:ascii="Lato" w:eastAsia="Lato" w:hAnsi="Lato" w:cs="Lato"/>
        </w:rPr>
        <w:t>This issue was identified in the Victorian Parliament's 2021 inquiry into access to TAFE for learners with disability, which found that many learners do not disclose their disability at enrolment and miss out on support, recommended dedicated school-to-TAFE transition assistance, and noted that, unlike schools and universities, TAFEs receive no dedicated funding to support learners with disability.</w:t>
      </w:r>
      <w:r w:rsidRPr="001E4868">
        <w:rPr>
          <w:rStyle w:val="FootnoteReference"/>
        </w:rPr>
        <w:endnoteReference w:id="19"/>
      </w:r>
    </w:p>
    <w:p w14:paraId="19598730" w14:textId="77777777" w:rsidR="00C90ADA" w:rsidRPr="001E4868" w:rsidRDefault="00C90ADA" w:rsidP="00C90ADA">
      <w:pPr>
        <w:rPr>
          <w:rFonts w:ascii="Lato" w:eastAsia="Lato" w:hAnsi="Lato" w:cs="Lato"/>
        </w:rPr>
      </w:pPr>
      <w:r w:rsidRPr="001E4868">
        <w:rPr>
          <w:rFonts w:ascii="Lato" w:eastAsia="Lato" w:hAnsi="Lato" w:cs="Lato"/>
        </w:rPr>
        <w:t xml:space="preserve">In response, TAFEs across Victoria have a state-funded Disability Transition Officer who supports senior secondary students with disability, including those with mental health conditions, neurodivergence and long-term medical conditions, to move from school into TAFE. These officers introduce students to program leaders, connect them to services, work with educators on adjustments before classes start, help students develop a learning access plan, explain flexible </w:t>
      </w:r>
      <w:proofErr w:type="gramStart"/>
      <w:r w:rsidRPr="001E4868">
        <w:rPr>
          <w:rFonts w:ascii="Lato" w:eastAsia="Lato" w:hAnsi="Lato" w:cs="Lato"/>
        </w:rPr>
        <w:t>course-load</w:t>
      </w:r>
      <w:proofErr w:type="gramEnd"/>
      <w:r w:rsidRPr="001E4868">
        <w:rPr>
          <w:rFonts w:ascii="Lato" w:eastAsia="Lato" w:hAnsi="Lato" w:cs="Lato"/>
        </w:rPr>
        <w:t xml:space="preserve"> and assessment options, and run personalised campus tours. Support wraps around the student during the transition rather than after something has gone wrong.</w:t>
      </w:r>
      <w:r w:rsidRPr="001E4868">
        <w:rPr>
          <w:rStyle w:val="FootnoteReference"/>
        </w:rPr>
        <w:endnoteReference w:id="20"/>
      </w:r>
    </w:p>
    <w:p w14:paraId="22A72299" w14:textId="77777777" w:rsidR="00C90ADA" w:rsidRPr="001E4868" w:rsidRDefault="00C90ADA" w:rsidP="00C90ADA">
      <w:pPr>
        <w:rPr>
          <w:rFonts w:ascii="Lato" w:eastAsia="Lato" w:hAnsi="Lato" w:cs="Lato"/>
        </w:rPr>
      </w:pPr>
      <w:r w:rsidRPr="001E4868">
        <w:rPr>
          <w:rFonts w:ascii="Lato" w:eastAsia="Lato" w:hAnsi="Lato" w:cs="Lato"/>
        </w:rPr>
        <w:t xml:space="preserve">Commissioning a program evaluation of the Disability Transition Officer program could bring forward options for national expansion, and draw out an implementation plan for infrastructure to make disability information and reasonable adjustments portable. Using this evidence base, the Roadmap could seek to fund dedicated transition support at every major junction: school to VET, school to higher education, between VET and higher education, </w:t>
      </w:r>
      <w:r w:rsidRPr="001E4868">
        <w:rPr>
          <w:rFonts w:ascii="Lato" w:eastAsia="Lato" w:hAnsi="Lato" w:cs="Lato"/>
        </w:rPr>
        <w:lastRenderedPageBreak/>
        <w:t>between institutions and from tertiary study into employment, and enable the policy and technology infrastructure to make the transition more seamless. Any portable adjustment implementation should be co-designed with people with disability.</w:t>
      </w:r>
    </w:p>
    <w:p w14:paraId="3B6D7B44" w14:textId="77777777" w:rsidR="00C90ADA" w:rsidRPr="001E4868" w:rsidRDefault="00C90ADA" w:rsidP="00C90ADA">
      <w:r w:rsidRPr="001E4868">
        <w:rPr>
          <w:rFonts w:ascii="Lato" w:eastAsia="Lato" w:hAnsi="Lato" w:cs="Lato"/>
        </w:rPr>
        <w:t xml:space="preserve">In the short term, ADCET is well positioned to help develop and disseminate the guidance, training and resources that such roles would need, making models like Victoria's usable nationally before centralised funding is available, as occurred with the </w:t>
      </w:r>
      <w:proofErr w:type="spellStart"/>
      <w:r w:rsidRPr="001E4868">
        <w:rPr>
          <w:rFonts w:ascii="Lato" w:eastAsia="Lato" w:hAnsi="Lato" w:cs="Lato"/>
        </w:rPr>
        <w:t>USEP</w:t>
      </w:r>
      <w:proofErr w:type="spellEnd"/>
      <w:r w:rsidRPr="001E4868">
        <w:rPr>
          <w:rFonts w:ascii="Lato" w:eastAsia="Lato" w:hAnsi="Lato" w:cs="Lato"/>
        </w:rPr>
        <w:t xml:space="preserve"> and </w:t>
      </w:r>
      <w:proofErr w:type="spellStart"/>
      <w:r w:rsidRPr="001E4868">
        <w:rPr>
          <w:rFonts w:ascii="Lato" w:eastAsia="Lato" w:hAnsi="Lato" w:cs="Lato"/>
        </w:rPr>
        <w:t>TSEP</w:t>
      </w:r>
      <w:proofErr w:type="spellEnd"/>
      <w:r w:rsidRPr="001E4868">
        <w:rPr>
          <w:rFonts w:ascii="Lato" w:eastAsia="Lato" w:hAnsi="Lato" w:cs="Lato"/>
        </w:rPr>
        <w:t xml:space="preserve"> models.</w:t>
      </w:r>
    </w:p>
    <w:p w14:paraId="721EA17D"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6: </w:t>
      </w:r>
      <w:r w:rsidRPr="001E4868">
        <w:rPr>
          <w:rFonts w:ascii="Lato" w:eastAsia="Lato" w:hAnsi="Lato" w:cs="Lato"/>
        </w:rPr>
        <w:t>Fund dedicated transition support at every major junction across the continuum, with portable reasonable adjustment information co-designed with people with disability.</w:t>
      </w:r>
    </w:p>
    <w:p w14:paraId="1C263026" w14:textId="77777777" w:rsidR="00C90ADA" w:rsidRPr="001E4868" w:rsidRDefault="00C90ADA" w:rsidP="003742E3">
      <w:pPr>
        <w:pStyle w:val="Heading2"/>
        <w:spacing w:before="240"/>
      </w:pPr>
      <w:r w:rsidRPr="001E4868">
        <w:rPr>
          <w:rFonts w:ascii="Lato" w:eastAsia="Lato" w:hAnsi="Lato" w:cs="Lato"/>
          <w:b/>
          <w:color w:val="003368"/>
        </w:rPr>
        <w:t>3.4 Inclusive design and accessible procurement</w:t>
      </w:r>
    </w:p>
    <w:p w14:paraId="0011DF53" w14:textId="77777777" w:rsidR="00C90ADA" w:rsidRPr="001E4868" w:rsidRDefault="00C90ADA" w:rsidP="00C90ADA">
      <w:pPr>
        <w:rPr>
          <w:rFonts w:ascii="Lato" w:eastAsia="Lato" w:hAnsi="Lato" w:cs="Lato"/>
        </w:rPr>
      </w:pPr>
      <w:r w:rsidRPr="001E4868">
        <w:rPr>
          <w:rFonts w:ascii="Lato" w:eastAsia="Lato" w:hAnsi="Lato" w:cs="Lato"/>
        </w:rPr>
        <w:t>A joined-up tertiary system should be designed to include as many students as possible by default, rather than relying on repeated individual adjustments. The foundation is inclusive design: Universal Design for Learning in teaching and assessment, Universal Design in physical and digital environments, and accessibly procured ICT and services. This reduces, though does not remove, the need for individual adjustments over time. Inclusive design is also where alignment across sectors produces practical efficiencies.</w:t>
      </w:r>
    </w:p>
    <w:p w14:paraId="4FDE97C1" w14:textId="77777777" w:rsidR="00C90ADA" w:rsidRPr="001E4868" w:rsidRDefault="00C90ADA" w:rsidP="00C90ADA">
      <w:pPr>
        <w:rPr>
          <w:rFonts w:ascii="Lato" w:eastAsia="Lato" w:hAnsi="Lato" w:cs="Lato"/>
        </w:rPr>
      </w:pPr>
      <w:r w:rsidRPr="001E4868">
        <w:rPr>
          <w:rFonts w:ascii="Lato" w:eastAsia="Lato" w:hAnsi="Lato" w:cs="Lato"/>
        </w:rPr>
        <w:t xml:space="preserve">Embedding UDL in teaching and assessment, applying UD across physical and digital environments and ensuring accessible ICT procurement against AS EN 301 549 and </w:t>
      </w:r>
      <w:proofErr w:type="spellStart"/>
      <w:r w:rsidRPr="001E4868">
        <w:rPr>
          <w:rFonts w:ascii="Lato" w:eastAsia="Lato" w:hAnsi="Lato" w:cs="Lato"/>
        </w:rPr>
        <w:t>WCAG</w:t>
      </w:r>
      <w:proofErr w:type="spellEnd"/>
      <w:r w:rsidRPr="001E4868">
        <w:rPr>
          <w:rFonts w:ascii="Lato" w:eastAsia="Lato" w:hAnsi="Lato" w:cs="Lato"/>
        </w:rPr>
        <w:t xml:space="preserve"> 2.2 AA would reduce avoidable barriers. For smaller RTOs especially, accessible ICT procurement can be difficult to manage provider by provider; a coordinated cross-sector approach would give providers a stronger basis for consistent requirements and shared procurement practice. A tertiary-sector Accessible ICT Procurement Guide already exists, developed by the National Disability Coordination Officer Program, ADCET, </w:t>
      </w:r>
      <w:proofErr w:type="spellStart"/>
      <w:r w:rsidRPr="001E4868">
        <w:rPr>
          <w:rFonts w:ascii="Lato" w:eastAsia="Lato" w:hAnsi="Lato" w:cs="Lato"/>
        </w:rPr>
        <w:t>Intopia</w:t>
      </w:r>
      <w:proofErr w:type="spellEnd"/>
      <w:r w:rsidRPr="001E4868">
        <w:rPr>
          <w:rFonts w:ascii="Lato" w:eastAsia="Lato" w:hAnsi="Lato" w:cs="Lato"/>
        </w:rPr>
        <w:t xml:space="preserve"> and CAUDIT, but is currently oriented to higher education; extending it across VET is a practical, system-wide opportunity.</w:t>
      </w:r>
      <w:r w:rsidRPr="001E4868">
        <w:rPr>
          <w:rStyle w:val="FootnoteReference"/>
        </w:rPr>
        <w:endnoteReference w:id="21"/>
      </w:r>
    </w:p>
    <w:p w14:paraId="62EF4A63" w14:textId="77777777" w:rsidR="00C90ADA" w:rsidRPr="001E4868" w:rsidRDefault="00C90ADA" w:rsidP="00C90ADA">
      <w:pPr>
        <w:rPr>
          <w:rFonts w:ascii="Lato" w:eastAsia="Lato" w:hAnsi="Lato" w:cs="Lato"/>
        </w:rPr>
      </w:pPr>
      <w:r w:rsidRPr="001E4868">
        <w:rPr>
          <w:rFonts w:ascii="Lato" w:eastAsia="Lato" w:hAnsi="Lato" w:cs="Lato"/>
        </w:rPr>
        <w:t>There have been positive policy shifts in both the VET and higher education sectors toward the adoption of inclusive design, including signals in the 2025 Standards for Registered Training Organisations toward requiring accessible coursework, premises and work experiences, and in higher education with changes to the Disability Support fund to enable expenditure on the adoption of UDL.  These movements are positive and a step in the right direction, however a coordinated policy approach across the tertiary sector would stabilize the experience of students as they move between education levels.</w:t>
      </w:r>
    </w:p>
    <w:p w14:paraId="1105963A"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7: </w:t>
      </w:r>
      <w:r w:rsidRPr="001E4868">
        <w:rPr>
          <w:rFonts w:ascii="Lato" w:eastAsia="Lato" w:hAnsi="Lato" w:cs="Lato"/>
        </w:rPr>
        <w:t xml:space="preserve">Embed inclusive design across the system: Universal Design for Learning (UDL) in teaching and assessment, Universal Design (UD) in physical and digital environments, and accessible ICT procurement against AS EN 301 549 and </w:t>
      </w:r>
      <w:proofErr w:type="spellStart"/>
      <w:r w:rsidRPr="001E4868">
        <w:rPr>
          <w:rFonts w:ascii="Lato" w:eastAsia="Lato" w:hAnsi="Lato" w:cs="Lato"/>
        </w:rPr>
        <w:t>WCAG</w:t>
      </w:r>
      <w:proofErr w:type="spellEnd"/>
      <w:r w:rsidRPr="001E4868">
        <w:rPr>
          <w:rFonts w:ascii="Lato" w:eastAsia="Lato" w:hAnsi="Lato" w:cs="Lato"/>
        </w:rPr>
        <w:t xml:space="preserve"> 2.2 AA across both sectors.</w:t>
      </w:r>
    </w:p>
    <w:p w14:paraId="08C5852B" w14:textId="77777777" w:rsidR="00C90ADA" w:rsidRPr="001E4868" w:rsidRDefault="00C90ADA" w:rsidP="003742E3">
      <w:pPr>
        <w:pStyle w:val="Heading2"/>
        <w:spacing w:before="240"/>
      </w:pPr>
      <w:r w:rsidRPr="001E4868">
        <w:rPr>
          <w:rFonts w:ascii="Lato" w:eastAsia="Lato" w:hAnsi="Lato" w:cs="Lato"/>
          <w:b/>
          <w:color w:val="003368"/>
        </w:rPr>
        <w:t xml:space="preserve">3.5 Implementation infrastructure, Oversight and complaints </w:t>
      </w:r>
    </w:p>
    <w:p w14:paraId="1C928097" w14:textId="77777777" w:rsidR="00C90ADA" w:rsidRPr="001E4868" w:rsidRDefault="00C90ADA" w:rsidP="00C90ADA">
      <w:pPr>
        <w:rPr>
          <w:rFonts w:ascii="Lato" w:eastAsia="Lato" w:hAnsi="Lato" w:cs="Lato"/>
        </w:rPr>
      </w:pPr>
      <w:r w:rsidRPr="001E4868">
        <w:rPr>
          <w:rFonts w:ascii="Lato" w:eastAsia="Lato" w:hAnsi="Lato" w:cs="Lato"/>
        </w:rPr>
        <w:t xml:space="preserve">Enabling implementation infrastructure to support the tertiary continuum with inclusive education remains uneven. ADCET is a national clearinghouse resource for the higher education sector, funded as a component of the </w:t>
      </w:r>
      <w:proofErr w:type="spellStart"/>
      <w:r w:rsidRPr="001E4868">
        <w:rPr>
          <w:rFonts w:ascii="Lato" w:eastAsia="Lato" w:hAnsi="Lato" w:cs="Lato"/>
        </w:rPr>
        <w:t>DSF</w:t>
      </w:r>
      <w:proofErr w:type="spellEnd"/>
      <w:r w:rsidRPr="001E4868">
        <w:rPr>
          <w:rFonts w:ascii="Lato" w:eastAsia="Lato" w:hAnsi="Lato" w:cs="Lato"/>
        </w:rPr>
        <w:t xml:space="preserve">.  As an entity, ADCET has also over its years of operation received short term grant funding for individual projects including the </w:t>
      </w:r>
      <w:r w:rsidRPr="001E4868">
        <w:rPr>
          <w:rFonts w:ascii="Lato" w:eastAsia="Lato" w:hAnsi="Lato" w:cs="Lato"/>
        </w:rPr>
        <w:lastRenderedPageBreak/>
        <w:t xml:space="preserve">development of VET resources and eLearning for both VET &amp; higher education, alongside roles such as the National Assistive Technology Officer. </w:t>
      </w:r>
    </w:p>
    <w:p w14:paraId="3B5BDCA6" w14:textId="77777777" w:rsidR="00C90ADA" w:rsidRPr="001E4868" w:rsidRDefault="00C90ADA" w:rsidP="00C90ADA">
      <w:pPr>
        <w:pStyle w:val="font-body-text"/>
        <w:rPr>
          <w:rFonts w:ascii="Lato" w:hAnsi="Lato"/>
          <w:b/>
          <w:bCs/>
          <w:color w:val="000000"/>
          <w:sz w:val="22"/>
          <w:szCs w:val="22"/>
        </w:rPr>
      </w:pPr>
      <w:r w:rsidRPr="001E4868">
        <w:rPr>
          <w:rStyle w:val="Strong"/>
          <w:rFonts w:ascii="Lato" w:hAnsi="Lato"/>
          <w:b w:val="0"/>
          <w:bCs w:val="0"/>
          <w:color w:val="000000"/>
          <w:sz w:val="22"/>
          <w:szCs w:val="22"/>
        </w:rPr>
        <w:t>ADCET has in recent years, where funding enables, provided:</w:t>
      </w:r>
    </w:p>
    <w:p w14:paraId="4E2CA432" w14:textId="77777777" w:rsidR="00C90ADA" w:rsidRPr="001E4868" w:rsidRDefault="00C90ADA" w:rsidP="00C90ADA">
      <w:pPr>
        <w:pStyle w:val="font-body-text"/>
        <w:numPr>
          <w:ilvl w:val="0"/>
          <w:numId w:val="3"/>
        </w:numPr>
        <w:rPr>
          <w:rFonts w:ascii="Lato" w:hAnsi="Lato"/>
          <w:color w:val="000000"/>
          <w:sz w:val="22"/>
          <w:szCs w:val="22"/>
        </w:rPr>
      </w:pPr>
      <w:r w:rsidRPr="001E4868">
        <w:rPr>
          <w:rStyle w:val="Strong"/>
          <w:rFonts w:ascii="Lato" w:hAnsi="Lato"/>
          <w:b w:val="0"/>
          <w:bCs w:val="0"/>
          <w:color w:val="000000"/>
          <w:sz w:val="22"/>
          <w:szCs w:val="22"/>
        </w:rPr>
        <w:t>ADCET UDL Studio</w:t>
      </w:r>
      <w:r w:rsidRPr="001E4868">
        <w:rPr>
          <w:rFonts w:ascii="Lato" w:hAnsi="Lato"/>
          <w:color w:val="000000"/>
          <w:sz w:val="22"/>
          <w:szCs w:val="22"/>
        </w:rPr>
        <w:t>: fortnightly sessions where staff and students bring real life UDL queries and explore practical solutions; facilitated by the ADCET team</w:t>
      </w:r>
    </w:p>
    <w:p w14:paraId="21A3EE7A" w14:textId="77777777" w:rsidR="00C90ADA" w:rsidRPr="001E4868" w:rsidRDefault="00C90ADA" w:rsidP="00C90ADA">
      <w:pPr>
        <w:pStyle w:val="font-body-text"/>
        <w:numPr>
          <w:ilvl w:val="0"/>
          <w:numId w:val="3"/>
        </w:numPr>
        <w:rPr>
          <w:rFonts w:ascii="Lato" w:hAnsi="Lato"/>
          <w:color w:val="000000"/>
          <w:sz w:val="22"/>
          <w:szCs w:val="22"/>
        </w:rPr>
      </w:pPr>
      <w:r w:rsidRPr="001E4868">
        <w:rPr>
          <w:rStyle w:val="Strong"/>
          <w:rFonts w:ascii="Lato" w:hAnsi="Lato"/>
          <w:b w:val="0"/>
          <w:bCs w:val="0"/>
          <w:color w:val="000000"/>
          <w:sz w:val="22"/>
          <w:szCs w:val="22"/>
        </w:rPr>
        <w:t>ADCET Assist</w:t>
      </w:r>
      <w:r w:rsidRPr="001E4868">
        <w:rPr>
          <w:rFonts w:ascii="Lato" w:hAnsi="Lato"/>
          <w:color w:val="000000"/>
          <w:sz w:val="22"/>
          <w:szCs w:val="22"/>
        </w:rPr>
        <w:t>: 1-to-1 and group online sessions for educators and disability support staff on digital accessibility, inclusive teaching and assistive technology</w:t>
      </w:r>
    </w:p>
    <w:p w14:paraId="29008FC5" w14:textId="77777777" w:rsidR="00C90ADA" w:rsidRPr="001E4868" w:rsidRDefault="00C90ADA" w:rsidP="00C90ADA">
      <w:pPr>
        <w:pStyle w:val="font-body-text"/>
        <w:rPr>
          <w:rFonts w:ascii="Lato" w:hAnsi="Lato"/>
          <w:b/>
          <w:bCs/>
          <w:color w:val="000000"/>
          <w:sz w:val="22"/>
          <w:szCs w:val="22"/>
        </w:rPr>
      </w:pPr>
      <w:r w:rsidRPr="001E4868">
        <w:rPr>
          <w:rStyle w:val="Strong"/>
          <w:rFonts w:ascii="Lato" w:hAnsi="Lato"/>
          <w:b w:val="0"/>
          <w:bCs w:val="0"/>
          <w:color w:val="000000"/>
          <w:sz w:val="22"/>
          <w:szCs w:val="22"/>
        </w:rPr>
        <w:t>Communities of practice to build capacity and connect ideas:</w:t>
      </w:r>
    </w:p>
    <w:p w14:paraId="15983D0E" w14:textId="77777777" w:rsidR="00C90ADA" w:rsidRPr="001E4868" w:rsidRDefault="00C90ADA" w:rsidP="00C90ADA">
      <w:pPr>
        <w:pStyle w:val="font-body-text"/>
        <w:numPr>
          <w:ilvl w:val="0"/>
          <w:numId w:val="4"/>
        </w:numPr>
        <w:rPr>
          <w:rFonts w:ascii="Lato" w:hAnsi="Lato"/>
          <w:color w:val="000000"/>
          <w:sz w:val="22"/>
          <w:szCs w:val="22"/>
        </w:rPr>
      </w:pPr>
      <w:r w:rsidRPr="001E4868">
        <w:rPr>
          <w:rStyle w:val="Strong"/>
          <w:rFonts w:ascii="Lato" w:hAnsi="Lato"/>
          <w:b w:val="0"/>
          <w:bCs w:val="0"/>
          <w:color w:val="000000"/>
          <w:sz w:val="22"/>
          <w:szCs w:val="22"/>
        </w:rPr>
        <w:t>Assistive Technology</w:t>
      </w:r>
      <w:r w:rsidRPr="001E4868">
        <w:rPr>
          <w:rStyle w:val="apple-converted-space"/>
          <w:rFonts w:ascii="Lato" w:hAnsi="Lato"/>
          <w:color w:val="000000"/>
          <w:sz w:val="22"/>
          <w:szCs w:val="22"/>
        </w:rPr>
        <w:t>:</w:t>
      </w:r>
      <w:r w:rsidRPr="001E4868">
        <w:rPr>
          <w:rFonts w:ascii="Lato" w:hAnsi="Lato"/>
          <w:color w:val="000000"/>
          <w:sz w:val="22"/>
          <w:szCs w:val="22"/>
        </w:rPr>
        <w:t xml:space="preserve"> dual sector staff involved in advising on and providing AT solutions for students; shares current practice, issues and solutions</w:t>
      </w:r>
    </w:p>
    <w:p w14:paraId="0C6AF650" w14:textId="77777777" w:rsidR="00C90ADA" w:rsidRPr="001E4868" w:rsidRDefault="00C90ADA" w:rsidP="00C90ADA">
      <w:pPr>
        <w:pStyle w:val="font-body-text"/>
        <w:numPr>
          <w:ilvl w:val="0"/>
          <w:numId w:val="4"/>
        </w:numPr>
        <w:rPr>
          <w:rFonts w:ascii="Lato" w:hAnsi="Lato"/>
          <w:color w:val="000000"/>
          <w:sz w:val="22"/>
          <w:szCs w:val="22"/>
        </w:rPr>
      </w:pPr>
      <w:r w:rsidRPr="001E4868">
        <w:rPr>
          <w:rStyle w:val="Strong"/>
          <w:rFonts w:ascii="Lato" w:hAnsi="Lato"/>
          <w:b w:val="0"/>
          <w:bCs w:val="0"/>
          <w:color w:val="000000"/>
          <w:sz w:val="22"/>
          <w:szCs w:val="22"/>
        </w:rPr>
        <w:t xml:space="preserve">Disability Managers: </w:t>
      </w:r>
      <w:r w:rsidRPr="001E4868">
        <w:rPr>
          <w:rFonts w:ascii="Lato" w:hAnsi="Lato"/>
          <w:color w:val="000000"/>
          <w:sz w:val="22"/>
          <w:szCs w:val="22"/>
        </w:rPr>
        <w:t>for managers in higher education who oversee disability support services in universities, collaborating on current and emerging issues</w:t>
      </w:r>
    </w:p>
    <w:p w14:paraId="7E7825B0" w14:textId="77777777" w:rsidR="00C90ADA" w:rsidRPr="001E4868" w:rsidRDefault="00C90ADA" w:rsidP="00C90ADA">
      <w:pPr>
        <w:pStyle w:val="font-body-text"/>
        <w:numPr>
          <w:ilvl w:val="0"/>
          <w:numId w:val="4"/>
        </w:numPr>
        <w:rPr>
          <w:rFonts w:ascii="Lato" w:hAnsi="Lato"/>
          <w:color w:val="000000"/>
          <w:sz w:val="22"/>
          <w:szCs w:val="22"/>
        </w:rPr>
      </w:pPr>
      <w:r w:rsidRPr="001E4868">
        <w:rPr>
          <w:rStyle w:val="Strong"/>
          <w:rFonts w:ascii="Lato" w:hAnsi="Lato"/>
          <w:b w:val="0"/>
          <w:bCs w:val="0"/>
          <w:color w:val="000000"/>
          <w:sz w:val="22"/>
          <w:szCs w:val="22"/>
        </w:rPr>
        <w:t>Supporting Neurodivergent Students in Tertiary Education:</w:t>
      </w:r>
      <w:r w:rsidRPr="001E4868">
        <w:rPr>
          <w:rFonts w:ascii="Lato" w:hAnsi="Lato"/>
          <w:b/>
          <w:bCs/>
          <w:color w:val="000000"/>
          <w:sz w:val="22"/>
          <w:szCs w:val="22"/>
        </w:rPr>
        <w:t xml:space="preserve"> </w:t>
      </w:r>
      <w:r w:rsidRPr="001E4868">
        <w:rPr>
          <w:rFonts w:ascii="Lato" w:hAnsi="Lato"/>
          <w:color w:val="000000"/>
          <w:sz w:val="22"/>
          <w:szCs w:val="22"/>
        </w:rPr>
        <w:t xml:space="preserve">dual sector community sharing resources to make tertiary education more </w:t>
      </w:r>
      <w:proofErr w:type="spellStart"/>
      <w:r w:rsidRPr="001E4868">
        <w:rPr>
          <w:rFonts w:ascii="Lato" w:hAnsi="Lato"/>
          <w:color w:val="000000"/>
          <w:sz w:val="22"/>
          <w:szCs w:val="22"/>
        </w:rPr>
        <w:t>neuroaffirming</w:t>
      </w:r>
      <w:proofErr w:type="spellEnd"/>
      <w:r w:rsidRPr="001E4868">
        <w:rPr>
          <w:rFonts w:ascii="Lato" w:hAnsi="Lato"/>
          <w:color w:val="000000"/>
          <w:sz w:val="22"/>
          <w:szCs w:val="22"/>
        </w:rPr>
        <w:t xml:space="preserve"> and accessible</w:t>
      </w:r>
    </w:p>
    <w:p w14:paraId="624ACDD7" w14:textId="77777777" w:rsidR="00C90ADA" w:rsidRPr="001E4868" w:rsidRDefault="00C90ADA" w:rsidP="00C90ADA">
      <w:pPr>
        <w:pStyle w:val="font-body-text"/>
        <w:numPr>
          <w:ilvl w:val="0"/>
          <w:numId w:val="4"/>
        </w:numPr>
        <w:rPr>
          <w:rFonts w:ascii="Lato" w:hAnsi="Lato"/>
          <w:b/>
          <w:bCs/>
          <w:color w:val="000000"/>
          <w:sz w:val="22"/>
          <w:szCs w:val="22"/>
        </w:rPr>
      </w:pPr>
      <w:r w:rsidRPr="001E4868">
        <w:rPr>
          <w:rStyle w:val="Strong"/>
          <w:rFonts w:ascii="Lato" w:hAnsi="Lato"/>
          <w:b w:val="0"/>
          <w:bCs w:val="0"/>
          <w:color w:val="000000"/>
          <w:sz w:val="22"/>
          <w:szCs w:val="22"/>
        </w:rPr>
        <w:t>Universal Design for Learning</w:t>
      </w:r>
      <w:r w:rsidRPr="001E4868">
        <w:rPr>
          <w:rStyle w:val="apple-converted-space"/>
          <w:rFonts w:ascii="Lato" w:hAnsi="Lato"/>
          <w:color w:val="000000"/>
          <w:sz w:val="22"/>
          <w:szCs w:val="22"/>
        </w:rPr>
        <w:t xml:space="preserve">: </w:t>
      </w:r>
      <w:r w:rsidRPr="001E4868">
        <w:rPr>
          <w:rFonts w:ascii="Lato" w:hAnsi="Lato"/>
          <w:color w:val="000000"/>
          <w:sz w:val="22"/>
          <w:szCs w:val="22"/>
        </w:rPr>
        <w:t>dual sector connections for the development and implementation of UDL practice</w:t>
      </w:r>
    </w:p>
    <w:p w14:paraId="6AC7A983" w14:textId="77777777" w:rsidR="00C90ADA" w:rsidRPr="001E4868" w:rsidRDefault="00C90ADA" w:rsidP="00C90ADA">
      <w:pPr>
        <w:pStyle w:val="font-body-text"/>
        <w:rPr>
          <w:rFonts w:ascii="Lato" w:hAnsi="Lato"/>
          <w:b/>
          <w:bCs/>
          <w:color w:val="000000"/>
          <w:sz w:val="22"/>
          <w:szCs w:val="22"/>
        </w:rPr>
      </w:pPr>
      <w:r w:rsidRPr="001E4868">
        <w:rPr>
          <w:rStyle w:val="Strong"/>
          <w:rFonts w:ascii="Lato" w:hAnsi="Lato"/>
          <w:b w:val="0"/>
          <w:bCs w:val="0"/>
          <w:color w:val="000000"/>
          <w:sz w:val="22"/>
          <w:szCs w:val="22"/>
        </w:rPr>
        <w:t>Our eLearning on ADCET Academy provides professional development and baseline knowledge, with over 5,000 completions across:</w:t>
      </w:r>
    </w:p>
    <w:p w14:paraId="08BF02D3" w14:textId="77777777" w:rsidR="00C90ADA" w:rsidRPr="001E4868" w:rsidRDefault="00C90ADA" w:rsidP="00C90ADA">
      <w:pPr>
        <w:pStyle w:val="font-body-text"/>
        <w:numPr>
          <w:ilvl w:val="0"/>
          <w:numId w:val="5"/>
        </w:numPr>
        <w:rPr>
          <w:rFonts w:ascii="Lato" w:hAnsi="Lato"/>
          <w:color w:val="000000"/>
          <w:sz w:val="22"/>
          <w:szCs w:val="22"/>
        </w:rPr>
      </w:pPr>
      <w:r w:rsidRPr="001E4868">
        <w:rPr>
          <w:rStyle w:val="Strong"/>
          <w:rFonts w:ascii="Lato" w:hAnsi="Lato"/>
          <w:b w:val="0"/>
          <w:bCs w:val="0"/>
          <w:color w:val="000000"/>
          <w:sz w:val="22"/>
          <w:szCs w:val="22"/>
        </w:rPr>
        <w:t>UDL in Tertiary Education</w:t>
      </w:r>
      <w:r w:rsidRPr="001E4868">
        <w:rPr>
          <w:rStyle w:val="apple-converted-space"/>
          <w:rFonts w:ascii="Lato" w:hAnsi="Lato"/>
          <w:color w:val="000000"/>
          <w:sz w:val="22"/>
          <w:szCs w:val="22"/>
        </w:rPr>
        <w:t xml:space="preserve">: </w:t>
      </w:r>
      <w:r w:rsidRPr="001E4868">
        <w:rPr>
          <w:rFonts w:ascii="Lato" w:hAnsi="Lato"/>
          <w:color w:val="000000"/>
          <w:sz w:val="22"/>
          <w:szCs w:val="22"/>
        </w:rPr>
        <w:t xml:space="preserve"> principles and practices of Universal Design for Learning across higher education &amp; VET</w:t>
      </w:r>
    </w:p>
    <w:p w14:paraId="22DC1246" w14:textId="77777777" w:rsidR="00C90ADA" w:rsidRPr="001E4868" w:rsidRDefault="00C90ADA" w:rsidP="00C90ADA">
      <w:pPr>
        <w:pStyle w:val="font-body-text"/>
        <w:numPr>
          <w:ilvl w:val="0"/>
          <w:numId w:val="5"/>
        </w:numPr>
        <w:rPr>
          <w:rFonts w:ascii="Lato" w:hAnsi="Lato"/>
          <w:color w:val="000000"/>
          <w:sz w:val="22"/>
          <w:szCs w:val="22"/>
        </w:rPr>
      </w:pPr>
      <w:r w:rsidRPr="001E4868">
        <w:rPr>
          <w:rStyle w:val="Strong"/>
          <w:rFonts w:ascii="Lato" w:hAnsi="Lato"/>
          <w:b w:val="0"/>
          <w:bCs w:val="0"/>
          <w:color w:val="000000"/>
          <w:sz w:val="22"/>
          <w:szCs w:val="22"/>
        </w:rPr>
        <w:t>VET Educators Supporting Students with Disability</w:t>
      </w:r>
      <w:r w:rsidRPr="001E4868">
        <w:rPr>
          <w:rStyle w:val="apple-converted-space"/>
          <w:rFonts w:ascii="Lato" w:hAnsi="Lato"/>
          <w:color w:val="000000"/>
          <w:sz w:val="22"/>
          <w:szCs w:val="22"/>
        </w:rPr>
        <w:t>:</w:t>
      </w:r>
      <w:r w:rsidRPr="001E4868">
        <w:rPr>
          <w:rFonts w:ascii="Lato" w:hAnsi="Lato"/>
          <w:color w:val="000000"/>
          <w:sz w:val="22"/>
          <w:szCs w:val="22"/>
        </w:rPr>
        <w:t xml:space="preserve"> UDL, reasonable adjustments, and inclusive delivery and assessment for VET educators</w:t>
      </w:r>
    </w:p>
    <w:p w14:paraId="6FB5D50E" w14:textId="77777777" w:rsidR="00C90ADA" w:rsidRPr="001E4868" w:rsidRDefault="00C90ADA" w:rsidP="00C90ADA">
      <w:pPr>
        <w:pStyle w:val="font-body-text"/>
        <w:numPr>
          <w:ilvl w:val="0"/>
          <w:numId w:val="5"/>
        </w:numPr>
        <w:rPr>
          <w:rFonts w:ascii="Lato" w:hAnsi="Lato"/>
          <w:color w:val="000000"/>
          <w:sz w:val="22"/>
          <w:szCs w:val="22"/>
        </w:rPr>
      </w:pPr>
      <w:r w:rsidRPr="001E4868">
        <w:rPr>
          <w:rStyle w:val="Strong"/>
          <w:rFonts w:ascii="Lato" w:hAnsi="Lato"/>
          <w:b w:val="0"/>
          <w:bCs w:val="0"/>
          <w:color w:val="000000"/>
          <w:sz w:val="22"/>
          <w:szCs w:val="22"/>
        </w:rPr>
        <w:t>VET Staff Supporting Students with Disability</w:t>
      </w:r>
      <w:r w:rsidRPr="001E4868">
        <w:rPr>
          <w:rFonts w:ascii="Lato" w:hAnsi="Lato"/>
          <w:color w:val="000000"/>
          <w:sz w:val="22"/>
          <w:szCs w:val="22"/>
        </w:rPr>
        <w:t>: rights of students with disability and RTO responsibilities, for non-teaching VET staff</w:t>
      </w:r>
    </w:p>
    <w:p w14:paraId="2DBB5AD2" w14:textId="77777777" w:rsidR="00C90ADA" w:rsidRPr="001E4868" w:rsidRDefault="00C90ADA" w:rsidP="00C90ADA">
      <w:pPr>
        <w:pStyle w:val="font-body-text"/>
        <w:numPr>
          <w:ilvl w:val="0"/>
          <w:numId w:val="5"/>
        </w:numPr>
        <w:rPr>
          <w:rFonts w:ascii="Lato" w:hAnsi="Lato"/>
          <w:color w:val="000000"/>
          <w:sz w:val="22"/>
          <w:szCs w:val="22"/>
        </w:rPr>
      </w:pPr>
      <w:r w:rsidRPr="001E4868">
        <w:rPr>
          <w:rStyle w:val="Strong"/>
          <w:rFonts w:ascii="Lato" w:hAnsi="Lato"/>
          <w:b w:val="0"/>
          <w:bCs w:val="0"/>
          <w:color w:val="000000"/>
          <w:sz w:val="22"/>
          <w:szCs w:val="22"/>
        </w:rPr>
        <w:t>Supporting Blind and Vision Impaired Students Online</w:t>
      </w:r>
      <w:r w:rsidRPr="001E4868">
        <w:rPr>
          <w:rStyle w:val="apple-converted-space"/>
          <w:rFonts w:ascii="Lato" w:hAnsi="Lato"/>
          <w:color w:val="000000"/>
          <w:sz w:val="22"/>
          <w:szCs w:val="22"/>
        </w:rPr>
        <w:t xml:space="preserve">: </w:t>
      </w:r>
      <w:r w:rsidRPr="001E4868">
        <w:rPr>
          <w:rFonts w:ascii="Lato" w:hAnsi="Lato"/>
          <w:color w:val="000000"/>
          <w:sz w:val="22"/>
          <w:szCs w:val="22"/>
        </w:rPr>
        <w:t>practical strategies for dual sector education staff to address access barriers</w:t>
      </w:r>
    </w:p>
    <w:p w14:paraId="0797F0F3" w14:textId="77777777" w:rsidR="00C90ADA" w:rsidRPr="001E4868" w:rsidRDefault="00C90ADA" w:rsidP="00C90ADA">
      <w:pPr>
        <w:pStyle w:val="font-body-text"/>
        <w:numPr>
          <w:ilvl w:val="0"/>
          <w:numId w:val="5"/>
        </w:numPr>
        <w:rPr>
          <w:rFonts w:ascii="Lato" w:hAnsi="Lato"/>
          <w:color w:val="000000"/>
          <w:sz w:val="22"/>
          <w:szCs w:val="22"/>
        </w:rPr>
      </w:pPr>
      <w:r w:rsidRPr="001E4868">
        <w:rPr>
          <w:rStyle w:val="Strong"/>
          <w:rFonts w:ascii="Lato" w:hAnsi="Lato"/>
          <w:b w:val="0"/>
          <w:bCs w:val="0"/>
          <w:color w:val="000000"/>
          <w:sz w:val="22"/>
          <w:szCs w:val="22"/>
        </w:rPr>
        <w:t>Orientation for External Support Workers in Tertiary Settings</w:t>
      </w:r>
      <w:r w:rsidRPr="001E4868">
        <w:rPr>
          <w:rStyle w:val="apple-converted-space"/>
          <w:rFonts w:ascii="Lato" w:hAnsi="Lato"/>
          <w:b/>
          <w:bCs/>
          <w:color w:val="000000"/>
          <w:sz w:val="22"/>
          <w:szCs w:val="22"/>
        </w:rPr>
        <w:t xml:space="preserve">: </w:t>
      </w:r>
      <w:r w:rsidRPr="001E4868">
        <w:rPr>
          <w:rFonts w:ascii="Lato" w:hAnsi="Lato"/>
          <w:color w:val="000000"/>
          <w:sz w:val="22"/>
          <w:szCs w:val="22"/>
        </w:rPr>
        <w:t>roles and responsibilities of externally employed support workers in tertiary settings</w:t>
      </w:r>
    </w:p>
    <w:p w14:paraId="6B0358C4" w14:textId="77777777" w:rsidR="00C90ADA" w:rsidRPr="001E4868" w:rsidRDefault="00C90ADA" w:rsidP="00C90ADA">
      <w:pPr>
        <w:pStyle w:val="font-body-text"/>
        <w:numPr>
          <w:ilvl w:val="0"/>
          <w:numId w:val="5"/>
        </w:numPr>
        <w:rPr>
          <w:rFonts w:ascii="Lato" w:hAnsi="Lato"/>
          <w:color w:val="000000"/>
          <w:sz w:val="22"/>
          <w:szCs w:val="22"/>
        </w:rPr>
      </w:pPr>
      <w:r w:rsidRPr="001E4868">
        <w:rPr>
          <w:rStyle w:val="Strong"/>
          <w:rFonts w:ascii="Lato" w:hAnsi="Lato"/>
          <w:b w:val="0"/>
          <w:bCs w:val="0"/>
          <w:color w:val="000000"/>
          <w:sz w:val="22"/>
          <w:szCs w:val="22"/>
        </w:rPr>
        <w:t>Secondary School Staff and Educators (Qld)</w:t>
      </w:r>
      <w:r w:rsidRPr="001E4868">
        <w:rPr>
          <w:rStyle w:val="apple-converted-space"/>
          <w:rFonts w:ascii="Lato" w:hAnsi="Lato"/>
          <w:color w:val="000000"/>
          <w:sz w:val="22"/>
          <w:szCs w:val="22"/>
        </w:rPr>
        <w:t xml:space="preserve">: </w:t>
      </w:r>
      <w:r w:rsidRPr="001E4868">
        <w:rPr>
          <w:rFonts w:ascii="Lato" w:hAnsi="Lato"/>
          <w:color w:val="000000"/>
          <w:sz w:val="22"/>
          <w:szCs w:val="22"/>
        </w:rPr>
        <w:t>supports school staff to advise secondary students with disability on tertiary pathways (dual sector)</w:t>
      </w:r>
    </w:p>
    <w:p w14:paraId="7A7143C5" w14:textId="77777777" w:rsidR="00C90ADA" w:rsidRPr="001E4868" w:rsidRDefault="00C90ADA" w:rsidP="00C90ADA">
      <w:pPr>
        <w:rPr>
          <w:rFonts w:ascii="Lato" w:eastAsia="Lato" w:hAnsi="Lato" w:cs="Lato"/>
        </w:rPr>
      </w:pPr>
      <w:r w:rsidRPr="001E4868">
        <w:rPr>
          <w:rFonts w:ascii="Lato" w:eastAsia="Lato" w:hAnsi="Lato" w:cs="Lato"/>
        </w:rPr>
        <w:t>Beyond ADCET and state initiatives such as Victoria's Disability Transition Officers, the picture varies significantly: universities generally have established disability services, while VET ranges from capable support to RTOs with very little, and there is limited ongoing, well-funded, long-term enabling national infrastructure.</w:t>
      </w:r>
    </w:p>
    <w:p w14:paraId="08E47620" w14:textId="77777777" w:rsidR="00C90ADA" w:rsidRPr="001E4868" w:rsidRDefault="00C90ADA" w:rsidP="00C90ADA">
      <w:r w:rsidRPr="001E4868">
        <w:rPr>
          <w:rFonts w:ascii="Lato" w:eastAsia="Lato" w:hAnsi="Lato" w:cs="Lato"/>
        </w:rPr>
        <w:t>National oversight is uneven too. The National Student Ombudsman handles escalated complaints from higher education students but not VET, where students must use other complaint pathways, including the National Training Complaints Hotline and relevant jurisdictional bodies. Students in both sectors should have comparable access to independent complaint resolution. The Roadmap can address this through funding reform, national minimum support expectations, and support for cross-sector resources.</w:t>
      </w:r>
      <w:r w:rsidRPr="001E4868">
        <w:rPr>
          <w:rStyle w:val="FootnoteReference"/>
        </w:rPr>
        <w:endnoteReference w:id="22"/>
      </w:r>
    </w:p>
    <w:p w14:paraId="3F946545"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lastRenderedPageBreak/>
        <w:t xml:space="preserve">Recommendation 8: </w:t>
      </w:r>
      <w:r w:rsidRPr="001E4868">
        <w:rPr>
          <w:rFonts w:ascii="Lato" w:eastAsia="Lato" w:hAnsi="Lato" w:cs="Lato"/>
        </w:rPr>
        <w:t>Extend independent, escalated complaints oversight across both tertiary sectors.</w:t>
      </w:r>
    </w:p>
    <w:p w14:paraId="3AFDD205" w14:textId="77777777" w:rsidR="00C90ADA" w:rsidRPr="001E4868" w:rsidRDefault="00C90ADA" w:rsidP="00C90ADA">
      <w:pPr>
        <w:pBdr>
          <w:left w:val="single" w:sz="24" w:space="6" w:color="003368"/>
        </w:pBdr>
        <w:shd w:val="clear" w:color="auto" w:fill="EAF1F4"/>
        <w:spacing w:before="120" w:after="120"/>
        <w:ind w:left="200" w:right="200"/>
        <w:rPr>
          <w:rFonts w:ascii="Lato" w:eastAsia="Lato" w:hAnsi="Lato" w:cs="Lato"/>
        </w:rPr>
      </w:pPr>
      <w:r w:rsidRPr="001E4868">
        <w:rPr>
          <w:rFonts w:ascii="Lato" w:eastAsia="Lato" w:hAnsi="Lato" w:cs="Lato"/>
          <w:b/>
          <w:color w:val="003368"/>
        </w:rPr>
        <w:t xml:space="preserve">Recommendation 9: </w:t>
      </w:r>
      <w:r w:rsidRPr="001E4868">
        <w:rPr>
          <w:rFonts w:ascii="Lato" w:eastAsia="Lato" w:hAnsi="Lato" w:cs="Lato"/>
        </w:rPr>
        <w:t>Recognise and resource cross-sector disability resources, including ADCET, as part of the Roadmap's implementation capability.</w:t>
      </w:r>
    </w:p>
    <w:p w14:paraId="366EEE5F" w14:textId="77777777" w:rsidR="00C90ADA" w:rsidRPr="001E4868" w:rsidRDefault="00C90ADA" w:rsidP="003742E3">
      <w:pPr>
        <w:pStyle w:val="Heading2"/>
        <w:spacing w:before="240"/>
      </w:pPr>
      <w:r w:rsidRPr="001E4868">
        <w:rPr>
          <w:rFonts w:ascii="Lato" w:eastAsia="Lato" w:hAnsi="Lato" w:cs="Lato"/>
          <w:b/>
          <w:color w:val="003368"/>
        </w:rPr>
        <w:t>3.6 What a joined-up tertiary system should deliver</w:t>
      </w:r>
    </w:p>
    <w:p w14:paraId="58BB8335" w14:textId="77777777" w:rsidR="00C90ADA" w:rsidRPr="001E4868" w:rsidRDefault="00C90ADA" w:rsidP="00C90ADA">
      <w:pPr>
        <w:rPr>
          <w:rFonts w:ascii="Lato" w:eastAsia="Lato" w:hAnsi="Lato" w:cs="Lato"/>
        </w:rPr>
      </w:pPr>
      <w:r w:rsidRPr="001E4868">
        <w:rPr>
          <w:rFonts w:ascii="Lato" w:eastAsia="Lato" w:hAnsi="Lato" w:cs="Lato"/>
        </w:rPr>
        <w:t>A genuinely joined-up system is one where a student with disability can move from school into either sector, between sectors across their life and into employment, and find a consistent baseline of support and inclusive design the whole way. The specifics of adjustments will vary by course; what should not vary is that education experiences are well designed, support exists, disclosure is handled consistently and respectfully without a need for redisclosure at every juncture, students are helped to negotiate their own adjustments, and prior learning is assessed fairly. The clearest gap in the current reform framing is that disability inclusion is not named as a structural consideration, particularly considering more than a quarter of school students are identified as having disability. The Roadmap should therefore include a dedicated stream of work on disability inclusion across the continuum, co-designed with people with disability, that designs for inclusion at the base rather than adjusting afterwards.</w:t>
      </w:r>
    </w:p>
    <w:p w14:paraId="2CA57A25" w14:textId="77777777" w:rsidR="00C90ADA" w:rsidRPr="001E4868" w:rsidRDefault="00C90ADA" w:rsidP="00C92FC1">
      <w:pPr>
        <w:pBdr>
          <w:left w:val="single" w:sz="24" w:space="6" w:color="003368"/>
        </w:pBdr>
        <w:shd w:val="clear" w:color="auto" w:fill="EAF1F4"/>
        <w:spacing w:before="120" w:after="360"/>
        <w:ind w:left="198" w:right="198"/>
        <w:rPr>
          <w:rFonts w:ascii="Lato" w:eastAsia="Lato" w:hAnsi="Lato" w:cs="Lato"/>
        </w:rPr>
      </w:pPr>
      <w:r w:rsidRPr="001E4868">
        <w:rPr>
          <w:rFonts w:ascii="Lato" w:eastAsia="Lato" w:hAnsi="Lato" w:cs="Lato"/>
          <w:b/>
          <w:color w:val="003368"/>
        </w:rPr>
        <w:t xml:space="preserve">Recommendation 10: </w:t>
      </w:r>
      <w:r w:rsidRPr="001E4868">
        <w:rPr>
          <w:rFonts w:ascii="Lato" w:eastAsia="Lato" w:hAnsi="Lato" w:cs="Lato"/>
        </w:rPr>
        <w:t>Name disability inclusion as a core design feature of the Roadmap, addressed through a dedicated stream of work co-designed with people with disability.</w:t>
      </w:r>
    </w:p>
    <w:sectPr w:rsidR="00C90ADA" w:rsidRPr="001E4868" w:rsidSect="00AF7C04">
      <w:headerReference w:type="default" r:id="rId11"/>
      <w:footerReference w:type="default" r:id="rId12"/>
      <w:endnotePr>
        <w:numFmt w:val="decimal"/>
      </w:endnotePr>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275CA" w14:textId="77777777" w:rsidR="007938DC" w:rsidRPr="001E4868" w:rsidRDefault="007938DC" w:rsidP="00AF7C04">
      <w:r w:rsidRPr="001E4868">
        <w:separator/>
      </w:r>
    </w:p>
  </w:endnote>
  <w:endnote w:type="continuationSeparator" w:id="0">
    <w:p w14:paraId="0B1BBDAD" w14:textId="77777777" w:rsidR="007938DC" w:rsidRPr="001E4868" w:rsidRDefault="007938DC" w:rsidP="00AF7C04">
      <w:r w:rsidRPr="001E4868">
        <w:continuationSeparator/>
      </w:r>
    </w:p>
  </w:endnote>
  <w:endnote w:id="1">
    <w:p w14:paraId="06837729" w14:textId="77777777" w:rsidR="00C90ADA" w:rsidRPr="001E4868" w:rsidRDefault="00C90ADA" w:rsidP="00C90ADA">
      <w:pPr>
        <w:pStyle w:val="FootnoteText"/>
      </w:pPr>
      <w:r w:rsidRPr="001E4868">
        <w:rPr>
          <w:rStyle w:val="FootnoteReference"/>
        </w:rPr>
        <w:endnoteRef/>
      </w:r>
      <w:r w:rsidRPr="001E4868">
        <w:t>Federal Register of Legislation. (1992). Disability Discrimination Act 1992. https://www.legislation.gov.au/C2004A04426/latest/text; Federal Register of Legislation. (2005). Disability Standards for Education 2005. https://www.legislation.gov.au/F2005L00767/latest/text</w:t>
      </w:r>
    </w:p>
  </w:endnote>
  <w:endnote w:id="2">
    <w:p w14:paraId="7C7F19D0" w14:textId="77777777" w:rsidR="00C90ADA" w:rsidRPr="001E4868" w:rsidRDefault="00C90ADA" w:rsidP="00C90ADA">
      <w:pPr>
        <w:pStyle w:val="FootnoteText"/>
      </w:pPr>
      <w:r w:rsidRPr="001E4868">
        <w:rPr>
          <w:rStyle w:val="FootnoteReference"/>
        </w:rPr>
        <w:endnoteRef/>
      </w:r>
      <w:r w:rsidRPr="001E4868">
        <w:t>Jobs and Skills Australia. (2026). Employment projections: Outlook by skill level (projections to May 2035). https://www.jobsandskills.gov.au/data/employment-projections/skill-level</w:t>
      </w:r>
    </w:p>
  </w:endnote>
  <w:endnote w:id="3">
    <w:p w14:paraId="330E2A10" w14:textId="77777777" w:rsidR="00C90ADA" w:rsidRPr="001E4868" w:rsidRDefault="00C90ADA" w:rsidP="00C90ADA">
      <w:pPr>
        <w:pStyle w:val="FootnoteText"/>
      </w:pPr>
      <w:r w:rsidRPr="001E4868">
        <w:rPr>
          <w:rStyle w:val="FootnoteReference"/>
        </w:rPr>
        <w:endnoteRef/>
      </w:r>
      <w:r w:rsidRPr="001E4868">
        <w:t xml:space="preserve"> Australian Centre for Student Equity and Success. (2025). Students with disability in Australian higher education: Analysis of 2024 data (2025 update). https://www.acses.edu.au/publication/students-with-disability-analysis-of-2024-data-2025-update/; Australian Centre for Student Equity and Success. (2024). Students with disability in Australian higher education: An overview. https://www.acses.edu.au/publication/data-insights-students-with-disability/; Australian Institute of Health and Welfare. (2026). VET participation: Australia's Disability Strategy Outcomes Framework. https://www.aihw.gov.au/australias-disability-strategy/outcomes/education-and-learning/vet-participation</w:t>
      </w:r>
    </w:p>
  </w:endnote>
  <w:endnote w:id="4">
    <w:p w14:paraId="41707810" w14:textId="77777777" w:rsidR="00C90ADA" w:rsidRPr="001E4868" w:rsidRDefault="00C90ADA" w:rsidP="00C90ADA">
      <w:pPr>
        <w:pStyle w:val="FootnoteText"/>
      </w:pPr>
      <w:r w:rsidRPr="001E4868">
        <w:rPr>
          <w:rStyle w:val="FootnoteReference"/>
        </w:rPr>
        <w:endnoteRef/>
      </w:r>
      <w:r w:rsidRPr="001E4868">
        <w:t xml:space="preserve"> Jobs and Skills Australia. (2025). 2025 Occupation Shortage List: Key findings report. https://www.jobsandskills.gov.au/sites/default/files/2025-10/2025%20OSL%20Key%20Findings%20Report_0.pdf</w:t>
      </w:r>
    </w:p>
  </w:endnote>
  <w:endnote w:id="5">
    <w:p w14:paraId="12BAC5E6" w14:textId="77777777" w:rsidR="00C90ADA" w:rsidRPr="001E4868" w:rsidRDefault="00C90ADA" w:rsidP="00C90ADA">
      <w:pPr>
        <w:pStyle w:val="FootnoteText"/>
      </w:pPr>
      <w:r w:rsidRPr="001E4868">
        <w:rPr>
          <w:rStyle w:val="FootnoteReference"/>
        </w:rPr>
        <w:endnoteRef/>
      </w:r>
      <w:r w:rsidRPr="001E4868">
        <w:t xml:space="preserve"> Jobs and Skills Australia. (2026). Employment projections: Outlook by skill level (projections to May 2035). https://www.jobsandskills.gov.au/data/employment-projections/skill-level</w:t>
      </w:r>
    </w:p>
  </w:endnote>
  <w:endnote w:id="6">
    <w:p w14:paraId="2246B1FE" w14:textId="77777777" w:rsidR="00C90ADA" w:rsidRPr="001E4868" w:rsidRDefault="00C90ADA" w:rsidP="00C90ADA">
      <w:pPr>
        <w:pStyle w:val="FootnoteText"/>
      </w:pPr>
      <w:r w:rsidRPr="001E4868">
        <w:rPr>
          <w:rStyle w:val="FootnoteReference"/>
        </w:rPr>
        <w:endnoteRef/>
      </w:r>
      <w:r w:rsidRPr="001E4868">
        <w:t xml:space="preserve"> Australian Curriculum, Assessment and Reporting Authority. (2026). School students with disability. https://www.acara.edu.au/reporting/national-report-on-schooling-in-australia/school-students-with-disability</w:t>
      </w:r>
    </w:p>
  </w:endnote>
  <w:endnote w:id="7">
    <w:p w14:paraId="0D2721E9" w14:textId="77777777" w:rsidR="00C90ADA" w:rsidRPr="001E4868" w:rsidRDefault="00C90ADA" w:rsidP="00C90ADA">
      <w:pPr>
        <w:pStyle w:val="FootnoteText"/>
      </w:pPr>
      <w:r w:rsidRPr="001E4868">
        <w:rPr>
          <w:rStyle w:val="FootnoteReference"/>
        </w:rPr>
        <w:endnoteRef/>
      </w:r>
      <w:r w:rsidRPr="001E4868">
        <w:t xml:space="preserve"> Department of Education. (2026). Higher Education Disability Support Program. https://www.education.gov.au/higher-education-disability-support-program; </w:t>
      </w:r>
      <w:r w:rsidRPr="001E4868">
        <w:rPr>
          <w:i/>
          <w:iCs/>
        </w:rPr>
        <w:t>Higher Education Support (Other Grants) Amendment (Disability Support Fund) Guidelines 2026</w:t>
      </w:r>
      <w:r w:rsidRPr="001E4868">
        <w:t xml:space="preserve"> (</w:t>
      </w:r>
      <w:proofErr w:type="spellStart"/>
      <w:r w:rsidRPr="001E4868">
        <w:t>Cth</w:t>
      </w:r>
      <w:proofErr w:type="spellEnd"/>
      <w:r w:rsidRPr="001E4868">
        <w:t>).</w:t>
      </w:r>
    </w:p>
  </w:endnote>
  <w:endnote w:id="8">
    <w:p w14:paraId="314CA9CF" w14:textId="77777777" w:rsidR="00C90ADA" w:rsidRPr="001E4868" w:rsidRDefault="00C90ADA" w:rsidP="00C90ADA">
      <w:pPr>
        <w:pStyle w:val="FootnoteText"/>
      </w:pPr>
      <w:r w:rsidRPr="001E4868">
        <w:rPr>
          <w:rStyle w:val="FootnoteReference"/>
        </w:rPr>
        <w:endnoteRef/>
      </w:r>
      <w:r w:rsidRPr="001E4868">
        <w:t xml:space="preserve"> Australian Centre for Student Equity and Success. (2025). Students with disability in Australian higher education: Analysis of 2024 data (2025 update). https://www.acses.edu.au/publication/students-with-disability-analysis-of-2024-data-2025-update/; Australian Institute of Health and Welfare. (2026). VET participation: Australia's Disability Strategy Outcomes Framework. https://www.aihw.gov.au/australias-disability-strategy/outcomes/education-and-learning/vet-participation; Department of Education. (2026). Higher Education Disability Support Program. https://www.education.gov.au/higher-education-disability-support-program</w:t>
      </w:r>
    </w:p>
  </w:endnote>
  <w:endnote w:id="9">
    <w:p w14:paraId="651B2C95" w14:textId="77777777" w:rsidR="00C90ADA" w:rsidRPr="001E4868" w:rsidRDefault="00C90ADA" w:rsidP="00C90ADA">
      <w:pPr>
        <w:pStyle w:val="FootnoteText"/>
      </w:pPr>
      <w:r w:rsidRPr="001E4868">
        <w:rPr>
          <w:rStyle w:val="FootnoteReference"/>
        </w:rPr>
        <w:endnoteRef/>
      </w:r>
      <w:r w:rsidRPr="001E4868">
        <w:t xml:space="preserve"> Department of Employment and Workplace Relations. (2025). 2025 Standards for Registered Training Organisations. https://www.dewr.gov.au/standards-for-rtos</w:t>
      </w:r>
    </w:p>
  </w:endnote>
  <w:endnote w:id="10">
    <w:p w14:paraId="5E8A4DC8" w14:textId="77777777" w:rsidR="00C90ADA" w:rsidRPr="001E4868" w:rsidRDefault="00C90ADA" w:rsidP="00C90ADA">
      <w:pPr>
        <w:pStyle w:val="FootnoteText"/>
      </w:pPr>
      <w:r w:rsidRPr="001E4868">
        <w:rPr>
          <w:rStyle w:val="FootnoteReference"/>
        </w:rPr>
        <w:endnoteRef/>
      </w:r>
      <w:r w:rsidRPr="001E4868">
        <w:t>Department of Social Services. (2026). Inclusive Employment Australia. https://www.dss.gov.au/inclusive-employment-australia</w:t>
      </w:r>
    </w:p>
  </w:endnote>
  <w:endnote w:id="11">
    <w:p w14:paraId="7AD6E2F2" w14:textId="77777777" w:rsidR="00C90ADA" w:rsidRPr="001E4868" w:rsidRDefault="00C90ADA" w:rsidP="00C90ADA">
      <w:pPr>
        <w:pStyle w:val="FootnoteText"/>
      </w:pPr>
      <w:r w:rsidRPr="001E4868">
        <w:rPr>
          <w:rStyle w:val="FootnoteReference"/>
        </w:rPr>
        <w:endnoteRef/>
      </w:r>
      <w:r w:rsidRPr="001E4868">
        <w:t xml:space="preserve"> Australian Disability Clearinghouse on Education and Training. (n.d.). </w:t>
      </w:r>
      <w:proofErr w:type="spellStart"/>
      <w:r w:rsidRPr="001E4868">
        <w:t>USEP</w:t>
      </w:r>
      <w:proofErr w:type="spellEnd"/>
      <w:r w:rsidRPr="001E4868">
        <w:t xml:space="preserve"> toolkit. https://www.adcet.edu.au/resources/usep-and-tsep/usep-toolkit; Australian Disability Clearinghouse on Education and Training. (n.d.). </w:t>
      </w:r>
      <w:proofErr w:type="spellStart"/>
      <w:r w:rsidRPr="001E4868">
        <w:t>TSEP</w:t>
      </w:r>
      <w:proofErr w:type="spellEnd"/>
      <w:r w:rsidRPr="001E4868">
        <w:t xml:space="preserve"> toolkit. https://www.adcet.edu.au/resources/usep-and-tsep/tsep-toolkit</w:t>
      </w:r>
    </w:p>
  </w:endnote>
  <w:endnote w:id="12">
    <w:p w14:paraId="20CD5055" w14:textId="77777777" w:rsidR="00C90ADA" w:rsidRPr="001E4868" w:rsidRDefault="00C90ADA" w:rsidP="00C90ADA">
      <w:pPr>
        <w:pStyle w:val="FootnoteText"/>
      </w:pPr>
      <w:r w:rsidRPr="001E4868">
        <w:rPr>
          <w:rStyle w:val="FootnoteReference"/>
        </w:rPr>
        <w:endnoteRef/>
      </w:r>
      <w:r w:rsidRPr="001E4868">
        <w:t xml:space="preserve"> Productivity Commission. (2026). Report on Government Services 2026: School education. https://www.pc.gov.au/ongoing/report-on-government-services/child-care-education-and-training/school-education/; Department of Education. (2026). Schooling Resource Standard. https://www.education.gov.au/recurrent-funding-schools/schooling-resource-standard</w:t>
      </w:r>
    </w:p>
  </w:endnote>
  <w:endnote w:id="13">
    <w:p w14:paraId="7F8F8E70" w14:textId="77777777" w:rsidR="00C90ADA" w:rsidRPr="001E4868" w:rsidRDefault="00C90ADA" w:rsidP="00C90ADA">
      <w:pPr>
        <w:pStyle w:val="FootnoteText"/>
      </w:pPr>
      <w:r w:rsidRPr="001E4868">
        <w:rPr>
          <w:rStyle w:val="FootnoteReference"/>
        </w:rPr>
        <w:endnoteRef/>
      </w:r>
      <w:r w:rsidRPr="001E4868">
        <w:t xml:space="preserve"> Productivity Commission. (2026). Report on Government Services 2026: Vocational education and training. https://www.pc.gov.au/ongoing/report-on-government-services/child-care-education-and-training/vocational-education-and-training/; Services Australia. (2026). Disability Australian Apprentice Wage Support. https://www.servicesaustralia.gov.au/disability-australian-apprentice-wage-support-daaws; Queensland Department of Trade, Employment and Training. (2025). Skills Disability Support. https://dtet.qld.gov.au/training/training-careers/support/disability/sds-learners; Victorian Government. (2025). TAFE disability transition support. https://www.vic.gov.au/tafe-disability-transition-support</w:t>
      </w:r>
    </w:p>
  </w:endnote>
  <w:endnote w:id="14">
    <w:p w14:paraId="41585C6B" w14:textId="77777777" w:rsidR="00C90ADA" w:rsidRPr="001E4868" w:rsidRDefault="00C90ADA" w:rsidP="00C90ADA">
      <w:pPr>
        <w:pStyle w:val="FootnoteText"/>
      </w:pPr>
      <w:r w:rsidRPr="001E4868">
        <w:rPr>
          <w:rStyle w:val="FootnoteReference"/>
        </w:rPr>
        <w:endnoteRef/>
      </w:r>
      <w:r w:rsidRPr="001E4868">
        <w:t xml:space="preserve"> Department of Education. (2026). Finance 2024: Financial Reports of Higher Education Providers (2024 University Finance summary information). https://www.education.gov.au/download/19832/finance-2024-financial-reports-higher-education-providers/43005/2024-university-finance-summary-information/pdf; Department of Education. (2024). 2024-25 </w:t>
      </w:r>
      <w:proofErr w:type="spellStart"/>
      <w:r w:rsidRPr="001E4868">
        <w:t>MYEFO</w:t>
      </w:r>
      <w:proofErr w:type="spellEnd"/>
      <w:r w:rsidRPr="001E4868">
        <w:t>: Disability Support Fund - increased funding fact sheet. https://www.education.gov.au/australian-universities-accord/resources/202425-myefo-disability-support-fund-increased-funding-fact-sheet</w:t>
      </w:r>
    </w:p>
  </w:endnote>
  <w:endnote w:id="15">
    <w:p w14:paraId="75DE46C4" w14:textId="77777777" w:rsidR="00C90ADA" w:rsidRPr="001E4868" w:rsidRDefault="00C90ADA" w:rsidP="00C90ADA">
      <w:pPr>
        <w:pStyle w:val="FootnoteText"/>
      </w:pPr>
      <w:r w:rsidRPr="001E4868">
        <w:rPr>
          <w:rStyle w:val="FootnoteReference"/>
        </w:rPr>
        <w:endnoteRef/>
      </w:r>
      <w:r w:rsidRPr="001E4868">
        <w:t xml:space="preserve"> Federal Register of Legislation. (1992). Disability Discrimination Act 1992. https://www.legislation.gov.au/C2004A04426/latest/text; Federal Register of Legislation. (2005). Disability Standards for Education 2005. https://www.legislation.gov.au/F2005L00767/latest/text</w:t>
      </w:r>
    </w:p>
  </w:endnote>
  <w:endnote w:id="16">
    <w:p w14:paraId="6B4DBB7F" w14:textId="77777777" w:rsidR="00C90ADA" w:rsidRPr="001E4868" w:rsidRDefault="00C90ADA" w:rsidP="00C90ADA">
      <w:pPr>
        <w:pStyle w:val="FootnoteText"/>
      </w:pPr>
      <w:r w:rsidRPr="001E4868">
        <w:rPr>
          <w:rStyle w:val="FootnoteReference"/>
        </w:rPr>
        <w:endnoteRef/>
      </w:r>
      <w:r w:rsidRPr="001E4868">
        <w:t xml:space="preserve"> Department of Education. (2024). Australian Universities Accord final report. https://www.education.gov.au/australian-universities-accord/resources/final-report; Department of Education. (2026). Demand-driven needs-based funding. https://www.education.gov.au/australian-universities-accord/accord-202425-budget-and-myefo-measures/demanddriven-needsbased-funding; Department of Education. (2024). 2024-25 </w:t>
      </w:r>
      <w:proofErr w:type="spellStart"/>
      <w:r w:rsidRPr="001E4868">
        <w:t>MYEFO</w:t>
      </w:r>
      <w:proofErr w:type="spellEnd"/>
      <w:r w:rsidRPr="001E4868">
        <w:t>: Disability Support Fund - increased funding fact sheet. https://www.education.gov.au/australian-universities-accord/resources/202425-myefo-disability-support-fund-increased-funding-fact-sheet</w:t>
      </w:r>
    </w:p>
  </w:endnote>
  <w:endnote w:id="17">
    <w:p w14:paraId="201EDF5D" w14:textId="77777777" w:rsidR="00C90ADA" w:rsidRPr="001E4868" w:rsidRDefault="00C90ADA" w:rsidP="00C90ADA">
      <w:pPr>
        <w:pStyle w:val="FootnoteText"/>
      </w:pPr>
      <w:r w:rsidRPr="001E4868">
        <w:rPr>
          <w:rStyle w:val="FootnoteReference"/>
        </w:rPr>
        <w:endnoteRef/>
      </w:r>
      <w:r w:rsidRPr="001E4868">
        <w:t xml:space="preserve"> National Centre for Vocational Education Research. (2025). Total VET students and courses 2024. https://www.ncver.edu.au/research-and-statistics/publications/all-publications/total-vet-students-and-courses-2024</w:t>
      </w:r>
    </w:p>
  </w:endnote>
  <w:endnote w:id="18">
    <w:p w14:paraId="5B6BBFBC" w14:textId="77777777" w:rsidR="00C90ADA" w:rsidRPr="001E4868" w:rsidRDefault="00C90ADA" w:rsidP="00C90ADA">
      <w:pPr>
        <w:pStyle w:val="FootnoteText"/>
      </w:pPr>
      <w:r w:rsidRPr="001E4868">
        <w:rPr>
          <w:rStyle w:val="FootnoteReference"/>
        </w:rPr>
        <w:endnoteRef/>
      </w:r>
      <w:r w:rsidRPr="001E4868">
        <w:t xml:space="preserve"> National Disability Data Asset. (2026). About the National Disability Data Asset. https://www.ndda.gov.au/about-national-disability-data-asset; Nationally Consistent Collection of Data on School Students with Disability. (n.d.). What is the </w:t>
      </w:r>
      <w:proofErr w:type="spellStart"/>
      <w:r w:rsidRPr="001E4868">
        <w:t>NCCD</w:t>
      </w:r>
      <w:proofErr w:type="spellEnd"/>
      <w:r w:rsidRPr="001E4868">
        <w:t>? https://www.nccd.edu.au/</w:t>
      </w:r>
    </w:p>
  </w:endnote>
  <w:endnote w:id="19">
    <w:p w14:paraId="4FA77E0A" w14:textId="77777777" w:rsidR="00C90ADA" w:rsidRPr="001E4868" w:rsidRDefault="00C90ADA" w:rsidP="00C90ADA">
      <w:pPr>
        <w:pStyle w:val="FootnoteText"/>
      </w:pPr>
      <w:r w:rsidRPr="001E4868">
        <w:rPr>
          <w:rStyle w:val="FootnoteReference"/>
        </w:rPr>
        <w:endnoteRef/>
      </w:r>
      <w:r w:rsidRPr="001E4868">
        <w:t xml:space="preserve"> Legislative Assembly Economy and Infrastructure Committee, Parliament of Victoria. (2021). Inquiry into access to TAFE for learners with disability. Report tabled 30 September 2021. https://www.parliament.vic.gov.au/get-involved/inquiries/inquiry-into-access-to-tafe-for-learners-with-disability/</w:t>
      </w:r>
    </w:p>
  </w:endnote>
  <w:endnote w:id="20">
    <w:p w14:paraId="679B314D" w14:textId="77777777" w:rsidR="00C90ADA" w:rsidRPr="001E4868" w:rsidRDefault="00C90ADA" w:rsidP="00C90ADA">
      <w:pPr>
        <w:pStyle w:val="FootnoteText"/>
      </w:pPr>
      <w:r w:rsidRPr="001E4868">
        <w:rPr>
          <w:rStyle w:val="FootnoteReference"/>
        </w:rPr>
        <w:endnoteRef/>
      </w:r>
      <w:r w:rsidRPr="001E4868">
        <w:t xml:space="preserve"> Victorian Government. (2025). TAFE disability transition support. https://www.vic.gov.au/tafe-disability-transition-support; Department of Jobs, Skills, Industry and Regions. (2025). TAFE Disability Transition Officers are helping students to succeed. https://djsir.vic.gov.au/news-and-articles/tafe-disability-transition-officers-are-helping-students-to-succeed</w:t>
      </w:r>
    </w:p>
  </w:endnote>
  <w:endnote w:id="21">
    <w:p w14:paraId="47BF57D9" w14:textId="77777777" w:rsidR="00C90ADA" w:rsidRPr="001E4868" w:rsidRDefault="00C90ADA" w:rsidP="00C90ADA">
      <w:pPr>
        <w:pStyle w:val="FootnoteText"/>
      </w:pPr>
      <w:r w:rsidRPr="001E4868">
        <w:rPr>
          <w:rStyle w:val="FootnoteReference"/>
        </w:rPr>
        <w:endnoteRef/>
      </w:r>
      <w:r w:rsidRPr="001E4868">
        <w:t xml:space="preserve"> Standards Australia. (2024). AS EN 301 549:2024 Accessibility requirements for ICT products and services. https://www.standards.org.au; World Wide Web Consortium. (2023). Web Content Accessibility Guidelines (</w:t>
      </w:r>
      <w:proofErr w:type="spellStart"/>
      <w:r w:rsidRPr="001E4868">
        <w:t>WCAG</w:t>
      </w:r>
      <w:proofErr w:type="spellEnd"/>
      <w:r w:rsidRPr="001E4868">
        <w:t>) 2.2. https://www.w3.org/TR/WCAG22/; CAUDIT. (n.d.). Accessible IT procurement guide. https://www.caudit.edu.au/accessible-it-procurement/guide/</w:t>
      </w:r>
    </w:p>
  </w:endnote>
  <w:endnote w:id="22">
    <w:p w14:paraId="129A09DC" w14:textId="77777777" w:rsidR="00C90ADA" w:rsidRDefault="00C90ADA" w:rsidP="00C90ADA">
      <w:pPr>
        <w:pStyle w:val="FootnoteText"/>
      </w:pPr>
      <w:r w:rsidRPr="001E4868">
        <w:rPr>
          <w:rStyle w:val="FootnoteReference"/>
        </w:rPr>
        <w:endnoteRef/>
      </w:r>
      <w:r w:rsidRPr="001E4868">
        <w:t xml:space="preserve"> National Student Ombudsman. (2026). National Student Ombudsman. https://www.nso.gov.au/; Department of Employment and Workplace Relations. (2022). National Training Complaints Hotline. https://www.dewr.gov.au/national-training-complaints-hotline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25CA" w14:textId="77777777" w:rsidR="00AF7C04" w:rsidRPr="001E4868" w:rsidRDefault="00AF7C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164A8" w14:textId="77777777" w:rsidR="007938DC" w:rsidRPr="001E4868" w:rsidRDefault="007938DC" w:rsidP="00AF7C04">
      <w:r w:rsidRPr="001E4868">
        <w:separator/>
      </w:r>
    </w:p>
  </w:footnote>
  <w:footnote w:type="continuationSeparator" w:id="0">
    <w:p w14:paraId="4921EE92" w14:textId="77777777" w:rsidR="007938DC" w:rsidRPr="001E4868" w:rsidRDefault="007938DC" w:rsidP="00AF7C04">
      <w:r w:rsidRPr="001E48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2079" w14:textId="77777777" w:rsidR="00AF7C04" w:rsidRPr="001E4868" w:rsidRDefault="00AF7C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07DF"/>
    <w:multiLevelType w:val="hybridMultilevel"/>
    <w:tmpl w:val="45D683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F4203E"/>
    <w:multiLevelType w:val="hybridMultilevel"/>
    <w:tmpl w:val="5CB28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DB0C32"/>
    <w:multiLevelType w:val="multilevel"/>
    <w:tmpl w:val="F75A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722AE"/>
    <w:multiLevelType w:val="hybridMultilevel"/>
    <w:tmpl w:val="5D06050C"/>
    <w:lvl w:ilvl="0" w:tplc="08090001">
      <w:start w:val="1"/>
      <w:numFmt w:val="bullet"/>
      <w:lvlText w:val=""/>
      <w:lvlJc w:val="left"/>
      <w:pPr>
        <w:ind w:left="144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CB5BC3"/>
    <w:multiLevelType w:val="multilevel"/>
    <w:tmpl w:val="16D8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778321">
    <w:abstractNumId w:val="0"/>
  </w:num>
  <w:num w:numId="2" w16cid:durableId="391124383">
    <w:abstractNumId w:val="3"/>
  </w:num>
  <w:num w:numId="3" w16cid:durableId="750279647">
    <w:abstractNumId w:val="2"/>
  </w:num>
  <w:num w:numId="4" w16cid:durableId="569998976">
    <w:abstractNumId w:val="4"/>
  </w:num>
  <w:num w:numId="5" w16cid:durableId="713457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04"/>
    <w:rsid w:val="00001290"/>
    <w:rsid w:val="0000439D"/>
    <w:rsid w:val="00040186"/>
    <w:rsid w:val="00087380"/>
    <w:rsid w:val="000A21B2"/>
    <w:rsid w:val="00105E7C"/>
    <w:rsid w:val="001228CE"/>
    <w:rsid w:val="00187238"/>
    <w:rsid w:val="001C1450"/>
    <w:rsid w:val="001C2A5D"/>
    <w:rsid w:val="001E4868"/>
    <w:rsid w:val="001F6AC4"/>
    <w:rsid w:val="002774F7"/>
    <w:rsid w:val="002B1D1F"/>
    <w:rsid w:val="002B5F84"/>
    <w:rsid w:val="002F5342"/>
    <w:rsid w:val="003222F0"/>
    <w:rsid w:val="003742E3"/>
    <w:rsid w:val="0039324A"/>
    <w:rsid w:val="003F5D0B"/>
    <w:rsid w:val="004338D7"/>
    <w:rsid w:val="00440350"/>
    <w:rsid w:val="004413A6"/>
    <w:rsid w:val="00453821"/>
    <w:rsid w:val="0046096E"/>
    <w:rsid w:val="004629BA"/>
    <w:rsid w:val="0047047F"/>
    <w:rsid w:val="004724AF"/>
    <w:rsid w:val="004A1464"/>
    <w:rsid w:val="004B2077"/>
    <w:rsid w:val="004B33D2"/>
    <w:rsid w:val="004D66F5"/>
    <w:rsid w:val="004F08C6"/>
    <w:rsid w:val="004F57E9"/>
    <w:rsid w:val="00500C0C"/>
    <w:rsid w:val="00511BB8"/>
    <w:rsid w:val="005D3B85"/>
    <w:rsid w:val="005D766F"/>
    <w:rsid w:val="005F4C94"/>
    <w:rsid w:val="00600168"/>
    <w:rsid w:val="00616ADE"/>
    <w:rsid w:val="00645F09"/>
    <w:rsid w:val="006841CE"/>
    <w:rsid w:val="00695BCC"/>
    <w:rsid w:val="00736F05"/>
    <w:rsid w:val="00746430"/>
    <w:rsid w:val="00774632"/>
    <w:rsid w:val="007938DC"/>
    <w:rsid w:val="007966D6"/>
    <w:rsid w:val="007E461C"/>
    <w:rsid w:val="0081186A"/>
    <w:rsid w:val="00825E91"/>
    <w:rsid w:val="008473A7"/>
    <w:rsid w:val="00862027"/>
    <w:rsid w:val="008742CA"/>
    <w:rsid w:val="008B4790"/>
    <w:rsid w:val="008B75D4"/>
    <w:rsid w:val="00901750"/>
    <w:rsid w:val="00910319"/>
    <w:rsid w:val="00953DB6"/>
    <w:rsid w:val="009877C4"/>
    <w:rsid w:val="009A4EDD"/>
    <w:rsid w:val="009C45D5"/>
    <w:rsid w:val="009D78F7"/>
    <w:rsid w:val="009E54EA"/>
    <w:rsid w:val="009F647B"/>
    <w:rsid w:val="00A31E80"/>
    <w:rsid w:val="00A55333"/>
    <w:rsid w:val="00A72DCA"/>
    <w:rsid w:val="00AA05F9"/>
    <w:rsid w:val="00AA6908"/>
    <w:rsid w:val="00AB6A12"/>
    <w:rsid w:val="00AD54F2"/>
    <w:rsid w:val="00AE720F"/>
    <w:rsid w:val="00AF7C04"/>
    <w:rsid w:val="00B31C21"/>
    <w:rsid w:val="00B3452B"/>
    <w:rsid w:val="00B541D9"/>
    <w:rsid w:val="00B66C60"/>
    <w:rsid w:val="00BA219D"/>
    <w:rsid w:val="00BE6E79"/>
    <w:rsid w:val="00C50D45"/>
    <w:rsid w:val="00C60F82"/>
    <w:rsid w:val="00C64626"/>
    <w:rsid w:val="00C90ADA"/>
    <w:rsid w:val="00C92FC1"/>
    <w:rsid w:val="00CA72BC"/>
    <w:rsid w:val="00CE65C5"/>
    <w:rsid w:val="00CF4E70"/>
    <w:rsid w:val="00D34D30"/>
    <w:rsid w:val="00D3543A"/>
    <w:rsid w:val="00D422FC"/>
    <w:rsid w:val="00DA65AD"/>
    <w:rsid w:val="00DB6F17"/>
    <w:rsid w:val="00E2174E"/>
    <w:rsid w:val="00E43530"/>
    <w:rsid w:val="00EC4AE8"/>
    <w:rsid w:val="00EE13FB"/>
    <w:rsid w:val="00EE4C06"/>
    <w:rsid w:val="00F04D60"/>
    <w:rsid w:val="00F12F96"/>
    <w:rsid w:val="00F32AA0"/>
    <w:rsid w:val="00F6567B"/>
    <w:rsid w:val="00F777C9"/>
    <w:rsid w:val="00FA44B6"/>
    <w:rsid w:val="00FE3E19"/>
    <w:rsid w:val="00FF3B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2E3E"/>
  <w15:chartTrackingRefBased/>
  <w15:docId w15:val="{165E4CC3-38FB-F74F-A6D4-3B65FC27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868"/>
    <w:pPr>
      <w:suppressAutoHyphens/>
      <w:spacing w:line="259" w:lineRule="auto"/>
    </w:pPr>
    <w:rPr>
      <w:rFonts w:ascii="Arial" w:eastAsia="Arial" w:hAnsi="Arial" w:cs="Arial"/>
      <w:kern w:val="0"/>
      <w:sz w:val="22"/>
      <w:szCs w:val="22"/>
      <w:lang w:eastAsia="ja-JP"/>
      <w14:ligatures w14:val="none"/>
    </w:rPr>
  </w:style>
  <w:style w:type="paragraph" w:styleId="Heading1">
    <w:name w:val="heading 1"/>
    <w:basedOn w:val="Normal"/>
    <w:next w:val="Normal"/>
    <w:link w:val="Heading1Char"/>
    <w:uiPriority w:val="9"/>
    <w:qFormat/>
    <w:rsid w:val="00F777C9"/>
    <w:pPr>
      <w:keepNext/>
      <w:keepLines/>
      <w:spacing w:before="360" w:after="1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7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7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7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7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7C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7C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7C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7C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7C9"/>
    <w:rPr>
      <w:rFonts w:asciiTheme="majorHAnsi" w:eastAsiaTheme="majorEastAsia" w:hAnsiTheme="majorHAnsi" w:cstheme="majorBidi"/>
      <w:color w:val="0F4761" w:themeColor="accent1" w:themeShade="BF"/>
      <w:kern w:val="0"/>
      <w:sz w:val="40"/>
      <w:szCs w:val="40"/>
      <w:lang w:val="en-US" w:eastAsia="ja-JP"/>
      <w14:ligatures w14:val="none"/>
    </w:rPr>
  </w:style>
  <w:style w:type="character" w:customStyle="1" w:styleId="Heading2Char">
    <w:name w:val="Heading 2 Char"/>
    <w:basedOn w:val="DefaultParagraphFont"/>
    <w:link w:val="Heading2"/>
    <w:uiPriority w:val="9"/>
    <w:semiHidden/>
    <w:rsid w:val="00AF7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7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7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7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7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7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7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7C04"/>
    <w:rPr>
      <w:rFonts w:eastAsiaTheme="majorEastAsia" w:cstheme="majorBidi"/>
      <w:color w:val="272727" w:themeColor="text1" w:themeTint="D8"/>
    </w:rPr>
  </w:style>
  <w:style w:type="paragraph" w:styleId="Title">
    <w:name w:val="Title"/>
    <w:basedOn w:val="Normal"/>
    <w:next w:val="Normal"/>
    <w:link w:val="TitleChar"/>
    <w:uiPriority w:val="10"/>
    <w:qFormat/>
    <w:rsid w:val="00AF7C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7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7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7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7C04"/>
    <w:pPr>
      <w:spacing w:before="160"/>
      <w:jc w:val="center"/>
    </w:pPr>
    <w:rPr>
      <w:i/>
      <w:iCs/>
      <w:color w:val="404040" w:themeColor="text1" w:themeTint="BF"/>
    </w:rPr>
  </w:style>
  <w:style w:type="character" w:customStyle="1" w:styleId="QuoteChar">
    <w:name w:val="Quote Char"/>
    <w:basedOn w:val="DefaultParagraphFont"/>
    <w:link w:val="Quote"/>
    <w:uiPriority w:val="29"/>
    <w:rsid w:val="00AF7C04"/>
    <w:rPr>
      <w:i/>
      <w:iCs/>
      <w:color w:val="404040" w:themeColor="text1" w:themeTint="BF"/>
    </w:rPr>
  </w:style>
  <w:style w:type="paragraph" w:styleId="ListParagraph">
    <w:name w:val="List Paragraph"/>
    <w:basedOn w:val="Normal"/>
    <w:uiPriority w:val="34"/>
    <w:qFormat/>
    <w:rsid w:val="00AF7C04"/>
    <w:pPr>
      <w:ind w:left="720"/>
      <w:contextualSpacing/>
    </w:pPr>
  </w:style>
  <w:style w:type="character" w:styleId="IntenseEmphasis">
    <w:name w:val="Intense Emphasis"/>
    <w:basedOn w:val="DefaultParagraphFont"/>
    <w:uiPriority w:val="21"/>
    <w:qFormat/>
    <w:rsid w:val="00AF7C04"/>
    <w:rPr>
      <w:i/>
      <w:iCs/>
      <w:color w:val="0F4761" w:themeColor="accent1" w:themeShade="BF"/>
    </w:rPr>
  </w:style>
  <w:style w:type="paragraph" w:styleId="IntenseQuote">
    <w:name w:val="Intense Quote"/>
    <w:basedOn w:val="Normal"/>
    <w:next w:val="Normal"/>
    <w:link w:val="IntenseQuoteChar"/>
    <w:uiPriority w:val="30"/>
    <w:qFormat/>
    <w:rsid w:val="00AF7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7C04"/>
    <w:rPr>
      <w:i/>
      <w:iCs/>
      <w:color w:val="0F4761" w:themeColor="accent1" w:themeShade="BF"/>
    </w:rPr>
  </w:style>
  <w:style w:type="character" w:styleId="IntenseReference">
    <w:name w:val="Intense Reference"/>
    <w:basedOn w:val="DefaultParagraphFont"/>
    <w:uiPriority w:val="32"/>
    <w:qFormat/>
    <w:rsid w:val="00AF7C04"/>
    <w:rPr>
      <w:b/>
      <w:bCs/>
      <w:smallCaps/>
      <w:color w:val="0F4761" w:themeColor="accent1" w:themeShade="BF"/>
      <w:spacing w:val="5"/>
    </w:rPr>
  </w:style>
  <w:style w:type="paragraph" w:styleId="FootnoteText">
    <w:name w:val="footnote text"/>
    <w:basedOn w:val="Normal"/>
    <w:link w:val="FootnoteTextChar"/>
    <w:uiPriority w:val="99"/>
    <w:semiHidden/>
    <w:unhideWhenUsed/>
    <w:rsid w:val="00AF7C04"/>
    <w:rPr>
      <w:rFonts w:ascii="Lato" w:eastAsia="Lato" w:hAnsi="Lato" w:cs="Lato"/>
      <w:color w:val="231F20"/>
      <w:sz w:val="18"/>
      <w:szCs w:val="18"/>
    </w:rPr>
  </w:style>
  <w:style w:type="character" w:customStyle="1" w:styleId="FootnoteTextChar">
    <w:name w:val="Footnote Text Char"/>
    <w:basedOn w:val="DefaultParagraphFont"/>
    <w:link w:val="FootnoteText"/>
    <w:uiPriority w:val="99"/>
    <w:semiHidden/>
    <w:rsid w:val="00AF7C04"/>
    <w:rPr>
      <w:rFonts w:ascii="Lato" w:eastAsia="Lato" w:hAnsi="Lato" w:cs="Lato"/>
      <w:color w:val="231F20"/>
      <w:kern w:val="0"/>
      <w:sz w:val="18"/>
      <w:szCs w:val="18"/>
      <w:lang w:val="en-US" w:eastAsia="ja-JP"/>
      <w14:ligatures w14:val="none"/>
    </w:rPr>
  </w:style>
  <w:style w:type="character" w:styleId="FootnoteReference">
    <w:name w:val="footnote reference"/>
    <w:basedOn w:val="DefaultParagraphFont"/>
    <w:uiPriority w:val="99"/>
    <w:semiHidden/>
    <w:unhideWhenUsed/>
    <w:rsid w:val="00AF7C04"/>
    <w:rPr>
      <w:vertAlign w:val="superscript"/>
    </w:rPr>
  </w:style>
  <w:style w:type="character" w:styleId="CommentReference">
    <w:name w:val="annotation reference"/>
    <w:basedOn w:val="DefaultParagraphFont"/>
    <w:uiPriority w:val="99"/>
    <w:semiHidden/>
    <w:unhideWhenUsed/>
    <w:rsid w:val="004D66F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kern w:val="0"/>
      <w:sz w:val="20"/>
      <w:szCs w:val="20"/>
      <w:lang w:val="en-US" w:eastAsia="ja-JP"/>
      <w14:ligatures w14:val="none"/>
    </w:rPr>
  </w:style>
  <w:style w:type="paragraph" w:styleId="Header">
    <w:name w:val="header"/>
    <w:basedOn w:val="Normal"/>
    <w:link w:val="HeaderChar"/>
    <w:uiPriority w:val="99"/>
    <w:semiHidden/>
    <w:unhideWhenUsed/>
    <w:rsid w:val="004629BA"/>
    <w:pPr>
      <w:tabs>
        <w:tab w:val="center" w:pos="4513"/>
        <w:tab w:val="right" w:pos="9026"/>
      </w:tabs>
    </w:pPr>
  </w:style>
  <w:style w:type="character" w:customStyle="1" w:styleId="HeaderChar">
    <w:name w:val="Header Char"/>
    <w:basedOn w:val="DefaultParagraphFont"/>
    <w:link w:val="Header"/>
    <w:uiPriority w:val="99"/>
    <w:semiHidden/>
    <w:rsid w:val="004629BA"/>
    <w:rPr>
      <w:rFonts w:ascii="Arial" w:eastAsia="Arial" w:hAnsi="Arial" w:cs="Arial"/>
      <w:kern w:val="0"/>
      <w:sz w:val="22"/>
      <w:szCs w:val="22"/>
      <w:lang w:val="en-US" w:eastAsia="ja-JP"/>
      <w14:ligatures w14:val="none"/>
    </w:rPr>
  </w:style>
  <w:style w:type="paragraph" w:styleId="Footer">
    <w:name w:val="footer"/>
    <w:basedOn w:val="Normal"/>
    <w:link w:val="FooterChar"/>
    <w:uiPriority w:val="99"/>
    <w:semiHidden/>
    <w:unhideWhenUsed/>
    <w:rsid w:val="004629BA"/>
    <w:pPr>
      <w:tabs>
        <w:tab w:val="center" w:pos="4513"/>
        <w:tab w:val="right" w:pos="9026"/>
      </w:tabs>
    </w:pPr>
  </w:style>
  <w:style w:type="character" w:customStyle="1" w:styleId="FooterChar">
    <w:name w:val="Footer Char"/>
    <w:basedOn w:val="DefaultParagraphFont"/>
    <w:link w:val="Footer"/>
    <w:uiPriority w:val="99"/>
    <w:semiHidden/>
    <w:rsid w:val="004629BA"/>
    <w:rPr>
      <w:rFonts w:ascii="Arial" w:eastAsia="Arial" w:hAnsi="Arial" w:cs="Arial"/>
      <w:kern w:val="0"/>
      <w:sz w:val="22"/>
      <w:szCs w:val="22"/>
      <w:lang w:val="en-US" w:eastAsia="ja-JP"/>
      <w14:ligatures w14:val="none"/>
    </w:rPr>
  </w:style>
  <w:style w:type="paragraph" w:customStyle="1" w:styleId="font-body-text">
    <w:name w:val="font-body-text"/>
    <w:basedOn w:val="Normal"/>
    <w:rsid w:val="008B4790"/>
    <w:pPr>
      <w:suppressAutoHyphens w:val="0"/>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4790"/>
    <w:rPr>
      <w:b/>
      <w:bCs/>
    </w:rPr>
  </w:style>
  <w:style w:type="character" w:customStyle="1" w:styleId="apple-converted-space">
    <w:name w:val="apple-converted-space"/>
    <w:basedOn w:val="DefaultParagraphFont"/>
    <w:rsid w:val="008B4790"/>
  </w:style>
  <w:style w:type="paragraph" w:styleId="CommentSubject">
    <w:name w:val="annotation subject"/>
    <w:basedOn w:val="CommentText"/>
    <w:next w:val="CommentText"/>
    <w:link w:val="CommentSubjectChar"/>
    <w:uiPriority w:val="99"/>
    <w:semiHidden/>
    <w:unhideWhenUsed/>
    <w:rsid w:val="00645F09"/>
    <w:rPr>
      <w:b/>
      <w:bCs/>
    </w:rPr>
  </w:style>
  <w:style w:type="character" w:customStyle="1" w:styleId="CommentSubjectChar">
    <w:name w:val="Comment Subject Char"/>
    <w:basedOn w:val="CommentTextChar"/>
    <w:link w:val="CommentSubject"/>
    <w:uiPriority w:val="99"/>
    <w:semiHidden/>
    <w:rsid w:val="00645F09"/>
    <w:rPr>
      <w:rFonts w:ascii="Arial" w:eastAsia="Arial" w:hAnsi="Arial" w:cs="Arial"/>
      <w:b/>
      <w:bCs/>
      <w:kern w:val="0"/>
      <w:sz w:val="20"/>
      <w:szCs w:val="20"/>
      <w:lang w:val="en-US" w:eastAsia="ja-JP"/>
      <w14:ligatures w14:val="none"/>
    </w:rPr>
  </w:style>
  <w:style w:type="character" w:styleId="Mention">
    <w:name w:val="Mention"/>
    <w:basedOn w:val="DefaultParagraphFont"/>
    <w:uiPriority w:val="99"/>
    <w:unhideWhenUsed/>
    <w:rsid w:val="00500C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6766DE7D4B1242B60D5F644306D5FE" ma:contentTypeVersion="18" ma:contentTypeDescription="Create a new document." ma:contentTypeScope="" ma:versionID="166017569fd9e32adafd380bcddd2a23">
  <xsd:schema xmlns:xsd="http://www.w3.org/2001/XMLSchema" xmlns:xs="http://www.w3.org/2001/XMLSchema" xmlns:p="http://schemas.microsoft.com/office/2006/metadata/properties" xmlns:ns2="2617389f-58e4-49c5-9807-a75b64a65690" xmlns:ns3="4fbe84ba-42ff-48fc-84b2-90bec8d5fc41" xmlns:ns4="2d221494-178b-4357-bea6-3a87c5967eb4" targetNamespace="http://schemas.microsoft.com/office/2006/metadata/properties" ma:root="true" ma:fieldsID="0c59f7ed95da361545dc3648cbc43c51" ns2:_="" ns3:_="" ns4:_="">
    <xsd:import namespace="2617389f-58e4-49c5-9807-a75b64a65690"/>
    <xsd:import namespace="4fbe84ba-42ff-48fc-84b2-90bec8d5fc41"/>
    <xsd:import namespace="2d221494-178b-4357-bea6-3a87c5967e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7389f-58e4-49c5-9807-a75b64a65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e84ba-42ff-48fc-84b2-90bec8d5fc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221494-178b-4357-bea6-3a87c5967eb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49e8a7-8d61-44ed-9808-8b61a4cad994}" ma:internalName="TaxCatchAll" ma:showField="CatchAllData" ma:web="4fbe84ba-42ff-48fc-84b2-90bec8d5fc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17389f-58e4-49c5-9807-a75b64a65690">
      <Terms xmlns="http://schemas.microsoft.com/office/infopath/2007/PartnerControls"/>
    </lcf76f155ced4ddcb4097134ff3c332f>
    <TaxCatchAll xmlns="2d221494-178b-4357-bea6-3a87c5967eb4" xsi:nil="true"/>
  </documentManagement>
</p:properties>
</file>

<file path=customXml/itemProps1.xml><?xml version="1.0" encoding="utf-8"?>
<ds:datastoreItem xmlns:ds="http://schemas.openxmlformats.org/officeDocument/2006/customXml" ds:itemID="{28944FE9-73E1-40AD-BFBC-38C214FA5B90}">
  <ds:schemaRefs>
    <ds:schemaRef ds:uri="http://schemas.microsoft.com/sharepoint/v3/contenttype/forms"/>
  </ds:schemaRefs>
</ds:datastoreItem>
</file>

<file path=customXml/itemProps2.xml><?xml version="1.0" encoding="utf-8"?>
<ds:datastoreItem xmlns:ds="http://schemas.openxmlformats.org/officeDocument/2006/customXml" ds:itemID="{728C9AD4-B14C-465C-A299-A8A4C1FA2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7389f-58e4-49c5-9807-a75b64a65690"/>
    <ds:schemaRef ds:uri="4fbe84ba-42ff-48fc-84b2-90bec8d5fc41"/>
    <ds:schemaRef ds:uri="2d221494-178b-4357-bea6-3a87c5967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F73F47-5D43-C940-A701-6EA5A169E498}">
  <ds:schemaRefs>
    <ds:schemaRef ds:uri="http://schemas.openxmlformats.org/officeDocument/2006/bibliography"/>
  </ds:schemaRefs>
</ds:datastoreItem>
</file>

<file path=customXml/itemProps4.xml><?xml version="1.0" encoding="utf-8"?>
<ds:datastoreItem xmlns:ds="http://schemas.openxmlformats.org/officeDocument/2006/customXml" ds:itemID="{45F5D1C6-A5B2-4FAB-94BB-8A1B212C1D94}">
  <ds:schemaRefs>
    <ds:schemaRef ds:uri="http://schemas.microsoft.com/office/2006/metadata/properties"/>
    <ds:schemaRef ds:uri="http://schemas.microsoft.com/office/infopath/2007/PartnerControls"/>
    <ds:schemaRef ds:uri="2617389f-58e4-49c5-9807-a75b64a65690"/>
    <ds:schemaRef ds:uri="2d221494-178b-4357-bea6-3a87c5967eb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3857</Words>
  <Characters>23221</Characters>
  <Application>Microsoft Office Word</Application>
  <DocSecurity>0</DocSecurity>
  <Lines>414</Lines>
  <Paragraphs>116</Paragraphs>
  <ScaleCrop>false</ScaleCrop>
  <Company/>
  <LinksUpToDate>false</LinksUpToDate>
  <CharactersWithSpaces>26962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Swayn</dc:creator>
  <cp:keywords/>
  <dc:description/>
  <cp:lastModifiedBy>Kylie Geard</cp:lastModifiedBy>
  <cp:revision>2</cp:revision>
  <dcterms:created xsi:type="dcterms:W3CDTF">2026-10-14T03:43:00Z</dcterms:created>
  <dcterms:modified xsi:type="dcterms:W3CDTF">2026-10-14T03:43:00Z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0x0101003E6766DE7D4B1242B60D5F644306D5FE</vt:lpwstr>
  </property>
  <property fmtid="{D5CDD505-2E9C-101B-9397-08002B2CF9AE}" pid="3" name="docLang">
    <vt:lpwstr>en</vt:lpwstr>
  </property>
  <property fmtid="{D5CDD505-2E9C-101B-9397-08002B2CF9AE}" pid="4" name="MediaServiceImageTags">
    <vt:lpwstr/>
  </property>
</Properties>
</file>