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984B9" w14:textId="77777777" w:rsidR="007A40A4" w:rsidRDefault="00E17603">
      <w:pPr>
        <w:pStyle w:val="Title"/>
      </w:pPr>
      <w:r>
        <w:t>Inclusive by Design: Institution-wide Implementation of UDL at RMIT</w:t>
      </w:r>
    </w:p>
    <w:p w14:paraId="39655AB0" w14:textId="77777777" w:rsidR="007A40A4" w:rsidRDefault="00E17603">
      <w:r>
        <w:t>Lara Rafferty and Helen McLean</w:t>
      </w:r>
    </w:p>
    <w:p w14:paraId="0DF68A59" w14:textId="083DFD19" w:rsidR="000E6384" w:rsidRDefault="000E6384">
      <w:pPr>
        <w:pStyle w:val="Heading1"/>
      </w:pPr>
      <w:r>
        <w:t xml:space="preserve">Published abstract </w:t>
      </w:r>
    </w:p>
    <w:p w14:paraId="235D764D" w14:textId="77777777" w:rsidR="000E6384" w:rsidRPr="00FD00FC" w:rsidRDefault="000E6384" w:rsidP="000E6384">
      <w:pPr>
        <w:rPr>
          <w:lang w:val="en-AU"/>
        </w:rPr>
      </w:pPr>
      <w:r w:rsidRPr="00FD00FC">
        <w:rPr>
          <w:lang w:val="en-AU"/>
        </w:rPr>
        <w:t>This presentation outlines RMIT University’s whole of institution approach to embedding inclusive learning and teaching, guided by the Universal Design for Learning (UDL) Guidelines 3.0. In response to growing student diversity, evolving regulatory expectations, and institutional commitments to equity, RMIT has developed a cohesive framework that integrates data insights, organisational values, and national and international principles to build a compelling case for system level change—offering lessons relevant across the tertiary sector.</w:t>
      </w:r>
    </w:p>
    <w:p w14:paraId="539037C5" w14:textId="77777777" w:rsidR="000E6384" w:rsidRPr="00FD00FC" w:rsidRDefault="000E6384" w:rsidP="000E6384">
      <w:pPr>
        <w:rPr>
          <w:lang w:val="en-AU"/>
        </w:rPr>
      </w:pPr>
      <w:r w:rsidRPr="00FD00FC">
        <w:rPr>
          <w:lang w:val="en-AU"/>
        </w:rPr>
        <w:t>The presentation will describe how RMIT has approached planning and implementation by cultivating cross functional stakeholder networks, aligning governance and assurance systems, and creating a succinct “plan on a page” to focus and communicate the program of work. An accompanying impact and evaluation framework supports sequencing, priority setting, and ongoing refinement.</w:t>
      </w:r>
    </w:p>
    <w:p w14:paraId="5EB86B90" w14:textId="77777777" w:rsidR="000E6384" w:rsidRPr="00FD00FC" w:rsidRDefault="000E6384" w:rsidP="000E6384">
      <w:pPr>
        <w:rPr>
          <w:lang w:val="en-AU"/>
        </w:rPr>
      </w:pPr>
      <w:r w:rsidRPr="00FD00FC">
        <w:rPr>
          <w:lang w:val="en-AU"/>
        </w:rPr>
        <w:t>Key principles shaping the initiative include co design with students, educators, and professional staff; embedding inclusive practice within existing processes; and identifying early wins to build momentum. Priorities initiated in 2025 span four domains: leadership; culture and capability; education practice; and infrastructure, services and operations.</w:t>
      </w:r>
    </w:p>
    <w:p w14:paraId="64035BD6" w14:textId="77777777" w:rsidR="000E6384" w:rsidRPr="00FD00FC" w:rsidRDefault="000E6384" w:rsidP="000E6384">
      <w:pPr>
        <w:rPr>
          <w:lang w:val="en-AU"/>
        </w:rPr>
      </w:pPr>
      <w:r w:rsidRPr="00FD00FC">
        <w:rPr>
          <w:lang w:val="en-AU"/>
        </w:rPr>
        <w:t>The session will also address challenges encountered so far and outline next steps for 2026 and beyond. </w:t>
      </w:r>
    </w:p>
    <w:p w14:paraId="6FE7097D" w14:textId="77777777" w:rsidR="000E6384" w:rsidRDefault="000E6384" w:rsidP="000E6384">
      <w:pPr>
        <w:rPr>
          <w:lang w:val="en-AU"/>
        </w:rPr>
      </w:pPr>
      <w:r w:rsidRPr="00FD00FC">
        <w:rPr>
          <w:lang w:val="en-AU"/>
        </w:rPr>
        <w:t>Finally, through provocations and open ended questions, attendees will be invited to reflect on their own contexts, share experiences, and explore implications for advancing inclusive practice within their institutions.</w:t>
      </w:r>
    </w:p>
    <w:p w14:paraId="62D51397" w14:textId="77777777" w:rsidR="000E6384" w:rsidRDefault="000E6384" w:rsidP="000E6384"/>
    <w:p w14:paraId="6679203E" w14:textId="77777777" w:rsidR="000E6384" w:rsidRPr="000E6384" w:rsidRDefault="000E6384" w:rsidP="000E6384"/>
    <w:p w14:paraId="0054F599" w14:textId="2030DF63" w:rsidR="007A40A4" w:rsidRDefault="00E17603">
      <w:pPr>
        <w:pStyle w:val="Heading1"/>
      </w:pPr>
      <w:r>
        <w:lastRenderedPageBreak/>
        <w:t>RMIT’s Whole-of-Institution UDL Journey</w:t>
      </w:r>
    </w:p>
    <w:p w14:paraId="565EA906" w14:textId="77777777" w:rsidR="007A40A4" w:rsidRDefault="00E17603">
      <w:r>
        <w:t>Embedding inclusive learning and teaching across the institution.</w:t>
      </w:r>
    </w:p>
    <w:p w14:paraId="08873F19" w14:textId="77777777" w:rsidR="007A40A4" w:rsidRDefault="00E17603">
      <w:pPr>
        <w:pStyle w:val="Heading2"/>
      </w:pPr>
      <w:r>
        <w:t>Notes</w:t>
      </w:r>
    </w:p>
    <w:p w14:paraId="478C63DE" w14:textId="61C45580" w:rsidR="007A40A4" w:rsidRDefault="00E17603">
      <w:r>
        <w:t xml:space="preserve">This session opens with </w:t>
      </w:r>
      <w:r w:rsidR="000E6384">
        <w:t>A</w:t>
      </w:r>
      <w:r>
        <w:t xml:space="preserve">cknowledgement of </w:t>
      </w:r>
      <w:r w:rsidR="000E6384">
        <w:t>C</w:t>
      </w:r>
      <w:r>
        <w:t xml:space="preserve">ountry, presenter introductions, and framing the audience. It outlines the purpose: focusing on system-level </w:t>
      </w:r>
      <w:r w:rsidR="000E6384">
        <w:t>Universal Design for Learning (</w:t>
      </w:r>
      <w:r>
        <w:t>UDL</w:t>
      </w:r>
      <w:r w:rsidR="000E6384">
        <w:t>)</w:t>
      </w:r>
      <w:r>
        <w:t xml:space="preserve"> implementation rather than introductory concepts, and previews key topics including rationale, framework, implementation, and reflections.</w:t>
      </w:r>
    </w:p>
    <w:p w14:paraId="6FE027EB" w14:textId="77777777" w:rsidR="007A40A4" w:rsidRDefault="00E17603">
      <w:pPr>
        <w:pStyle w:val="Heading1"/>
      </w:pPr>
      <w:r>
        <w:t>Why UDL, and Why at System Level?</w:t>
      </w:r>
    </w:p>
    <w:p w14:paraId="05684E46" w14:textId="77777777" w:rsidR="007A40A4" w:rsidRDefault="00E17603">
      <w:r>
        <w:t>• Growing student diversity</w:t>
      </w:r>
      <w:r>
        <w:br/>
        <w:t>• Regulatory expectations</w:t>
      </w:r>
      <w:r>
        <w:br/>
        <w:t>• Limits of individual adjustments</w:t>
      </w:r>
      <w:r>
        <w:br/>
        <w:t>• UDL Guidelines 3.0</w:t>
      </w:r>
      <w:r>
        <w:br/>
        <w:t>• Equitable participation</w:t>
      </w:r>
    </w:p>
    <w:p w14:paraId="0D8F7620" w14:textId="77777777" w:rsidR="007A40A4" w:rsidRDefault="00E17603">
      <w:pPr>
        <w:pStyle w:val="Heading2"/>
      </w:pPr>
      <w:r>
        <w:t>Notes</w:t>
      </w:r>
    </w:p>
    <w:p w14:paraId="53B360EC" w14:textId="77777777" w:rsidR="007A40A4" w:rsidRDefault="00E17603">
      <w:r>
        <w:t>Explains rising diversity and policy drivers in Australia. Highlights limitations of reactive adjustments and positions UDL as a proactive framework supporting engagement, representation, and expression. Emphasises equitable participation from the outset.</w:t>
      </w:r>
    </w:p>
    <w:p w14:paraId="239A1986" w14:textId="77777777" w:rsidR="007A40A4" w:rsidRDefault="00E17603">
      <w:pPr>
        <w:pStyle w:val="Heading1"/>
      </w:pPr>
      <w:r>
        <w:t>Our UDL Framework and Plan on a Page</w:t>
      </w:r>
    </w:p>
    <w:p w14:paraId="69D1F0B6" w14:textId="77777777" w:rsidR="007A40A4" w:rsidRDefault="00E17603">
      <w:r>
        <w:t>Integrates organisational values, data insights, and UDL principles.</w:t>
      </w:r>
    </w:p>
    <w:p w14:paraId="360C5773" w14:textId="77777777" w:rsidR="007A40A4" w:rsidRDefault="00E17603">
      <w:pPr>
        <w:pStyle w:val="Heading2"/>
      </w:pPr>
      <w:r>
        <w:t>Notes</w:t>
      </w:r>
    </w:p>
    <w:p w14:paraId="1283AEBF" w14:textId="77777777" w:rsidR="007A40A4" w:rsidRDefault="00E17603">
      <w:r>
        <w:t>Describes how values (equity, inclusion), data (student outcomes, feedback), and UDL principles combine into a shared institutional framework. Explains its relevance for leaders, educators, and disability practitioners.</w:t>
      </w:r>
    </w:p>
    <w:p w14:paraId="60D3924D" w14:textId="77777777" w:rsidR="007A40A4" w:rsidRDefault="00E17603">
      <w:pPr>
        <w:pStyle w:val="Heading1"/>
      </w:pPr>
      <w:r>
        <w:t>UDL Action Plan: Four Domains</w:t>
      </w:r>
    </w:p>
    <w:p w14:paraId="2FA087AA" w14:textId="77777777" w:rsidR="007A40A4" w:rsidRDefault="00E17603">
      <w:r>
        <w:t>• Leadership and planning</w:t>
      </w:r>
      <w:r>
        <w:br/>
        <w:t>• Culture and capability</w:t>
      </w:r>
      <w:r>
        <w:br/>
        <w:t>• Education practice</w:t>
      </w:r>
      <w:r>
        <w:br/>
        <w:t>• Infrastructure</w:t>
      </w:r>
    </w:p>
    <w:p w14:paraId="3C81499E" w14:textId="77777777" w:rsidR="007A40A4" w:rsidRDefault="00E17603">
      <w:pPr>
        <w:pStyle w:val="Heading2"/>
      </w:pPr>
      <w:r>
        <w:lastRenderedPageBreak/>
        <w:t>Notes</w:t>
      </w:r>
    </w:p>
    <w:p w14:paraId="46F20977" w14:textId="77777777" w:rsidR="007A40A4" w:rsidRDefault="00E17603">
      <w:r>
        <w:t>Provides examples across four domains: embedding UDL in policy, building staff capability, designing exemplar courses, and improving physical/digital environments. Reinforces shared responsibility.</w:t>
      </w:r>
    </w:p>
    <w:p w14:paraId="4E61F69E" w14:textId="77777777" w:rsidR="007A40A4" w:rsidRDefault="00E17603">
      <w:pPr>
        <w:pStyle w:val="Heading1"/>
      </w:pPr>
      <w:r>
        <w:t>From Plan to Practice</w:t>
      </w:r>
    </w:p>
    <w:p w14:paraId="1F3EE3D1" w14:textId="77777777" w:rsidR="007A40A4" w:rsidRDefault="00E17603">
      <w:r>
        <w:t>Implementation through collaboration, governance, and early wins.</w:t>
      </w:r>
    </w:p>
    <w:p w14:paraId="4AB6894A" w14:textId="77777777" w:rsidR="007A40A4" w:rsidRDefault="00E17603">
      <w:pPr>
        <w:pStyle w:val="Heading2"/>
      </w:pPr>
      <w:r>
        <w:t>Notes</w:t>
      </w:r>
    </w:p>
    <w:p w14:paraId="57BDB6D8" w14:textId="77777777" w:rsidR="007A40A4" w:rsidRDefault="00E17603">
      <w:r>
        <w:t>Details cross-functional collaboration, integration into governance, professional development, and pilot successes such as improved AV and accessible templates.</w:t>
      </w:r>
    </w:p>
    <w:p w14:paraId="241C69F1" w14:textId="77777777" w:rsidR="007A40A4" w:rsidRDefault="00E17603">
      <w:pPr>
        <w:pStyle w:val="Heading1"/>
      </w:pPr>
      <w:r>
        <w:t>Challenges, Lessons and Next Steps</w:t>
      </w:r>
    </w:p>
    <w:p w14:paraId="7119047C" w14:textId="77777777" w:rsidR="007A40A4" w:rsidRDefault="00E17603">
      <w:r>
        <w:t>• Scaling across disciplines</w:t>
      </w:r>
      <w:r>
        <w:br/>
        <w:t>• Workload pressures</w:t>
      </w:r>
      <w:r>
        <w:br/>
        <w:t>• Legacy systems</w:t>
      </w:r>
      <w:r>
        <w:br/>
        <w:t>• Change fatigue</w:t>
      </w:r>
      <w:r>
        <w:br/>
        <w:t>• Sustaining UDL</w:t>
      </w:r>
    </w:p>
    <w:p w14:paraId="67CE0341" w14:textId="77777777" w:rsidR="007A40A4" w:rsidRDefault="00E17603">
      <w:pPr>
        <w:pStyle w:val="Heading2"/>
      </w:pPr>
      <w:r>
        <w:t>Notes</w:t>
      </w:r>
    </w:p>
    <w:p w14:paraId="655FB857" w14:textId="77777777" w:rsidR="007A40A4" w:rsidRDefault="00E17603">
      <w:r>
        <w:t>Discusses challenges including discipline variation and staff workload. Outlines next steps such as scaling exemplars, embedding in systems, and strengthening evaluation.</w:t>
      </w:r>
    </w:p>
    <w:sectPr w:rsidR="007A40A4"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8FC8" w14:textId="77777777" w:rsidR="00E17603" w:rsidRDefault="00E17603" w:rsidP="000E6384">
      <w:pPr>
        <w:spacing w:after="0" w:line="240" w:lineRule="auto"/>
      </w:pPr>
      <w:r>
        <w:separator/>
      </w:r>
    </w:p>
  </w:endnote>
  <w:endnote w:type="continuationSeparator" w:id="0">
    <w:p w14:paraId="182513BC" w14:textId="77777777" w:rsidR="00E17603" w:rsidRDefault="00E17603" w:rsidP="000E6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9B988" w14:textId="77777777" w:rsidR="00E17603" w:rsidRDefault="00E17603" w:rsidP="000E6384">
      <w:pPr>
        <w:spacing w:after="0" w:line="240" w:lineRule="auto"/>
      </w:pPr>
      <w:r>
        <w:separator/>
      </w:r>
    </w:p>
  </w:footnote>
  <w:footnote w:type="continuationSeparator" w:id="0">
    <w:p w14:paraId="7D00D470" w14:textId="77777777" w:rsidR="00E17603" w:rsidRDefault="00E17603" w:rsidP="000E63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0085674">
    <w:abstractNumId w:val="8"/>
  </w:num>
  <w:num w:numId="2" w16cid:durableId="665784733">
    <w:abstractNumId w:val="6"/>
  </w:num>
  <w:num w:numId="3" w16cid:durableId="423233179">
    <w:abstractNumId w:val="5"/>
  </w:num>
  <w:num w:numId="4" w16cid:durableId="259409856">
    <w:abstractNumId w:val="4"/>
  </w:num>
  <w:num w:numId="5" w16cid:durableId="2122914092">
    <w:abstractNumId w:val="7"/>
  </w:num>
  <w:num w:numId="6" w16cid:durableId="60639001">
    <w:abstractNumId w:val="3"/>
  </w:num>
  <w:num w:numId="7" w16cid:durableId="203717314">
    <w:abstractNumId w:val="2"/>
  </w:num>
  <w:num w:numId="8" w16cid:durableId="952631463">
    <w:abstractNumId w:val="1"/>
  </w:num>
  <w:num w:numId="9" w16cid:durableId="930352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384"/>
    <w:rsid w:val="0015074B"/>
    <w:rsid w:val="0029639D"/>
    <w:rsid w:val="00326F90"/>
    <w:rsid w:val="007A40A4"/>
    <w:rsid w:val="009B0D7A"/>
    <w:rsid w:val="00AA1D8D"/>
    <w:rsid w:val="00B47730"/>
    <w:rsid w:val="00CB0664"/>
    <w:rsid w:val="00E176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1741C"/>
  <w14:defaultImageDpi w14:val="300"/>
  <w15:docId w15:val="{C498A6BD-789E-4837-BF42-033A0208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34E93B4-206E-4CE9-8763-7A8E6EFF8D05}"/>
</file>

<file path=customXml/itemProps3.xml><?xml version="1.0" encoding="utf-8"?>
<ds:datastoreItem xmlns:ds="http://schemas.openxmlformats.org/officeDocument/2006/customXml" ds:itemID="{B158DFA2-1288-4A71-9E88-F5A60B5ED56A}">
  <ds:schemaRefs>
    <ds:schemaRef ds:uri="http://schemas.microsoft.com/sharepoint/v3/contenttype/forms"/>
  </ds:schemaRefs>
</ds:datastoreItem>
</file>

<file path=customXml/itemProps4.xml><?xml version="1.0" encoding="utf-8"?>
<ds:datastoreItem xmlns:ds="http://schemas.openxmlformats.org/officeDocument/2006/customXml" ds:itemID="{8F82DE88-8E52-4EE8-B816-47831CE51E9B}">
  <ds:schemaRefs>
    <ds:schemaRef ds:uri="http://schemas.microsoft.com/office/2006/metadata/properties"/>
    <ds:schemaRef ds:uri="http://schemas.microsoft.com/office/infopath/2007/PartnerControls"/>
    <ds:schemaRef ds:uri="080414d6-d7f6-4ae3-a2ca-4ab042ab1a8a"/>
    <ds:schemaRef ds:uri="77ef2b68-7220-4a7f-995d-5d8c541a6813"/>
  </ds:schemaRefs>
</ds:datastoreItem>
</file>

<file path=docMetadata/LabelInfo.xml><?xml version="1.0" encoding="utf-8"?>
<clbl:labelList xmlns:clbl="http://schemas.microsoft.com/office/2020/mipLabelMetadata">
  <clbl:label id="{ddaa77bc-0157-46a4-82a6-8fc765694bc9}" enabled="1" method="Standard" siteId="{d1323671-cdbe-4417-b4d4-bdb24b51316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Rafferty</dc:creator>
  <cp:keywords/>
  <dc:description>generated by python-docx</dc:description>
  <cp:lastModifiedBy>Lara Rafferty</cp:lastModifiedBy>
  <cp:revision>2</cp:revision>
  <dcterms:created xsi:type="dcterms:W3CDTF">2026-06-08T22:36:00Z</dcterms:created>
  <dcterms:modified xsi:type="dcterms:W3CDTF">2026-06-08T22:36:00Z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