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78426" w14:textId="77777777" w:rsidR="001A68EE" w:rsidRDefault="001D03FD">
      <w:pPr>
        <w:spacing w:after="160"/>
      </w:pPr>
      <w:r>
        <w:rPr>
          <w:b/>
          <w:bCs/>
          <w:color w:val="B01A0D"/>
          <w:sz w:val="36"/>
          <w:szCs w:val="36"/>
        </w:rPr>
        <w:t>Designing GenAI for Inclusion, Not Shortcuts</w:t>
      </w:r>
    </w:p>
    <w:p w14:paraId="13459CDE" w14:textId="77777777" w:rsidR="001A68EE" w:rsidRDefault="001D03FD">
      <w:pPr>
        <w:spacing w:after="80"/>
      </w:pPr>
      <w:r>
        <w:rPr>
          <w:i/>
          <w:iCs/>
          <w:color w:val="1A1A1A"/>
          <w:sz w:val="26"/>
          <w:szCs w:val="26"/>
        </w:rPr>
        <w:t>A UDL-Aligned Approach to 24/7 Student Support</w:t>
      </w:r>
    </w:p>
    <w:p w14:paraId="709FBC40" w14:textId="77777777" w:rsidR="001A68EE" w:rsidRDefault="001D03FD">
      <w:pPr>
        <w:spacing w:after="140" w:line="276" w:lineRule="auto"/>
      </w:pPr>
      <w:r>
        <w:rPr>
          <w:color w:val="1A1A1A"/>
        </w:rPr>
        <w:t>ADCET UDL Symposium 2026  |  Stream C  |  Friday 5 June  |  11:40 am</w:t>
      </w:r>
    </w:p>
    <w:p w14:paraId="3B05C7A8" w14:textId="77777777" w:rsidR="001A68EE" w:rsidRDefault="001D03FD">
      <w:pPr>
        <w:spacing w:after="140" w:line="276" w:lineRule="auto"/>
      </w:pPr>
      <w:r>
        <w:rPr>
          <w:color w:val="1A1A1A"/>
        </w:rPr>
        <w:t>Kendal Sylvester  |  Teaching Fellow and Unit Coordinator  |  University of Tasmania</w:t>
      </w:r>
    </w:p>
    <w:p w14:paraId="67C93ACA" w14:textId="77777777" w:rsidR="001A68EE" w:rsidRDefault="001D03FD">
      <w:pPr>
        <w:spacing w:after="140" w:line="276" w:lineRule="auto"/>
      </w:pPr>
      <w:r>
        <w:rPr>
          <w:color w:val="1A1A1A"/>
        </w:rPr>
        <w:t>kendal.sylvester@utas.edu.au</w:t>
      </w:r>
    </w:p>
    <w:p w14:paraId="380111A4" w14:textId="77777777" w:rsidR="001A68EE" w:rsidRDefault="001D03FD">
      <w:pPr>
        <w:pStyle w:val="Heading1"/>
      </w:pPr>
      <w:r>
        <w:t>The Problem Worth Solving</w:t>
      </w:r>
    </w:p>
    <w:p w14:paraId="1C0E8E82" w14:textId="77777777" w:rsidR="001A68EE" w:rsidRDefault="001D03FD">
      <w:pPr>
        <w:spacing w:after="140" w:line="276" w:lineRule="auto"/>
      </w:pPr>
      <w:r>
        <w:rPr>
          <w:color w:val="1A1A1A"/>
        </w:rPr>
        <w:t>I came through a non-traditional pathway to university. I left school early and did not learn to read with confidence until Grade 9. I now teach the same qualification I once studied.</w:t>
      </w:r>
    </w:p>
    <w:p w14:paraId="757DC11A" w14:textId="77777777" w:rsidR="001A68EE" w:rsidRDefault="001D03FD">
      <w:pPr>
        <w:spacing w:after="140" w:line="276" w:lineRule="auto"/>
      </w:pPr>
      <w:r>
        <w:rPr>
          <w:color w:val="1A1A1A"/>
        </w:rPr>
        <w:t>Traditional student support is bounded by three things:</w:t>
      </w:r>
    </w:p>
    <w:p w14:paraId="74660544" w14:textId="77777777" w:rsidR="001A68EE" w:rsidRDefault="001D03FD">
      <w:pPr>
        <w:pStyle w:val="ListParagraph"/>
        <w:numPr>
          <w:ilvl w:val="0"/>
          <w:numId w:val="2"/>
        </w:numPr>
        <w:spacing w:after="100"/>
      </w:pPr>
      <w:r>
        <w:rPr>
          <w:color w:val="1A1A1A"/>
        </w:rPr>
        <w:t>Time: support ends at 5pm</w:t>
      </w:r>
    </w:p>
    <w:p w14:paraId="08E5079B" w14:textId="77777777" w:rsidR="001A68EE" w:rsidRDefault="001D03FD">
      <w:pPr>
        <w:pStyle w:val="ListParagraph"/>
        <w:numPr>
          <w:ilvl w:val="0"/>
          <w:numId w:val="2"/>
        </w:numPr>
        <w:spacing w:after="100"/>
      </w:pPr>
      <w:r>
        <w:rPr>
          <w:color w:val="1A1A1A"/>
        </w:rPr>
        <w:t>Availability: queues, waiting, office hours</w:t>
      </w:r>
    </w:p>
    <w:p w14:paraId="55616933" w14:textId="77777777" w:rsidR="001A68EE" w:rsidRDefault="001D03FD">
      <w:pPr>
        <w:pStyle w:val="ListParagraph"/>
        <w:numPr>
          <w:ilvl w:val="0"/>
          <w:numId w:val="2"/>
        </w:numPr>
        <w:spacing w:after="100"/>
      </w:pPr>
      <w:r>
        <w:rPr>
          <w:color w:val="1A1A1A"/>
        </w:rPr>
        <w:t>Courage: is my question worth asking?</w:t>
      </w:r>
    </w:p>
    <w:p w14:paraId="150DA398" w14:textId="77777777" w:rsidR="001A68EE" w:rsidRDefault="001D03FD">
      <w:pPr>
        <w:spacing w:after="140" w:line="276" w:lineRule="auto"/>
      </w:pPr>
      <w:r>
        <w:rPr>
          <w:color w:val="1A1A1A"/>
        </w:rPr>
        <w:t>For students managing work, caring responsibilities, living with disability, anxiety, or language differences, these boundaries are not neutral. They are barriers.</w:t>
      </w:r>
    </w:p>
    <w:p w14:paraId="731B7559" w14:textId="77777777" w:rsidR="001A68EE" w:rsidRDefault="001D03FD">
      <w:pPr>
        <w:pStyle w:val="Heading1"/>
      </w:pPr>
      <w:r>
        <w:t>What UDL Actually Asks of Us</w:t>
      </w:r>
    </w:p>
    <w:p w14:paraId="7F71CD0A" w14:textId="77777777" w:rsidR="001A68EE" w:rsidRDefault="001D03FD">
      <w:pPr>
        <w:pBdr>
          <w:left w:val="single" w:sz="6" w:space="12" w:color="B01A0D"/>
        </w:pBdr>
        <w:spacing w:before="120" w:after="120"/>
        <w:ind w:left="720"/>
      </w:pPr>
      <w:r>
        <w:rPr>
          <w:i/>
          <w:iCs/>
          <w:color w:val="1A1A1A"/>
        </w:rPr>
        <w:t>“Variability is not the problem. The environment is the problem.”  —  CAST, 2018</w:t>
      </w:r>
    </w:p>
    <w:p w14:paraId="4BD4069F" w14:textId="77777777" w:rsidR="001A68EE" w:rsidRDefault="001D03FD">
      <w:pPr>
        <w:spacing w:after="140" w:line="276" w:lineRule="auto"/>
      </w:pPr>
      <w:r>
        <w:rPr>
          <w:color w:val="1A1A1A"/>
        </w:rPr>
        <w:t>The three UDL principles applied to student support:</w:t>
      </w:r>
    </w:p>
    <w:p w14:paraId="200EE3B2" w14:textId="77777777" w:rsidR="001A68EE" w:rsidRDefault="001D03FD">
      <w:pPr>
        <w:pStyle w:val="ListParagraph"/>
        <w:numPr>
          <w:ilvl w:val="0"/>
          <w:numId w:val="2"/>
        </w:numPr>
        <w:spacing w:after="100"/>
      </w:pPr>
      <w:r>
        <w:rPr>
          <w:color w:val="1A1A1A"/>
        </w:rPr>
        <w:t>Multiple Means of Representation: is support available in ways that work for the student, not just the institution?</w:t>
      </w:r>
    </w:p>
    <w:p w14:paraId="7641E6A6" w14:textId="77777777" w:rsidR="001A68EE" w:rsidRDefault="001D03FD">
      <w:pPr>
        <w:pStyle w:val="ListParagraph"/>
        <w:numPr>
          <w:ilvl w:val="0"/>
          <w:numId w:val="2"/>
        </w:numPr>
        <w:spacing w:after="100"/>
      </w:pPr>
      <w:r>
        <w:rPr>
          <w:color w:val="1A1A1A"/>
        </w:rPr>
        <w:t>Multiple Means of Engagement: are the emotional and logistical barriers to asking for help reduced?</w:t>
      </w:r>
    </w:p>
    <w:p w14:paraId="593A56FA" w14:textId="77777777" w:rsidR="001A68EE" w:rsidRDefault="001D03FD">
      <w:pPr>
        <w:pStyle w:val="ListParagraph"/>
        <w:numPr>
          <w:ilvl w:val="0"/>
          <w:numId w:val="2"/>
        </w:numPr>
        <w:spacing w:after="100"/>
      </w:pPr>
      <w:r>
        <w:rPr>
          <w:color w:val="1A1A1A"/>
        </w:rPr>
        <w:t>Multiple Means of Action and Expression: can students interact with support on their own terms, at their own pace?</w:t>
      </w:r>
    </w:p>
    <w:p w14:paraId="2E27AB95" w14:textId="77777777" w:rsidR="001A68EE" w:rsidRDefault="001D03FD">
      <w:pPr>
        <w:spacing w:after="140" w:line="276" w:lineRule="auto"/>
      </w:pPr>
      <w:r>
        <w:rPr>
          <w:color w:val="1A1A1A"/>
        </w:rPr>
        <w:t>Most UDL conversations focus on content design. This presentation asks about the support infrastructure around it.</w:t>
      </w:r>
    </w:p>
    <w:p w14:paraId="42EE4926" w14:textId="77777777" w:rsidR="001A68EE" w:rsidRDefault="001D03FD">
      <w:pPr>
        <w:spacing w:after="140" w:line="276" w:lineRule="auto"/>
      </w:pPr>
      <w:r>
        <w:rPr>
          <w:color w:val="1A1A1A"/>
        </w:rPr>
        <w:t xml:space="preserve">ADCET Universal Design for Learning: </w:t>
      </w:r>
      <w:hyperlink r:id="rId8" w:history="1">
        <w:r>
          <w:rPr>
            <w:rStyle w:val="Hyperlink"/>
          </w:rPr>
          <w:t>adcet.edu.au/inclusive-teaching/universal-design-for-learning</w:t>
        </w:r>
      </w:hyperlink>
    </w:p>
    <w:p w14:paraId="1EC2FB2C" w14:textId="77777777" w:rsidR="001A68EE" w:rsidRDefault="001D03FD">
      <w:pPr>
        <w:pStyle w:val="Heading1"/>
      </w:pPr>
      <w:r>
        <w:t>What is Kendal AI?</w:t>
      </w:r>
    </w:p>
    <w:p w14:paraId="392A821B" w14:textId="77777777" w:rsidR="001A68EE" w:rsidRDefault="001D03FD">
      <w:pPr>
        <w:spacing w:after="140" w:line="276" w:lineRule="auto"/>
      </w:pPr>
      <w:r>
        <w:rPr>
          <w:color w:val="1A1A1A"/>
        </w:rPr>
        <w:lastRenderedPageBreak/>
        <w:t>An AI-enabled student support tool built specifically for ZAC101 Supporting People and Diversity at the University of Tasmania. Named Kendal AI because it is designed to feel like a version of the unit coordinator, available at all hours, in the same tone and with the same knowledge of the unit.</w:t>
      </w:r>
    </w:p>
    <w:p w14:paraId="2ECE0559" w14:textId="77777777" w:rsidR="001A68EE" w:rsidRDefault="001D03FD">
      <w:pPr>
        <w:pStyle w:val="Heading2"/>
      </w:pPr>
      <w:r>
        <w:t>What it is</w:t>
      </w:r>
    </w:p>
    <w:p w14:paraId="30B0025F" w14:textId="77777777" w:rsidR="001A68EE" w:rsidRDefault="001D03FD">
      <w:pPr>
        <w:spacing w:after="140" w:line="276" w:lineRule="auto"/>
      </w:pPr>
      <w:r>
        <w:rPr>
          <w:color w:val="1A1A1A"/>
        </w:rPr>
        <w:t>AI-enabled student support tool, built specifically for ZAC101. Named Kendal AI, designed to feel like a version of me. Available 24/7, same tone, same knowledge.</w:t>
      </w:r>
    </w:p>
    <w:p w14:paraId="6B57C496" w14:textId="77777777" w:rsidR="001A68EE" w:rsidRDefault="001D03FD">
      <w:pPr>
        <w:pStyle w:val="Heading2"/>
      </w:pPr>
      <w:r>
        <w:t>Where it lives</w:t>
      </w:r>
    </w:p>
    <w:p w14:paraId="211D92AC" w14:textId="77777777" w:rsidR="001A68EE" w:rsidRDefault="001D03FD">
      <w:pPr>
        <w:spacing w:after="140" w:line="276" w:lineRule="auto"/>
      </w:pPr>
      <w:r>
        <w:rPr>
          <w:color w:val="1A1A1A"/>
        </w:rPr>
        <w:t>Inside MyLO, the university learning management system. No new platform to learn. Students find it in a familiar tab. No external login or separate app.</w:t>
      </w:r>
    </w:p>
    <w:p w14:paraId="0690A4C8" w14:textId="77777777" w:rsidR="001A68EE" w:rsidRDefault="001D03FD">
      <w:pPr>
        <w:pStyle w:val="Heading2"/>
      </w:pPr>
      <w:r>
        <w:t>How it works</w:t>
      </w:r>
    </w:p>
    <w:p w14:paraId="760E4D64" w14:textId="77777777" w:rsidR="001A68EE" w:rsidRDefault="001D03FD">
      <w:pPr>
        <w:spacing w:after="140" w:line="276" w:lineRule="auto"/>
      </w:pPr>
      <w:r>
        <w:rPr>
          <w:color w:val="1A1A1A"/>
        </w:rPr>
        <w:t>Students type questions in plain language. Kendal AI asks clarifying questions before responding. It knows the assessments, due dates, and content. It refers on when a question goes beyond its scope.</w:t>
      </w:r>
    </w:p>
    <w:p w14:paraId="1DBBF323" w14:textId="77777777" w:rsidR="001A68EE" w:rsidRDefault="001D03FD">
      <w:pPr>
        <w:spacing w:after="80"/>
      </w:pPr>
      <w:r>
        <w:rPr>
          <w:i/>
          <w:iCs/>
          <w:color w:val="595959"/>
          <w:sz w:val="20"/>
          <w:szCs w:val="20"/>
        </w:rPr>
        <w:t>Note: The image on this slide is an AI-generated portrait of Kendal Sylvester in a digital environment, created for illustrative purposes.</w:t>
      </w:r>
    </w:p>
    <w:p w14:paraId="025B6007" w14:textId="77777777" w:rsidR="001A68EE" w:rsidRDefault="001D03FD">
      <w:pPr>
        <w:pStyle w:val="Heading1"/>
      </w:pPr>
      <w:r>
        <w:t>How Kendal AI Maps to UDL</w:t>
      </w:r>
    </w:p>
    <w:p w14:paraId="067FAAAA" w14:textId="77777777" w:rsidR="001A68EE" w:rsidRDefault="001D03FD">
      <w:pPr>
        <w:pStyle w:val="Heading2"/>
      </w:pPr>
      <w:r>
        <w:t>Multiple Means of Representation</w:t>
      </w:r>
    </w:p>
    <w:p w14:paraId="6AC2DF20" w14:textId="77777777" w:rsidR="001A68EE" w:rsidRDefault="001D03FD">
      <w:pPr>
        <w:spacing w:after="140" w:line="276" w:lineRule="auto"/>
      </w:pPr>
      <w:r>
        <w:rPr>
          <w:color w:val="1A1A1A"/>
        </w:rPr>
        <w:t>Breaks down complex task instructions in plain language. Points to specific content and resources in MyLO. Offers step-by-step or full overview — the student chooses.</w:t>
      </w:r>
    </w:p>
    <w:p w14:paraId="50F6B544" w14:textId="77777777" w:rsidR="001A68EE" w:rsidRDefault="001D03FD">
      <w:pPr>
        <w:pStyle w:val="Heading2"/>
      </w:pPr>
      <w:r>
        <w:t>Multiple Means of Engagement</w:t>
      </w:r>
    </w:p>
    <w:p w14:paraId="2394DCC7" w14:textId="77777777" w:rsidR="001A68EE" w:rsidRDefault="001D03FD">
      <w:pPr>
        <w:spacing w:after="140" w:line="276" w:lineRule="auto"/>
      </w:pPr>
      <w:r>
        <w:rPr>
          <w:color w:val="1A1A1A"/>
        </w:rPr>
        <w:t>Available 24/7 with no appointment, queue, or office hours. Creates a low-pressure environment for asking any question. Uses a warm, non-judgmental tone that reduces the fear of asking. Builds study plans around the student’s actual life.</w:t>
      </w:r>
    </w:p>
    <w:p w14:paraId="20E6876D" w14:textId="77777777" w:rsidR="001A68EE" w:rsidRDefault="001D03FD">
      <w:pPr>
        <w:pStyle w:val="Heading2"/>
      </w:pPr>
      <w:r>
        <w:t>Multiple Means of Action and Expression</w:t>
      </w:r>
    </w:p>
    <w:p w14:paraId="46E61EDD" w14:textId="77777777" w:rsidR="001A68EE" w:rsidRDefault="001D03FD">
      <w:pPr>
        <w:spacing w:after="140" w:line="276" w:lineRule="auto"/>
      </w:pPr>
      <w:r>
        <w:rPr>
          <w:color w:val="1A1A1A"/>
        </w:rPr>
        <w:t>Students engage at their own pace and on their own terms. Provides iterative draft feedback without rewriting their work. Asks clarifying questions before responding. Refers students on when a question goes beyond its scope.</w:t>
      </w:r>
    </w:p>
    <w:p w14:paraId="053ADBF5" w14:textId="77777777" w:rsidR="001A68EE" w:rsidRDefault="001D03FD">
      <w:pPr>
        <w:spacing w:after="140" w:line="276" w:lineRule="auto"/>
      </w:pPr>
      <w:r>
        <w:rPr>
          <w:color w:val="1A1A1A"/>
        </w:rPr>
        <w:t>Designed not just for content delivery, but for the support infrastructure around it.</w:t>
      </w:r>
    </w:p>
    <w:p w14:paraId="42F0952B" w14:textId="77777777" w:rsidR="001A68EE" w:rsidRDefault="001D03FD">
      <w:pPr>
        <w:pStyle w:val="Heading1"/>
      </w:pPr>
      <w:r>
        <w:t>The Design Decision: Kendal AI</w:t>
      </w:r>
    </w:p>
    <w:p w14:paraId="22977C59" w14:textId="77777777" w:rsidR="001A68EE" w:rsidRDefault="001D03FD">
      <w:pPr>
        <w:pStyle w:val="Heading2"/>
      </w:pPr>
      <w:r>
        <w:t>Boundaries built in</w:t>
      </w:r>
    </w:p>
    <w:p w14:paraId="288A2120" w14:textId="77777777" w:rsidR="001A68EE" w:rsidRDefault="001D03FD">
      <w:pPr>
        <w:spacing w:after="140" w:line="276" w:lineRule="auto"/>
      </w:pPr>
      <w:r>
        <w:rPr>
          <w:color w:val="1A1A1A"/>
        </w:rPr>
        <w:t>The agent will not write assessment content, predict grades, or guess when uncertain. These are design features, not limitations.</w:t>
      </w:r>
    </w:p>
    <w:p w14:paraId="56258458" w14:textId="77777777" w:rsidR="001A68EE" w:rsidRDefault="001D03FD">
      <w:pPr>
        <w:pStyle w:val="Heading2"/>
      </w:pPr>
      <w:r>
        <w:lastRenderedPageBreak/>
        <w:t>Staged release</w:t>
      </w:r>
    </w:p>
    <w:p w14:paraId="7852F4E3" w14:textId="77777777" w:rsidR="001A68EE" w:rsidRDefault="001D03FD">
      <w:pPr>
        <w:spacing w:after="140" w:line="276" w:lineRule="auto"/>
      </w:pPr>
      <w:r>
        <w:rPr>
          <w:color w:val="1A1A1A"/>
        </w:rPr>
        <w:t>Assessment information was only made available in the agent once it had been released to students in MyLO. The agent’s knowledge grew with the semester.</w:t>
      </w:r>
    </w:p>
    <w:p w14:paraId="2189AF43" w14:textId="77777777" w:rsidR="001A68EE" w:rsidRDefault="001D03FD">
      <w:pPr>
        <w:pStyle w:val="Heading2"/>
      </w:pPr>
      <w:r>
        <w:t>Monitored via Cogniti</w:t>
      </w:r>
    </w:p>
    <w:p w14:paraId="3A156E7D" w14:textId="77777777" w:rsidR="001A68EE" w:rsidRDefault="001D03FD">
      <w:pPr>
        <w:spacing w:after="140" w:line="276" w:lineRule="auto"/>
      </w:pPr>
      <w:r>
        <w:rPr>
          <w:color w:val="1A1A1A"/>
        </w:rPr>
        <w:t>Conversations are visible to the educator. This is a welfare feature, not a surveillance feature.</w:t>
      </w:r>
    </w:p>
    <w:p w14:paraId="23161AAD" w14:textId="77777777" w:rsidR="001A68EE" w:rsidRDefault="001D03FD">
      <w:pPr>
        <w:pStyle w:val="Heading1"/>
      </w:pPr>
      <w:r>
        <w:t>Platform and Monitoring: Why It Matters</w:t>
      </w:r>
    </w:p>
    <w:p w14:paraId="220A27FB" w14:textId="77777777" w:rsidR="001A68EE" w:rsidRDefault="001D03FD">
      <w:pPr>
        <w:pStyle w:val="Heading2"/>
      </w:pPr>
      <w:r>
        <w:t>Built on Cogniti</w:t>
      </w:r>
    </w:p>
    <w:p w14:paraId="7AAC8672" w14:textId="77777777" w:rsidR="001A68EE" w:rsidRDefault="001D03FD">
      <w:pPr>
        <w:pStyle w:val="ListParagraph"/>
        <w:numPr>
          <w:ilvl w:val="0"/>
          <w:numId w:val="2"/>
        </w:numPr>
        <w:spacing w:after="100"/>
      </w:pPr>
      <w:r>
        <w:rPr>
          <w:color w:val="1A1A1A"/>
        </w:rPr>
        <w:t>AI agent platform built for Australian higher education</w:t>
      </w:r>
    </w:p>
    <w:p w14:paraId="47AEC171" w14:textId="77777777" w:rsidR="001A68EE" w:rsidRDefault="001D03FD">
      <w:pPr>
        <w:pStyle w:val="ListParagraph"/>
        <w:numPr>
          <w:ilvl w:val="0"/>
          <w:numId w:val="2"/>
        </w:numPr>
        <w:spacing w:after="100"/>
      </w:pPr>
      <w:r>
        <w:rPr>
          <w:color w:val="1A1A1A"/>
        </w:rPr>
        <w:t>Sits inside MyLO — familiar environment, no external redirect</w:t>
      </w:r>
    </w:p>
    <w:p w14:paraId="163FF9F9" w14:textId="77777777" w:rsidR="001A68EE" w:rsidRDefault="001D03FD">
      <w:pPr>
        <w:pStyle w:val="ListParagraph"/>
        <w:numPr>
          <w:ilvl w:val="0"/>
          <w:numId w:val="2"/>
        </w:numPr>
        <w:spacing w:after="100"/>
      </w:pPr>
      <w:r>
        <w:rPr>
          <w:color w:val="1A1A1A"/>
        </w:rPr>
        <w:t>Conversations monitorable by the educator</w:t>
      </w:r>
    </w:p>
    <w:p w14:paraId="2F658AD8" w14:textId="77777777" w:rsidR="001A68EE" w:rsidRDefault="001D03FD">
      <w:pPr>
        <w:pStyle w:val="ListParagraph"/>
        <w:numPr>
          <w:ilvl w:val="0"/>
          <w:numId w:val="2"/>
        </w:numPr>
        <w:spacing w:after="100"/>
      </w:pPr>
      <w:r>
        <w:rPr>
          <w:color w:val="1A1A1A"/>
        </w:rPr>
        <w:t>Welfare safety net: anonymity can be lifted for duty of care</w:t>
      </w:r>
    </w:p>
    <w:p w14:paraId="658C3B96" w14:textId="77777777" w:rsidR="001A68EE" w:rsidRDefault="001D03FD">
      <w:pPr>
        <w:pStyle w:val="Heading2"/>
      </w:pPr>
      <w:r>
        <w:t>The Copilot Trade-off</w:t>
      </w:r>
    </w:p>
    <w:p w14:paraId="4FD6CF65" w14:textId="77777777" w:rsidR="001A68EE" w:rsidRDefault="001D03FD">
      <w:pPr>
        <w:pStyle w:val="ListParagraph"/>
        <w:numPr>
          <w:ilvl w:val="0"/>
          <w:numId w:val="2"/>
        </w:numPr>
        <w:spacing w:after="100"/>
      </w:pPr>
      <w:r>
        <w:rPr>
          <w:color w:val="1A1A1A"/>
        </w:rPr>
        <w:t>Could be built in Microsoft Copilot — widely available</w:t>
      </w:r>
    </w:p>
    <w:p w14:paraId="7EDF30BA" w14:textId="77777777" w:rsidR="001A68EE" w:rsidRDefault="001D03FD">
      <w:pPr>
        <w:pStyle w:val="ListParagraph"/>
        <w:numPr>
          <w:ilvl w:val="0"/>
          <w:numId w:val="2"/>
        </w:numPr>
        <w:spacing w:after="100"/>
      </w:pPr>
      <w:r>
        <w:rPr>
          <w:color w:val="1A1A1A"/>
        </w:rPr>
        <w:t>Conversations cannot be monitored in the same way</w:t>
      </w:r>
    </w:p>
    <w:p w14:paraId="535D4402" w14:textId="77777777" w:rsidR="001A68EE" w:rsidRDefault="001D03FD">
      <w:pPr>
        <w:pStyle w:val="ListParagraph"/>
        <w:numPr>
          <w:ilvl w:val="0"/>
          <w:numId w:val="2"/>
        </w:numPr>
        <w:spacing w:after="100"/>
      </w:pPr>
      <w:r>
        <w:rPr>
          <w:color w:val="1A1A1A"/>
        </w:rPr>
        <w:t>No welfare safety net</w:t>
      </w:r>
    </w:p>
    <w:p w14:paraId="3C06E50E" w14:textId="77777777" w:rsidR="001A68EE" w:rsidRDefault="001D03FD">
      <w:pPr>
        <w:pStyle w:val="ListParagraph"/>
        <w:numPr>
          <w:ilvl w:val="0"/>
          <w:numId w:val="2"/>
        </w:numPr>
        <w:spacing w:after="100"/>
      </w:pPr>
      <w:r>
        <w:rPr>
          <w:color w:val="1A1A1A"/>
        </w:rPr>
        <w:t>No data for evidence and iteration</w:t>
      </w:r>
    </w:p>
    <w:p w14:paraId="6F8E2C3D" w14:textId="77777777" w:rsidR="001A68EE" w:rsidRDefault="001D03FD">
      <w:pPr>
        <w:spacing w:after="140" w:line="276" w:lineRule="auto"/>
      </w:pPr>
      <w:r>
        <w:rPr>
          <w:color w:val="1A1A1A"/>
        </w:rPr>
        <w:t>The platform choice is a design choice. The welfare safety net and the data both depend on it.</w:t>
      </w:r>
    </w:p>
    <w:p w14:paraId="1C4FA4E6" w14:textId="77777777" w:rsidR="001A68EE" w:rsidRDefault="001D03FD">
      <w:pPr>
        <w:pStyle w:val="Heading1"/>
      </w:pPr>
      <w:r>
        <w:t>What the Data Shows: The Reach</w:t>
      </w:r>
    </w:p>
    <w:p w14:paraId="3675BD9C" w14:textId="77777777" w:rsidR="001A68EE" w:rsidRDefault="001D03FD">
      <w:pPr>
        <w:spacing w:after="140" w:line="276" w:lineRule="auto"/>
      </w:pPr>
      <w:r>
        <w:rPr>
          <w:color w:val="1A1A1A"/>
        </w:rPr>
        <w:t>The following data covers Semester 1, 2026, ZAC101 Supporting People and Diversity, University of Tasmania. It is presented as emerging data from an ongoing, iterative design process.</w:t>
      </w:r>
    </w:p>
    <w:p w14:paraId="5DF7CA09" w14:textId="77777777" w:rsidR="001A68EE" w:rsidRDefault="001D03FD">
      <w:pPr>
        <w:pStyle w:val="ListParagraph"/>
        <w:numPr>
          <w:ilvl w:val="0"/>
          <w:numId w:val="2"/>
        </w:numPr>
        <w:spacing w:after="100"/>
      </w:pPr>
      <w:r>
        <w:rPr>
          <w:color w:val="1A1A1A"/>
        </w:rPr>
        <w:t>425 student conversations</w:t>
      </w:r>
    </w:p>
    <w:p w14:paraId="060E963D" w14:textId="77777777" w:rsidR="001A68EE" w:rsidRDefault="001D03FD">
      <w:pPr>
        <w:pStyle w:val="ListParagraph"/>
        <w:numPr>
          <w:ilvl w:val="0"/>
          <w:numId w:val="2"/>
        </w:numPr>
        <w:spacing w:after="100"/>
      </w:pPr>
      <w:r>
        <w:rPr>
          <w:color w:val="1A1A1A"/>
        </w:rPr>
        <w:t>1,524 student messages</w:t>
      </w:r>
    </w:p>
    <w:p w14:paraId="78A642E7" w14:textId="77777777" w:rsidR="001A68EE" w:rsidRDefault="001D03FD">
      <w:pPr>
        <w:pStyle w:val="ListParagraph"/>
        <w:numPr>
          <w:ilvl w:val="0"/>
          <w:numId w:val="2"/>
        </w:numPr>
        <w:spacing w:after="100"/>
      </w:pPr>
      <w:r>
        <w:rPr>
          <w:color w:val="1A1A1A"/>
        </w:rPr>
        <w:t>6.8 messages per conversation on average</w:t>
      </w:r>
    </w:p>
    <w:p w14:paraId="1D618038" w14:textId="77777777" w:rsidR="001A68EE" w:rsidRDefault="001D03FD">
      <w:pPr>
        <w:pStyle w:val="ListParagraph"/>
        <w:numPr>
          <w:ilvl w:val="0"/>
          <w:numId w:val="2"/>
        </w:numPr>
        <w:spacing w:after="100"/>
      </w:pPr>
      <w:r>
        <w:rPr>
          <w:color w:val="1A1A1A"/>
        </w:rPr>
        <w:t>66 messages in the longest single conversation</w:t>
      </w:r>
    </w:p>
    <w:p w14:paraId="2526ED18" w14:textId="77777777" w:rsidR="001A68EE" w:rsidRDefault="001D03FD">
      <w:pPr>
        <w:pStyle w:val="Heading1"/>
      </w:pPr>
      <w:r>
        <w:t>When Students Asked for Help</w:t>
      </w:r>
    </w:p>
    <w:p w14:paraId="61627B85" w14:textId="77777777" w:rsidR="001A68EE" w:rsidRDefault="001D03FD">
      <w:pPr>
        <w:spacing w:after="140" w:line="276" w:lineRule="auto"/>
      </w:pPr>
      <w:r>
        <w:rPr>
          <w:color w:val="1A1A1A"/>
        </w:rPr>
        <w:t xml:space="preserve">Figure 1: Bar chart showing student messages to Kendal AI by hour of day across Semester 1 2026. The busiest period is between midnight and 8am, with 2am recording the highest number of messages at 129. Activity drops sharply in the </w:t>
      </w:r>
      <w:r>
        <w:rPr>
          <w:color w:val="1A1A1A"/>
        </w:rPr>
        <w:lastRenderedPageBreak/>
        <w:t>afternoon, with 4pm recording only 4 messages. 65% of all messages were sent outside business hours, 40% between midnight and 6am.</w:t>
      </w:r>
    </w:p>
    <w:p w14:paraId="1A299A4D" w14:textId="77777777" w:rsidR="001A68EE" w:rsidRDefault="001D03FD">
      <w:pPr>
        <w:pStyle w:val="ListParagraph"/>
        <w:numPr>
          <w:ilvl w:val="0"/>
          <w:numId w:val="2"/>
        </w:numPr>
        <w:spacing w:after="100"/>
      </w:pPr>
      <w:r>
        <w:rPr>
          <w:color w:val="1A1A1A"/>
        </w:rPr>
        <w:t>65% of messages sent outside business hours (before 9am or after 5pm)</w:t>
      </w:r>
    </w:p>
    <w:p w14:paraId="49112E8D" w14:textId="77777777" w:rsidR="001A68EE" w:rsidRDefault="001D03FD">
      <w:pPr>
        <w:pStyle w:val="ListParagraph"/>
        <w:numPr>
          <w:ilvl w:val="0"/>
          <w:numId w:val="2"/>
        </w:numPr>
        <w:spacing w:after="100"/>
      </w:pPr>
      <w:r>
        <w:rPr>
          <w:color w:val="1A1A1A"/>
        </w:rPr>
        <w:t>40% sent between midnight and 6am</w:t>
      </w:r>
    </w:p>
    <w:p w14:paraId="3333A201" w14:textId="77777777" w:rsidR="001A68EE" w:rsidRDefault="001D03FD">
      <w:pPr>
        <w:pStyle w:val="ListParagraph"/>
        <w:numPr>
          <w:ilvl w:val="0"/>
          <w:numId w:val="2"/>
        </w:numPr>
        <w:spacing w:after="100"/>
      </w:pPr>
      <w:r>
        <w:rPr>
          <w:color w:val="1A1A1A"/>
        </w:rPr>
        <w:t>2am was the single busiest hour</w:t>
      </w:r>
    </w:p>
    <w:p w14:paraId="08CA3E6B" w14:textId="77777777" w:rsidR="001A68EE" w:rsidRDefault="001D03FD">
      <w:pPr>
        <w:pStyle w:val="Heading1"/>
      </w:pPr>
      <w:r>
        <w:t>This Is Not a Curiosity</w:t>
      </w:r>
    </w:p>
    <w:p w14:paraId="51C93828" w14:textId="77777777" w:rsidR="001A68EE" w:rsidRDefault="001D03FD">
      <w:pPr>
        <w:spacing w:after="140" w:line="276" w:lineRule="auto"/>
      </w:pPr>
      <w:r>
        <w:rPr>
          <w:color w:val="1A1A1A"/>
        </w:rPr>
        <w:t>This is evidence that the need exists precisely where traditional support cannot reach.</w:t>
      </w:r>
    </w:p>
    <w:p w14:paraId="2F7C3398" w14:textId="77777777" w:rsidR="001A68EE" w:rsidRDefault="001D03FD">
      <w:pPr>
        <w:spacing w:after="140" w:line="276" w:lineRule="auto"/>
      </w:pPr>
      <w:r>
        <w:rPr>
          <w:color w:val="1A1A1A"/>
        </w:rPr>
        <w:t>Wednesday nights. Sunday afternoons. 3am before a submission.</w:t>
      </w:r>
    </w:p>
    <w:p w14:paraId="4AD4189F" w14:textId="77777777" w:rsidR="001A68EE" w:rsidRDefault="001D03FD">
      <w:pPr>
        <w:spacing w:after="140" w:line="276" w:lineRule="auto"/>
      </w:pPr>
      <w:r>
        <w:rPr>
          <w:color w:val="1A1A1A"/>
        </w:rPr>
        <w:t>If we only offer support during business hours, we are not offering support to a significant proportion of our students.</w:t>
      </w:r>
    </w:p>
    <w:p w14:paraId="2982DE2D" w14:textId="77777777" w:rsidR="001A68EE" w:rsidRDefault="001D03FD">
      <w:pPr>
        <w:pStyle w:val="Heading1"/>
      </w:pPr>
      <w:r>
        <w:t>Questions Students Felt Safe to Ask</w:t>
      </w:r>
    </w:p>
    <w:p w14:paraId="1C923220" w14:textId="77777777" w:rsidR="001A68EE" w:rsidRDefault="001D03FD">
      <w:pPr>
        <w:spacing w:after="140" w:line="276" w:lineRule="auto"/>
      </w:pPr>
      <w:r>
        <w:rPr>
          <w:color w:val="1A1A1A"/>
        </w:rPr>
        <w:t>The following are direct quotes from student messages to Kendal AI. These are not questions typically sent to a unit coordinator. The agent created a space where asking felt safe.</w:t>
      </w:r>
    </w:p>
    <w:p w14:paraId="2F99BDEF" w14:textId="77777777" w:rsidR="001A68EE" w:rsidRDefault="001D03FD">
      <w:pPr>
        <w:pBdr>
          <w:left w:val="single" w:sz="6" w:space="12" w:color="B01A0D"/>
        </w:pBdr>
        <w:spacing w:before="120" w:after="120"/>
        <w:ind w:left="720"/>
      </w:pPr>
      <w:r>
        <w:rPr>
          <w:i/>
          <w:iCs/>
          <w:color w:val="1A1A1A"/>
        </w:rPr>
        <w:t>“I have only done two parts of the assignment. And my referencing is wrong. I already received an extension. Do I submit what I have?”</w:t>
      </w:r>
    </w:p>
    <w:p w14:paraId="3818382A" w14:textId="77777777" w:rsidR="001A68EE" w:rsidRDefault="001D03FD">
      <w:pPr>
        <w:pBdr>
          <w:left w:val="single" w:sz="6" w:space="12" w:color="B01A0D"/>
        </w:pBdr>
        <w:spacing w:before="120" w:after="120"/>
        <w:ind w:left="720"/>
      </w:pPr>
      <w:r>
        <w:rPr>
          <w:i/>
          <w:iCs/>
          <w:color w:val="1A1A1A"/>
        </w:rPr>
        <w:t>“How can I navigate study when I just lost my mum 2 months ago?”</w:t>
      </w:r>
    </w:p>
    <w:p w14:paraId="142F81E5" w14:textId="77777777" w:rsidR="001A68EE" w:rsidRDefault="001D03FD">
      <w:pPr>
        <w:pBdr>
          <w:left w:val="single" w:sz="6" w:space="12" w:color="B01A0D"/>
        </w:pBdr>
        <w:spacing w:before="120" w:after="120"/>
        <w:ind w:left="720"/>
      </w:pPr>
      <w:r>
        <w:rPr>
          <w:i/>
          <w:iCs/>
          <w:color w:val="1A1A1A"/>
        </w:rPr>
        <w:t>“I am straight white Christian male, will my views and reflections be frowned upon?”</w:t>
      </w:r>
    </w:p>
    <w:p w14:paraId="7D96F179" w14:textId="77777777" w:rsidR="001A68EE" w:rsidRDefault="001D03FD">
      <w:pPr>
        <w:pBdr>
          <w:left w:val="single" w:sz="6" w:space="12" w:color="B01A0D"/>
        </w:pBdr>
        <w:spacing w:before="120" w:after="120"/>
        <w:ind w:left="720"/>
      </w:pPr>
      <w:r>
        <w:rPr>
          <w:i/>
          <w:iCs/>
          <w:color w:val="1A1A1A"/>
        </w:rPr>
        <w:t>“Last year I had to leave everyone I loved and cared about due to a DV situation. I just find this super confronting.”</w:t>
      </w:r>
    </w:p>
    <w:p w14:paraId="6F854223" w14:textId="77777777" w:rsidR="001A68EE" w:rsidRDefault="001D03FD">
      <w:pPr>
        <w:pStyle w:val="Heading1"/>
      </w:pPr>
      <w:r>
        <w:t>The Affective Barrier</w:t>
      </w:r>
    </w:p>
    <w:p w14:paraId="66473698" w14:textId="77777777" w:rsidR="001A68EE" w:rsidRDefault="001D03FD">
      <w:pPr>
        <w:spacing w:after="140" w:line="276" w:lineRule="auto"/>
      </w:pPr>
      <w:r>
        <w:rPr>
          <w:color w:val="1A1A1A"/>
        </w:rPr>
        <w:t>Student survey response, March 2026:</w:t>
      </w:r>
    </w:p>
    <w:p w14:paraId="5506450D" w14:textId="77777777" w:rsidR="001A68EE" w:rsidRDefault="001D03FD">
      <w:pPr>
        <w:pBdr>
          <w:left w:val="single" w:sz="6" w:space="12" w:color="B01A0D"/>
        </w:pBdr>
        <w:spacing w:before="120" w:after="120"/>
        <w:ind w:left="720"/>
      </w:pPr>
      <w:r>
        <w:rPr>
          <w:i/>
          <w:iCs/>
          <w:color w:val="1A1A1A"/>
        </w:rPr>
        <w:t>“I know there’s no such thing as a stupid question but it’s much easier to ask for clarification from AI than to feel like I’m wasting someone’s time with a silly question.”</w:t>
      </w:r>
    </w:p>
    <w:p w14:paraId="6C93E9C6" w14:textId="77777777" w:rsidR="001A68EE" w:rsidRDefault="001D03FD">
      <w:pPr>
        <w:spacing w:after="140" w:line="276" w:lineRule="auto"/>
      </w:pPr>
      <w:r>
        <w:rPr>
          <w:color w:val="1A1A1A"/>
        </w:rPr>
        <w:t>This is the affective barrier that UDL asks us to design around.</w:t>
      </w:r>
    </w:p>
    <w:p w14:paraId="66E5BE2A" w14:textId="77777777" w:rsidR="00A56B77" w:rsidRDefault="00A56B77">
      <w:pPr>
        <w:rPr>
          <w:b/>
          <w:bCs/>
          <w:color w:val="B01A0D"/>
          <w:sz w:val="32"/>
          <w:szCs w:val="32"/>
        </w:rPr>
      </w:pPr>
      <w:r>
        <w:br w:type="page"/>
      </w:r>
    </w:p>
    <w:p w14:paraId="15C63F31" w14:textId="70221753" w:rsidR="001A68EE" w:rsidRDefault="001D03FD">
      <w:pPr>
        <w:pStyle w:val="Heading1"/>
      </w:pPr>
      <w:r>
        <w:lastRenderedPageBreak/>
        <w:t>What It Does Not Do — And Why That Matters</w:t>
      </w:r>
    </w:p>
    <w:p w14:paraId="71730055" w14:textId="77777777" w:rsidR="001A68EE" w:rsidRDefault="001D03FD">
      <w:pPr>
        <w:pStyle w:val="Heading2"/>
      </w:pPr>
      <w:r>
        <w:t>Will NOT</w:t>
      </w:r>
    </w:p>
    <w:p w14:paraId="63E0B7CC" w14:textId="77777777" w:rsidR="001A68EE" w:rsidRDefault="001D03FD">
      <w:pPr>
        <w:pStyle w:val="ListParagraph"/>
        <w:numPr>
          <w:ilvl w:val="0"/>
          <w:numId w:val="2"/>
        </w:numPr>
        <w:spacing w:after="100"/>
      </w:pPr>
      <w:r>
        <w:rPr>
          <w:color w:val="1A1A1A"/>
        </w:rPr>
        <w:t>Generate assessment content</w:t>
      </w:r>
    </w:p>
    <w:p w14:paraId="3EF7F988" w14:textId="77777777" w:rsidR="001A68EE" w:rsidRDefault="001D03FD">
      <w:pPr>
        <w:pStyle w:val="ListParagraph"/>
        <w:numPr>
          <w:ilvl w:val="0"/>
          <w:numId w:val="2"/>
        </w:numPr>
        <w:spacing w:after="100"/>
      </w:pPr>
      <w:r>
        <w:rPr>
          <w:color w:val="1A1A1A"/>
        </w:rPr>
        <w:t>Predict or hint at grades</w:t>
      </w:r>
    </w:p>
    <w:p w14:paraId="4A2CA9E0" w14:textId="77777777" w:rsidR="001A68EE" w:rsidRDefault="001D03FD">
      <w:pPr>
        <w:pStyle w:val="ListParagraph"/>
        <w:numPr>
          <w:ilvl w:val="0"/>
          <w:numId w:val="2"/>
        </w:numPr>
        <w:spacing w:after="100"/>
      </w:pPr>
      <w:r>
        <w:rPr>
          <w:color w:val="1A1A1A"/>
        </w:rPr>
        <w:t>Guess when uncertain — says so and redirects</w:t>
      </w:r>
    </w:p>
    <w:p w14:paraId="2E7DDD8D" w14:textId="77777777" w:rsidR="001A68EE" w:rsidRDefault="001D03FD">
      <w:pPr>
        <w:pStyle w:val="ListParagraph"/>
        <w:numPr>
          <w:ilvl w:val="0"/>
          <w:numId w:val="2"/>
        </w:numPr>
        <w:spacing w:after="100"/>
      </w:pPr>
      <w:r>
        <w:rPr>
          <w:color w:val="1A1A1A"/>
        </w:rPr>
        <w:t>Release future task information before it is available in MyLO</w:t>
      </w:r>
    </w:p>
    <w:p w14:paraId="2DA948A2" w14:textId="77777777" w:rsidR="001A68EE" w:rsidRDefault="001D03FD">
      <w:pPr>
        <w:pStyle w:val="ListParagraph"/>
        <w:numPr>
          <w:ilvl w:val="0"/>
          <w:numId w:val="2"/>
        </w:numPr>
        <w:spacing w:after="100"/>
      </w:pPr>
      <w:r>
        <w:rPr>
          <w:color w:val="1A1A1A"/>
        </w:rPr>
        <w:t>Capitulate when students push for examples</w:t>
      </w:r>
    </w:p>
    <w:p w14:paraId="52544398" w14:textId="77777777" w:rsidR="001A68EE" w:rsidRDefault="001D03FD">
      <w:pPr>
        <w:pStyle w:val="Heading2"/>
      </w:pPr>
      <w:r>
        <w:t>Honest Limitations</w:t>
      </w:r>
    </w:p>
    <w:p w14:paraId="05B208C5" w14:textId="77777777" w:rsidR="001A68EE" w:rsidRDefault="001D03FD">
      <w:pPr>
        <w:spacing w:after="140" w:line="276" w:lineRule="auto"/>
      </w:pPr>
      <w:r>
        <w:rPr>
          <w:color w:val="1A1A1A"/>
        </w:rPr>
        <w:t>Two students raised genuine accuracy issues in the survey:</w:t>
      </w:r>
    </w:p>
    <w:p w14:paraId="1A072C49" w14:textId="77777777" w:rsidR="001A68EE" w:rsidRDefault="001D03FD">
      <w:pPr>
        <w:pStyle w:val="ListParagraph"/>
        <w:numPr>
          <w:ilvl w:val="0"/>
          <w:numId w:val="2"/>
        </w:numPr>
        <w:spacing w:after="100"/>
      </w:pPr>
      <w:r>
        <w:rPr>
          <w:color w:val="1A1A1A"/>
        </w:rPr>
        <w:t>One instance of “overuse AND underuse” when the task instructions said “OR”</w:t>
      </w:r>
    </w:p>
    <w:p w14:paraId="203AA145" w14:textId="77777777" w:rsidR="001A68EE" w:rsidRDefault="001D03FD">
      <w:pPr>
        <w:pStyle w:val="ListParagraph"/>
        <w:numPr>
          <w:ilvl w:val="0"/>
          <w:numId w:val="2"/>
        </w:numPr>
        <w:spacing w:after="100"/>
      </w:pPr>
      <w:r>
        <w:rPr>
          <w:color w:val="1A1A1A"/>
        </w:rPr>
        <w:t>One “good catch” response when corrected, which eroded trust</w:t>
      </w:r>
    </w:p>
    <w:p w14:paraId="0449A91D" w14:textId="77777777" w:rsidR="001A68EE" w:rsidRDefault="001D03FD">
      <w:pPr>
        <w:spacing w:after="140" w:line="276" w:lineRule="auto"/>
      </w:pPr>
      <w:r>
        <w:rPr>
          <w:color w:val="1A1A1A"/>
        </w:rPr>
        <w:t>Naming them is not an apology. It is part of the argument. A design process that takes critical feedback seriously is more likely to improve.</w:t>
      </w:r>
    </w:p>
    <w:p w14:paraId="4F8FE707" w14:textId="77777777" w:rsidR="001A68EE" w:rsidRDefault="001D03FD">
      <w:pPr>
        <w:pStyle w:val="Heading1"/>
      </w:pPr>
      <w:r>
        <w:t>The Bigger Argument</w:t>
      </w:r>
    </w:p>
    <w:p w14:paraId="5E9ED427" w14:textId="77777777" w:rsidR="001A68EE" w:rsidRDefault="001D03FD">
      <w:pPr>
        <w:spacing w:after="140" w:line="276" w:lineRule="auto"/>
      </w:pPr>
      <w:r>
        <w:rPr>
          <w:color w:val="1A1A1A"/>
        </w:rPr>
        <w:t>The design decisions that made this tool useful are not technological. They are pedagogical.</w:t>
      </w:r>
    </w:p>
    <w:p w14:paraId="0E3DC97E" w14:textId="77777777" w:rsidR="001A68EE" w:rsidRDefault="001D03FD">
      <w:pPr>
        <w:pStyle w:val="ListParagraph"/>
        <w:numPr>
          <w:ilvl w:val="0"/>
          <w:numId w:val="2"/>
        </w:numPr>
        <w:spacing w:after="100"/>
      </w:pPr>
      <w:r>
        <w:rPr>
          <w:color w:val="1A1A1A"/>
        </w:rPr>
        <w:t>After-hours access: reduces structural barriers for students with work and caring responsibilities</w:t>
      </w:r>
    </w:p>
    <w:p w14:paraId="73679AC5" w14:textId="77777777" w:rsidR="001A68EE" w:rsidRDefault="001D03FD">
      <w:pPr>
        <w:pStyle w:val="ListParagraph"/>
        <w:numPr>
          <w:ilvl w:val="0"/>
          <w:numId w:val="2"/>
        </w:numPr>
        <w:spacing w:after="100"/>
      </w:pPr>
      <w:r>
        <w:rPr>
          <w:color w:val="1A1A1A"/>
        </w:rPr>
        <w:t>Low-pressure asking: reduces affective barriers for students who feel their questions are not worth teaching staff’s time</w:t>
      </w:r>
    </w:p>
    <w:p w14:paraId="68A97A04" w14:textId="77777777" w:rsidR="001A68EE" w:rsidRDefault="001D03FD">
      <w:pPr>
        <w:pStyle w:val="ListParagraph"/>
        <w:numPr>
          <w:ilvl w:val="0"/>
          <w:numId w:val="2"/>
        </w:numPr>
        <w:spacing w:after="100"/>
      </w:pPr>
      <w:r>
        <w:rPr>
          <w:color w:val="1A1A1A"/>
        </w:rPr>
        <w:t>Plain language: reduces cognitive barriers for students new to academic discourse</w:t>
      </w:r>
    </w:p>
    <w:p w14:paraId="48BACE6F" w14:textId="77777777" w:rsidR="001A68EE" w:rsidRDefault="001D03FD">
      <w:pPr>
        <w:pStyle w:val="ListParagraph"/>
        <w:numPr>
          <w:ilvl w:val="0"/>
          <w:numId w:val="2"/>
        </w:numPr>
        <w:spacing w:after="100"/>
      </w:pPr>
      <w:r>
        <w:rPr>
          <w:color w:val="1A1A1A"/>
        </w:rPr>
        <w:t>Iterative feedback: supports learning without compromising academic integrity</w:t>
      </w:r>
    </w:p>
    <w:p w14:paraId="418E5024" w14:textId="77777777" w:rsidR="001A68EE" w:rsidRDefault="001D03FD">
      <w:pPr>
        <w:pStyle w:val="ListParagraph"/>
        <w:numPr>
          <w:ilvl w:val="0"/>
          <w:numId w:val="2"/>
        </w:numPr>
        <w:spacing w:after="100"/>
      </w:pPr>
      <w:r>
        <w:rPr>
          <w:color w:val="1A1A1A"/>
        </w:rPr>
        <w:t>Honest uncertainty: models not-knowing as normal, which is itself a learning outcome</w:t>
      </w:r>
    </w:p>
    <w:p w14:paraId="0BA54A6D" w14:textId="77777777" w:rsidR="001A68EE" w:rsidRDefault="001D03FD">
      <w:pPr>
        <w:spacing w:after="140" w:line="276" w:lineRule="auto"/>
      </w:pPr>
      <w:r>
        <w:rPr>
          <w:color w:val="1A1A1A"/>
        </w:rPr>
        <w:t>Equity is not achieved by giving everyone the same tool. It is achieved by designing around the people who need it most, and being willing to change when they show you something you missed.</w:t>
      </w:r>
    </w:p>
    <w:p w14:paraId="25B730F3" w14:textId="77777777" w:rsidR="001A68EE" w:rsidRDefault="001D03FD">
      <w:pPr>
        <w:pStyle w:val="Heading1"/>
      </w:pPr>
      <w:r>
        <w:t>Close</w:t>
      </w:r>
    </w:p>
    <w:p w14:paraId="7FDD9205" w14:textId="77777777" w:rsidR="001A68EE" w:rsidRDefault="001D03FD">
      <w:pPr>
        <w:spacing w:after="140" w:line="276" w:lineRule="auto"/>
      </w:pPr>
      <w:r>
        <w:rPr>
          <w:color w:val="1A1A1A"/>
        </w:rPr>
        <w:t>If we know that 73% of the questions students most needed answered were being asked outside office hours — what does that tell us about the support systems we have been building?</w:t>
      </w:r>
    </w:p>
    <w:p w14:paraId="7237CF69" w14:textId="77777777" w:rsidR="001A68EE" w:rsidRDefault="001D03FD">
      <w:pPr>
        <w:spacing w:after="140" w:line="276" w:lineRule="auto"/>
      </w:pPr>
      <w:r>
        <w:rPr>
          <w:color w:val="1A1A1A"/>
        </w:rPr>
        <w:lastRenderedPageBreak/>
        <w:t>And if we can design something that meets students there — what else are we willing to redesign?</w:t>
      </w:r>
    </w:p>
    <w:p w14:paraId="621CEA40" w14:textId="77777777" w:rsidR="001A68EE" w:rsidRDefault="001D03FD">
      <w:pPr>
        <w:spacing w:after="140" w:line="276" w:lineRule="auto"/>
      </w:pPr>
      <w:r>
        <w:rPr>
          <w:color w:val="1A1A1A"/>
        </w:rPr>
        <w:t>Kendal Sylvester  |  kendal.sylvester@utas.edu.au</w:t>
      </w:r>
    </w:p>
    <w:p w14:paraId="40F6EE0F" w14:textId="77777777" w:rsidR="001A68EE" w:rsidRDefault="001D03FD">
      <w:pPr>
        <w:pStyle w:val="Heading1"/>
      </w:pPr>
      <w:r>
        <w:t>Questions Worth Asking</w:t>
      </w:r>
    </w:p>
    <w:p w14:paraId="5C178C71" w14:textId="77777777" w:rsidR="001A68EE" w:rsidRDefault="001D03FD">
      <w:pPr>
        <w:pStyle w:val="Heading2"/>
      </w:pPr>
      <w:r>
        <w:t>Not compulsory</w:t>
      </w:r>
    </w:p>
    <w:p w14:paraId="0E73A079" w14:textId="77777777" w:rsidR="001A68EE" w:rsidRDefault="001D03FD">
      <w:pPr>
        <w:spacing w:after="140" w:line="276" w:lineRule="auto"/>
      </w:pPr>
      <w:r>
        <w:rPr>
          <w:color w:val="1A1A1A"/>
        </w:rPr>
        <w:t>Students chose whether to use it. Offering access is not the same as mandating use.</w:t>
      </w:r>
    </w:p>
    <w:p w14:paraId="04DFF822" w14:textId="77777777" w:rsidR="001A68EE" w:rsidRDefault="001D03FD">
      <w:pPr>
        <w:pStyle w:val="Heading2"/>
      </w:pPr>
      <w:r>
        <w:t>Environmental impact</w:t>
      </w:r>
    </w:p>
    <w:p w14:paraId="1F3EF058" w14:textId="77777777" w:rsidR="001A68EE" w:rsidRDefault="001D03FD">
      <w:pPr>
        <w:spacing w:after="140" w:line="276" w:lineRule="auto"/>
      </w:pPr>
      <w:r>
        <w:rPr>
          <w:color w:val="1A1A1A"/>
        </w:rPr>
        <w:t>Generative AI has a real environmental footprint. Precise figures for this platform are not available and will not be cited without verification. The tool was purposefully scoped and bounded, not open-ended.</w:t>
      </w:r>
    </w:p>
    <w:p w14:paraId="4C971817" w14:textId="77777777" w:rsidR="001A68EE" w:rsidRDefault="001D03FD">
      <w:pPr>
        <w:pStyle w:val="Heading2"/>
      </w:pPr>
      <w:r>
        <w:t>Design sustainability</w:t>
      </w:r>
    </w:p>
    <w:p w14:paraId="5B840611" w14:textId="77777777" w:rsidR="001A68EE" w:rsidRDefault="001D03FD">
      <w:pPr>
        <w:spacing w:after="140" w:line="276" w:lineRule="auto"/>
      </w:pPr>
      <w:r>
        <w:rPr>
          <w:color w:val="1A1A1A"/>
        </w:rPr>
        <w:t>Built once, adapted each semester. Already extended to other units. Iterative by design.</w:t>
      </w:r>
    </w:p>
    <w:p w14:paraId="72E9A09A" w14:textId="77777777" w:rsidR="001A68EE" w:rsidRDefault="001D03FD">
      <w:pPr>
        <w:spacing w:after="140" w:line="276" w:lineRule="auto"/>
      </w:pPr>
      <w:r>
        <w:rPr>
          <w:color w:val="1A1A1A"/>
        </w:rPr>
        <w:t>These are not objections to dismiss. They are part of designing responsibly.</w:t>
      </w:r>
    </w:p>
    <w:p w14:paraId="62B235CB" w14:textId="77777777" w:rsidR="001A68EE" w:rsidRDefault="001D03FD">
      <w:pPr>
        <w:pStyle w:val="Heading1"/>
      </w:pPr>
      <w:r>
        <w:t>Questions and Discussion</w:t>
      </w:r>
    </w:p>
    <w:p w14:paraId="69C6A17B" w14:textId="77777777" w:rsidR="001A68EE" w:rsidRDefault="001D03FD">
      <w:pPr>
        <w:spacing w:after="140" w:line="276" w:lineRule="auto"/>
      </w:pPr>
      <w:r>
        <w:rPr>
          <w:color w:val="1A1A1A"/>
        </w:rPr>
        <w:t>Kendal Sylvester</w:t>
      </w:r>
    </w:p>
    <w:p w14:paraId="042DEBBD" w14:textId="77777777" w:rsidR="001A68EE" w:rsidRDefault="001D03FD">
      <w:pPr>
        <w:spacing w:after="140" w:line="276" w:lineRule="auto"/>
      </w:pPr>
      <w:r>
        <w:rPr>
          <w:color w:val="1A1A1A"/>
        </w:rPr>
        <w:t>Teaching Fellow and Unit Coordinator</w:t>
      </w:r>
    </w:p>
    <w:p w14:paraId="70B97565" w14:textId="77777777" w:rsidR="001A68EE" w:rsidRDefault="001D03FD">
      <w:pPr>
        <w:spacing w:after="140" w:line="276" w:lineRule="auto"/>
      </w:pPr>
      <w:r>
        <w:rPr>
          <w:color w:val="1A1A1A"/>
        </w:rPr>
        <w:t>University College, University of Tasmania</w:t>
      </w:r>
    </w:p>
    <w:p w14:paraId="15D98553" w14:textId="77777777" w:rsidR="001A68EE" w:rsidRDefault="001D03FD">
      <w:pPr>
        <w:spacing w:after="140" w:line="276" w:lineRule="auto"/>
      </w:pPr>
      <w:r>
        <w:rPr>
          <w:color w:val="1A1A1A"/>
        </w:rPr>
        <w:t>kendal.sylvester@utas.edu.au</w:t>
      </w:r>
    </w:p>
    <w:p w14:paraId="2C5B6928" w14:textId="77777777" w:rsidR="001A68EE" w:rsidRDefault="001D03FD">
      <w:pPr>
        <w:pStyle w:val="Heading1"/>
      </w:pPr>
      <w:r>
        <w:t>References</w:t>
      </w:r>
    </w:p>
    <w:p w14:paraId="49DDEE3C" w14:textId="77777777" w:rsidR="001A68EE" w:rsidRDefault="001D03FD">
      <w:pPr>
        <w:spacing w:after="120" w:line="276" w:lineRule="auto"/>
        <w:ind w:left="720" w:hanging="720"/>
      </w:pPr>
      <w:r>
        <w:rPr>
          <w:color w:val="595959"/>
          <w:sz w:val="22"/>
          <w:szCs w:val="22"/>
        </w:rPr>
        <w:t>ADCET. (2026). Inclusive teaching. Australian Disability Clearinghouse on Education and Training. https://www.adcet.edu.au/inclusive-teaching</w:t>
      </w:r>
    </w:p>
    <w:p w14:paraId="6209514E" w14:textId="77777777" w:rsidR="001A68EE" w:rsidRDefault="001D03FD">
      <w:pPr>
        <w:spacing w:after="120" w:line="276" w:lineRule="auto"/>
        <w:ind w:left="720" w:hanging="720"/>
      </w:pPr>
      <w:r>
        <w:rPr>
          <w:color w:val="595959"/>
          <w:sz w:val="22"/>
          <w:szCs w:val="22"/>
        </w:rPr>
        <w:t>ADCET. (2026). Universal Design for Learning. Australian Disability Clearinghouse on Education and Training. https://www.adcet.edu.au/inclusive-teaching/universal-design-for-learning</w:t>
      </w:r>
    </w:p>
    <w:p w14:paraId="1A81118D" w14:textId="77777777" w:rsidR="001A68EE" w:rsidRDefault="001D03FD">
      <w:pPr>
        <w:spacing w:after="120" w:line="276" w:lineRule="auto"/>
        <w:ind w:left="720" w:hanging="720"/>
      </w:pPr>
      <w:r>
        <w:rPr>
          <w:color w:val="595959"/>
          <w:sz w:val="22"/>
          <w:szCs w:val="22"/>
        </w:rPr>
        <w:t>CAST. (2018). Universal Design for Learning guidelines version 2.2. CAST. http://udlguidelines.cast.org</w:t>
      </w:r>
    </w:p>
    <w:p w14:paraId="648B1D7F" w14:textId="77777777" w:rsidR="001A68EE" w:rsidRDefault="001D03FD">
      <w:pPr>
        <w:spacing w:after="120" w:line="276" w:lineRule="auto"/>
        <w:ind w:left="720" w:hanging="720"/>
      </w:pPr>
      <w:r>
        <w:rPr>
          <w:color w:val="595959"/>
          <w:sz w:val="22"/>
          <w:szCs w:val="22"/>
        </w:rPr>
        <w:t>Meyer, A., Rose, D. H., and Gordon, D. (2014). Universal Design for Learning: Theory and practice. CAST Professional Publishing.</w:t>
      </w:r>
    </w:p>
    <w:p w14:paraId="47F771B8" w14:textId="77777777" w:rsidR="001A68EE" w:rsidRDefault="001D03FD">
      <w:pPr>
        <w:spacing w:after="120" w:line="276" w:lineRule="auto"/>
        <w:ind w:left="720" w:hanging="720"/>
      </w:pPr>
      <w:r>
        <w:rPr>
          <w:color w:val="595959"/>
          <w:sz w:val="22"/>
          <w:szCs w:val="22"/>
        </w:rPr>
        <w:lastRenderedPageBreak/>
        <w:t>Tobin, T. J., and Behling, K. T. (2018). Reach everyone, teach everyone: Universal Design for Learning in higher education. West Virginia University Press.</w:t>
      </w:r>
    </w:p>
    <w:p w14:paraId="78595752" w14:textId="77777777" w:rsidR="001A68EE" w:rsidRDefault="001D03FD">
      <w:pPr>
        <w:pBdr>
          <w:top w:val="single" w:sz="4" w:space="4" w:color="B01A0D"/>
        </w:pBdr>
        <w:spacing w:before="400" w:after="80"/>
      </w:pPr>
      <w:r>
        <w:rPr>
          <w:i/>
          <w:iCs/>
          <w:color w:val="595959"/>
          <w:sz w:val="20"/>
          <w:szCs w:val="20"/>
        </w:rPr>
        <w:t>Accessibility note: This document uses built-in heading styles, left-aligned text, and sans-serif font at minimum 11pt. All hyperlinks use descriptive text. Contact kendal.sylvester@utas.edu.au to request this document in an alternative format.</w:t>
      </w:r>
    </w:p>
    <w:sectPr w:rsidR="001A68E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5454"/>
    <w:multiLevelType w:val="hybridMultilevel"/>
    <w:tmpl w:val="A470EB7C"/>
    <w:lvl w:ilvl="0" w:tplc="A25AD470">
      <w:start w:val="1"/>
      <w:numFmt w:val="bullet"/>
      <w:lvlText w:val="•"/>
      <w:lvlJc w:val="left"/>
      <w:pPr>
        <w:ind w:left="720" w:hanging="360"/>
      </w:pPr>
    </w:lvl>
    <w:lvl w:ilvl="1" w:tplc="8624AB72">
      <w:numFmt w:val="decimal"/>
      <w:lvlText w:val=""/>
      <w:lvlJc w:val="left"/>
    </w:lvl>
    <w:lvl w:ilvl="2" w:tplc="AD1A57F4">
      <w:numFmt w:val="decimal"/>
      <w:lvlText w:val=""/>
      <w:lvlJc w:val="left"/>
    </w:lvl>
    <w:lvl w:ilvl="3" w:tplc="B5A070AE">
      <w:numFmt w:val="decimal"/>
      <w:lvlText w:val=""/>
      <w:lvlJc w:val="left"/>
    </w:lvl>
    <w:lvl w:ilvl="4" w:tplc="3B36E284">
      <w:numFmt w:val="decimal"/>
      <w:lvlText w:val=""/>
      <w:lvlJc w:val="left"/>
    </w:lvl>
    <w:lvl w:ilvl="5" w:tplc="A748F9EC">
      <w:numFmt w:val="decimal"/>
      <w:lvlText w:val=""/>
      <w:lvlJc w:val="left"/>
    </w:lvl>
    <w:lvl w:ilvl="6" w:tplc="92AA03EE">
      <w:numFmt w:val="decimal"/>
      <w:lvlText w:val=""/>
      <w:lvlJc w:val="left"/>
    </w:lvl>
    <w:lvl w:ilvl="7" w:tplc="FC608C00">
      <w:numFmt w:val="decimal"/>
      <w:lvlText w:val=""/>
      <w:lvlJc w:val="left"/>
    </w:lvl>
    <w:lvl w:ilvl="8" w:tplc="485A039E">
      <w:numFmt w:val="decimal"/>
      <w:lvlText w:val=""/>
      <w:lvlJc w:val="left"/>
    </w:lvl>
  </w:abstractNum>
  <w:abstractNum w:abstractNumId="1" w15:restartNumberingAfterBreak="0">
    <w:nsid w:val="1A6C504F"/>
    <w:multiLevelType w:val="hybridMultilevel"/>
    <w:tmpl w:val="5290CEEC"/>
    <w:lvl w:ilvl="0" w:tplc="C46883F0">
      <w:start w:val="1"/>
      <w:numFmt w:val="bullet"/>
      <w:lvlText w:val="●"/>
      <w:lvlJc w:val="left"/>
      <w:pPr>
        <w:ind w:left="720" w:hanging="360"/>
      </w:pPr>
    </w:lvl>
    <w:lvl w:ilvl="1" w:tplc="31E0BCA8">
      <w:start w:val="1"/>
      <w:numFmt w:val="bullet"/>
      <w:lvlText w:val="○"/>
      <w:lvlJc w:val="left"/>
      <w:pPr>
        <w:ind w:left="1440" w:hanging="360"/>
      </w:pPr>
    </w:lvl>
    <w:lvl w:ilvl="2" w:tplc="0918340E">
      <w:start w:val="1"/>
      <w:numFmt w:val="bullet"/>
      <w:lvlText w:val="■"/>
      <w:lvlJc w:val="left"/>
      <w:pPr>
        <w:ind w:left="2160" w:hanging="360"/>
      </w:pPr>
    </w:lvl>
    <w:lvl w:ilvl="3" w:tplc="70AE515E">
      <w:start w:val="1"/>
      <w:numFmt w:val="bullet"/>
      <w:lvlText w:val="●"/>
      <w:lvlJc w:val="left"/>
      <w:pPr>
        <w:ind w:left="2880" w:hanging="360"/>
      </w:pPr>
    </w:lvl>
    <w:lvl w:ilvl="4" w:tplc="F85EE0E2">
      <w:start w:val="1"/>
      <w:numFmt w:val="bullet"/>
      <w:lvlText w:val="○"/>
      <w:lvlJc w:val="left"/>
      <w:pPr>
        <w:ind w:left="3600" w:hanging="360"/>
      </w:pPr>
    </w:lvl>
    <w:lvl w:ilvl="5" w:tplc="F9E8F004">
      <w:start w:val="1"/>
      <w:numFmt w:val="bullet"/>
      <w:lvlText w:val="■"/>
      <w:lvlJc w:val="left"/>
      <w:pPr>
        <w:ind w:left="4320" w:hanging="360"/>
      </w:pPr>
    </w:lvl>
    <w:lvl w:ilvl="6" w:tplc="4F00277A">
      <w:start w:val="1"/>
      <w:numFmt w:val="bullet"/>
      <w:lvlText w:val="●"/>
      <w:lvlJc w:val="left"/>
      <w:pPr>
        <w:ind w:left="5040" w:hanging="360"/>
      </w:pPr>
    </w:lvl>
    <w:lvl w:ilvl="7" w:tplc="D4A6A404">
      <w:start w:val="1"/>
      <w:numFmt w:val="bullet"/>
      <w:lvlText w:val="●"/>
      <w:lvlJc w:val="left"/>
      <w:pPr>
        <w:ind w:left="5760" w:hanging="360"/>
      </w:pPr>
    </w:lvl>
    <w:lvl w:ilvl="8" w:tplc="9A08A454">
      <w:start w:val="1"/>
      <w:numFmt w:val="bullet"/>
      <w:lvlText w:val="●"/>
      <w:lvlJc w:val="left"/>
      <w:pPr>
        <w:ind w:left="6480" w:hanging="360"/>
      </w:pPr>
    </w:lvl>
  </w:abstractNum>
  <w:num w:numId="1" w16cid:durableId="265578092">
    <w:abstractNumId w:val="1"/>
    <w:lvlOverride w:ilvl="0">
      <w:startOverride w:val="1"/>
    </w:lvlOverride>
  </w:num>
  <w:num w:numId="2" w16cid:durableId="12903553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8EE"/>
    <w:rsid w:val="001A68EE"/>
    <w:rsid w:val="001D03FD"/>
    <w:rsid w:val="006C01E4"/>
    <w:rsid w:val="009C470A"/>
    <w:rsid w:val="00A56B77"/>
    <w:rsid w:val="00C03BB3"/>
    <w:rsid w:val="00DB2E8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7E2A8"/>
  <w15:docId w15:val="{7168A460-B591-4BC1-9339-E9A146272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A56B77"/>
    <w:pPr>
      <w:spacing w:before="720" w:after="120"/>
      <w:outlineLvl w:val="0"/>
    </w:pPr>
    <w:rPr>
      <w:b/>
      <w:bCs/>
      <w:color w:val="B01A0D"/>
      <w:sz w:val="32"/>
      <w:szCs w:val="32"/>
    </w:rPr>
  </w:style>
  <w:style w:type="paragraph" w:styleId="Heading2">
    <w:name w:val="heading 2"/>
    <w:uiPriority w:val="9"/>
    <w:unhideWhenUsed/>
    <w:qFormat/>
    <w:pPr>
      <w:spacing w:before="200" w:after="80"/>
      <w:outlineLvl w:val="1"/>
    </w:pPr>
    <w:rPr>
      <w:b/>
      <w:bCs/>
      <w:color w:val="1A1A1A"/>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dcet.edu.au/inclusive-teaching/universal-design-for-learnin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F75859-0C8C-4C85-8EA8-B78E7191BA7A}">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2.xml><?xml version="1.0" encoding="utf-8"?>
<ds:datastoreItem xmlns:ds="http://schemas.openxmlformats.org/officeDocument/2006/customXml" ds:itemID="{61B2C92B-5727-4745-830A-5304D19259A3}">
  <ds:schemaRefs>
    <ds:schemaRef ds:uri="http://schemas.microsoft.com/sharepoint/v3/contenttype/forms"/>
  </ds:schemaRefs>
</ds:datastoreItem>
</file>

<file path=customXml/itemProps3.xml><?xml version="1.0" encoding="utf-8"?>
<ds:datastoreItem xmlns:ds="http://schemas.openxmlformats.org/officeDocument/2006/customXml" ds:itemID="{B266D08F-4C03-43BF-8992-72555CEBF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1509</Words>
  <Characters>8453</Characters>
  <Application>Microsoft Office Word</Application>
  <DocSecurity>0</DocSecurity>
  <Lines>211</Lines>
  <Paragraphs>146</Paragraphs>
  <ScaleCrop>false</ScaleCrop>
  <Company/>
  <LinksUpToDate>false</LinksUpToDate>
  <CharactersWithSpaces>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Kylie Geard</cp:lastModifiedBy>
  <cp:revision>4</cp:revision>
  <dcterms:created xsi:type="dcterms:W3CDTF">2026-06-17T00:30:00Z</dcterms:created>
  <dcterms:modified xsi:type="dcterms:W3CDTF">2026-08-03T07:41:00Z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