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7262E0" w14:textId="77777777" w:rsidR="00E65DEE" w:rsidRDefault="00000000">
      <w:pPr>
        <w:pStyle w:val="Title"/>
      </w:pPr>
      <w:r>
        <w:t xml:space="preserve">Inclusion from the Ground Up: </w:t>
      </w:r>
      <w:r>
        <w:br/>
        <w:t>Using Equity Impact Assessment to Embed UDL in the Hume Tech School</w:t>
      </w:r>
    </w:p>
    <w:p w14:paraId="6E481D0A" w14:textId="77777777" w:rsidR="00E65DEE" w:rsidRDefault="00E65DEE"/>
    <w:p w14:paraId="5F8EF79A" w14:textId="77777777" w:rsidR="00E65DEE" w:rsidRDefault="00000000">
      <w:r>
        <w:rPr>
          <w:b/>
          <w:bCs/>
        </w:rPr>
        <w:t xml:space="preserve">Alice Bennett </w:t>
      </w:r>
      <w:r>
        <w:t>Diversity &amp; Inclusion Manager, Bendigo Kangan Institute</w:t>
      </w:r>
    </w:p>
    <w:p w14:paraId="0ABDA93D" w14:textId="77777777" w:rsidR="00E65DEE" w:rsidRDefault="00000000">
      <w:r>
        <w:rPr>
          <w:b/>
          <w:bCs/>
        </w:rPr>
        <w:t xml:space="preserve">Alex Sipidias </w:t>
      </w:r>
      <w:r>
        <w:t>Program Manager, Hume Tech School, Kangan Institute</w:t>
      </w:r>
    </w:p>
    <w:p w14:paraId="291237EB" w14:textId="77777777" w:rsidR="00E65DEE" w:rsidRDefault="00E65DEE"/>
    <w:p w14:paraId="553370BE" w14:textId="77777777" w:rsidR="00E65DEE" w:rsidRDefault="00000000">
      <w:pPr>
        <w:pStyle w:val="Heading1"/>
      </w:pPr>
      <w:r>
        <w:t>Equity Impact Assessments</w:t>
      </w:r>
    </w:p>
    <w:p w14:paraId="31790603" w14:textId="77777777" w:rsidR="00E65DEE" w:rsidRDefault="00000000">
      <w:pPr>
        <w:pStyle w:val="Subtitle"/>
      </w:pPr>
      <w:r>
        <w:t>Gender Equality Act 2020</w:t>
      </w:r>
    </w:p>
    <w:p w14:paraId="0AE86487" w14:textId="77777777" w:rsidR="00E65DEE" w:rsidRDefault="00000000">
      <w:r>
        <w:t xml:space="preserve">Niki Vincent, Commissioner for Gender Equality in the Victorian Public Sector, led the development of Victoria’s landmark Gender Equality Act 2020. As part of this legislation, all Victorian public entities are required to undertake a Gender Impact Assessment (GIA) on any new or reviewed policy, program or service that has a direct and significant impact on the public. </w:t>
      </w:r>
    </w:p>
    <w:p w14:paraId="106554CE" w14:textId="77777777" w:rsidR="00E65DEE" w:rsidRDefault="00E65DEE"/>
    <w:p w14:paraId="1A731A6F" w14:textId="77777777" w:rsidR="00E65DEE" w:rsidRDefault="00000000">
      <w:pPr>
        <w:pStyle w:val="Subtitle"/>
      </w:pPr>
      <w:r>
        <w:t xml:space="preserve">Invisible women </w:t>
      </w:r>
    </w:p>
    <w:p w14:paraId="4CC9E59F" w14:textId="77777777" w:rsidR="00E65DEE" w:rsidRDefault="00000000">
      <w:r>
        <w:t xml:space="preserve">This legislation was heavily influenced by Caroline Criado Perez’s 2019 book </w:t>
      </w:r>
      <w:r>
        <w:rPr>
          <w:i/>
          <w:iCs/>
        </w:rPr>
        <w:t xml:space="preserve">Invisible Women: Data Bias in a World Designed for Men. </w:t>
      </w:r>
      <w:r>
        <w:t xml:space="preserve">Commissioner Vincent often cites this book as the inspiration for </w:t>
      </w:r>
      <w:proofErr w:type="spellStart"/>
      <w:r>
        <w:t>GIAs</w:t>
      </w:r>
      <w:proofErr w:type="spellEnd"/>
      <w:r>
        <w:t xml:space="preserve">, highlighting the importance of applying a gender lens to policies and practices to address the otherwise invisible negative impacts on women and gender diverse people. </w:t>
      </w:r>
    </w:p>
    <w:p w14:paraId="787AE1AB" w14:textId="77777777" w:rsidR="00E65DEE" w:rsidRDefault="00E65DEE"/>
    <w:p w14:paraId="1D306651" w14:textId="77777777" w:rsidR="00E65DEE" w:rsidRDefault="00000000">
      <w:r>
        <w:t xml:space="preserve">In the book, Criado Perez discusses a case study from the City of </w:t>
      </w:r>
      <w:proofErr w:type="spellStart"/>
      <w:r>
        <w:t>Karlskoga</w:t>
      </w:r>
      <w:proofErr w:type="spellEnd"/>
      <w:r>
        <w:t xml:space="preserve">, Sweden. City planners were reviewing their snow removal procedure and initially assessed their practice of ploughing major roads and highways first as gender neutral. However, upon analysing relevant data they found that people were 3 times more likely to be injured as pedestrians than drivers, and 70% of those injured were women. By reversing the procedure and ploughing snow from footpaths first, injuries were halved and the city saved a significant amount of money due to lower rates of hospital visit. </w:t>
      </w:r>
    </w:p>
    <w:p w14:paraId="64D1FB61" w14:textId="77777777" w:rsidR="00E65DEE" w:rsidRDefault="00E65DEE"/>
    <w:p w14:paraId="66A59CCA" w14:textId="77777777" w:rsidR="00E65DEE" w:rsidRDefault="00000000">
      <w:pPr>
        <w:pStyle w:val="Subtitle"/>
      </w:pPr>
      <w:r>
        <w:t>Gender Impact Assessments</w:t>
      </w:r>
    </w:p>
    <w:p w14:paraId="7A7CE871" w14:textId="77777777" w:rsidR="00E65DEE" w:rsidRDefault="00000000">
      <w:r>
        <w:t>The Commission sets out four steps for Gender Impact Assessments:</w:t>
      </w:r>
    </w:p>
    <w:p w14:paraId="24EE28F2" w14:textId="77777777" w:rsidR="00E65DEE" w:rsidRDefault="00000000">
      <w:pPr>
        <w:ind w:left="709" w:firstLine="10"/>
      </w:pPr>
      <w:r>
        <w:rPr>
          <w:b/>
          <w:bCs/>
        </w:rPr>
        <w:t xml:space="preserve">Step 1: </w:t>
      </w:r>
      <w:r>
        <w:t xml:space="preserve">Define the issue and challenge assumptions - this is where we document our initial considerations and define our focus for the impact assessment. </w:t>
      </w:r>
    </w:p>
    <w:p w14:paraId="5FA582FC" w14:textId="77777777" w:rsidR="00E65DEE" w:rsidRDefault="00000000">
      <w:pPr>
        <w:ind w:left="709"/>
      </w:pPr>
      <w:r>
        <w:rPr>
          <w:b/>
          <w:bCs/>
        </w:rPr>
        <w:t xml:space="preserve">Step 2: </w:t>
      </w:r>
      <w:r>
        <w:t>Understand the context – collect data and dig a little deeper</w:t>
      </w:r>
    </w:p>
    <w:p w14:paraId="6B9EEACA" w14:textId="77777777" w:rsidR="00E65DEE" w:rsidRDefault="00000000">
      <w:pPr>
        <w:ind w:left="709"/>
      </w:pPr>
      <w:r>
        <w:rPr>
          <w:b/>
          <w:bCs/>
        </w:rPr>
        <w:lastRenderedPageBreak/>
        <w:t xml:space="preserve">Step 3: </w:t>
      </w:r>
      <w:r>
        <w:t>Options, analysis and development – From what we’ve learned we put forward two options to compare</w:t>
      </w:r>
    </w:p>
    <w:p w14:paraId="4AA24124" w14:textId="77777777" w:rsidR="00E65DEE" w:rsidRDefault="00000000">
      <w:pPr>
        <w:ind w:left="709"/>
      </w:pPr>
      <w:r>
        <w:rPr>
          <w:b/>
          <w:bCs/>
        </w:rPr>
        <w:t xml:space="preserve">Step 4: </w:t>
      </w:r>
      <w:r>
        <w:t>Recommendations</w:t>
      </w:r>
    </w:p>
    <w:p w14:paraId="216794BB" w14:textId="77777777" w:rsidR="00526744" w:rsidRDefault="00526744"/>
    <w:p w14:paraId="4DA9E25C" w14:textId="20B02AD3" w:rsidR="00E65DEE" w:rsidRDefault="00000000">
      <w:r>
        <w:t xml:space="preserve">Like the snow ploughing example, the GIA asks us to challenge assumptions we may have made, delve deeper by analysing any data we might have access to with a gender lens, consider alternative options, and make a recommendation. </w:t>
      </w:r>
    </w:p>
    <w:p w14:paraId="095DCCED" w14:textId="77777777" w:rsidR="00E65DEE" w:rsidRDefault="00E65DEE"/>
    <w:p w14:paraId="6E8B49FB" w14:textId="1DC19DA2" w:rsidR="00E65DEE" w:rsidRDefault="00000000">
      <w:r>
        <w:t>At Bendigo Kangan Institute, we take this approach further by considering a broader range of equity factors alongside gender when conducting impact assessments. We apply a people-</w:t>
      </w:r>
      <w:proofErr w:type="spellStart"/>
      <w:r>
        <w:t>centered</w:t>
      </w:r>
      <w:proofErr w:type="spellEnd"/>
      <w:r>
        <w:t xml:space="preserve"> lens that considers social roles and responsibilities, as well as the differing needs of women, men, and gender diverse people. We also consider how experiences may vary based on cultural background, religion and belief, sexual orientation, access requirements, and financial circumstances.</w:t>
      </w:r>
    </w:p>
    <w:p w14:paraId="64F3664C" w14:textId="77777777" w:rsidR="00526744" w:rsidRDefault="00526744"/>
    <w:p w14:paraId="70A210A0" w14:textId="77777777" w:rsidR="00E65DEE" w:rsidRDefault="00000000">
      <w:r>
        <w:t xml:space="preserve">We then apply an intersectional lens to recognize the experiences of people who may face gender inequality alongside other forms of disadvantage or discrimination. We consider the impact of location on access and outcomes for diverse cohorts, and we </w:t>
      </w:r>
      <w:proofErr w:type="gramStart"/>
      <w:r>
        <w:t>take into account</w:t>
      </w:r>
      <w:proofErr w:type="gramEnd"/>
      <w:r>
        <w:t xml:space="preserve"> lived experiences that may influence how someone engages with or benefits from a policy, program, or service. This includes factors such as housing, employment, experiences of family violence, past discrimination, education history, and trauma. </w:t>
      </w:r>
    </w:p>
    <w:p w14:paraId="1464C071" w14:textId="77777777" w:rsidR="00E65DEE" w:rsidRDefault="00E65DEE"/>
    <w:p w14:paraId="78375B55" w14:textId="77777777" w:rsidR="00E65DEE" w:rsidRDefault="00000000">
      <w:r>
        <w:t xml:space="preserve">Together, these considerations help identify the focus of the Equity Impact Assessment and inform what data we need to collect to better understand and address potential impacts. </w:t>
      </w:r>
    </w:p>
    <w:p w14:paraId="7EB7B320" w14:textId="77777777" w:rsidR="00E65DEE" w:rsidRDefault="00E65DEE"/>
    <w:p w14:paraId="685FDE84" w14:textId="77777777" w:rsidR="00E65DEE" w:rsidRDefault="00000000">
      <w:pPr>
        <w:pStyle w:val="Subtitle"/>
      </w:pPr>
      <w:r>
        <w:t>Equity Impact Assessment as an instrument for change</w:t>
      </w:r>
    </w:p>
    <w:p w14:paraId="40E84C96" w14:textId="77777777" w:rsidR="00E65DEE" w:rsidRDefault="00000000">
      <w:r>
        <w:t xml:space="preserve">We use equity impact assessments as a lever to embed equity in all major projects that have an impact on our students. We often work with teams who have competing priorities, and this can mean that access and equity are left to be retrofit after a project has been designed and approved. EIAs offer a legislative lever to embed inclusion from the start. For UDL, that means getting key stakeholders across the benefits of UDL at an early stage. </w:t>
      </w:r>
    </w:p>
    <w:p w14:paraId="2ACF0025" w14:textId="77777777" w:rsidR="00E65DEE" w:rsidRDefault="00E65DEE"/>
    <w:p w14:paraId="62454343" w14:textId="77777777" w:rsidR="00E65DEE" w:rsidRDefault="00000000">
      <w:pPr>
        <w:pStyle w:val="Heading1"/>
      </w:pPr>
      <w:r>
        <w:t>Hume Tech School Equity Impact Assessment</w:t>
      </w:r>
    </w:p>
    <w:p w14:paraId="1632478B" w14:textId="77777777" w:rsidR="00E65DEE" w:rsidRDefault="00E65DEE"/>
    <w:p w14:paraId="21EF700C" w14:textId="77777777" w:rsidR="00E65DEE" w:rsidRDefault="00000000">
      <w:r>
        <w:t>Our Equity Impact Assessment for the Hume Tech School focussed on the following questions:</w:t>
      </w:r>
    </w:p>
    <w:p w14:paraId="79AA39F2" w14:textId="77777777" w:rsidR="00E65DEE" w:rsidRDefault="00E65DEE"/>
    <w:p w14:paraId="127E04F5" w14:textId="77777777" w:rsidR="00E65DEE" w:rsidRDefault="00000000">
      <w:pPr>
        <w:numPr>
          <w:ilvl w:val="0"/>
          <w:numId w:val="3"/>
        </w:numPr>
      </w:pPr>
      <w:r>
        <w:t>How can we ensure engagement and skills in digital technologies remains equal amongst all genders? </w:t>
      </w:r>
    </w:p>
    <w:p w14:paraId="0790F137" w14:textId="77777777" w:rsidR="00E65DEE" w:rsidRDefault="00000000">
      <w:pPr>
        <w:numPr>
          <w:ilvl w:val="0"/>
          <w:numId w:val="3"/>
        </w:numPr>
      </w:pPr>
      <w:r>
        <w:t>How can we ensure authentic, diverse representation so young people can see themselves pursuing a career in STEM?</w:t>
      </w:r>
    </w:p>
    <w:p w14:paraId="5E828606" w14:textId="77777777" w:rsidR="00E65DEE" w:rsidRDefault="00000000">
      <w:pPr>
        <w:numPr>
          <w:ilvl w:val="0"/>
          <w:numId w:val="3"/>
        </w:numPr>
      </w:pPr>
      <w:r>
        <w:lastRenderedPageBreak/>
        <w:t xml:space="preserve">What barriers to equal participation do priority cohorts face in digital technologies, and how can we remove them? </w:t>
      </w:r>
    </w:p>
    <w:p w14:paraId="505C731D" w14:textId="77777777" w:rsidR="00E65DEE" w:rsidRDefault="00E65DEE"/>
    <w:p w14:paraId="05B8FEB3" w14:textId="77777777" w:rsidR="00E65DEE" w:rsidRDefault="00000000">
      <w:r>
        <w:t>Our data collection included:</w:t>
      </w:r>
    </w:p>
    <w:p w14:paraId="250FC05E" w14:textId="77777777" w:rsidR="00E65DEE" w:rsidRDefault="00000000">
      <w:pPr>
        <w:ind w:left="410"/>
        <w:rPr>
          <w:b/>
          <w:bCs/>
        </w:rPr>
      </w:pPr>
      <w:r>
        <w:rPr>
          <w:b/>
          <w:bCs/>
        </w:rPr>
        <w:t xml:space="preserve">Demographic data from City of Hume: </w:t>
      </w:r>
    </w:p>
    <w:p w14:paraId="6853977C" w14:textId="77777777" w:rsidR="00E65DEE" w:rsidRDefault="00000000">
      <w:pPr>
        <w:numPr>
          <w:ilvl w:val="0"/>
          <w:numId w:val="1"/>
        </w:numPr>
        <w:pBdr>
          <w:top w:val="nil"/>
          <w:left w:val="nil"/>
          <w:bottom w:val="nil"/>
          <w:right w:val="nil"/>
          <w:between w:val="nil"/>
        </w:pBdr>
      </w:pPr>
      <w:r>
        <w:rPr>
          <w:color w:val="000000"/>
        </w:rPr>
        <w:t>155 languages spoken, with 48.8% of residents speaking a language other than English (Hume City Council 2021a)</w:t>
      </w:r>
    </w:p>
    <w:p w14:paraId="69E758DF" w14:textId="77777777" w:rsidR="00E65DEE" w:rsidRDefault="00000000">
      <w:pPr>
        <w:numPr>
          <w:ilvl w:val="0"/>
          <w:numId w:val="1"/>
        </w:numPr>
        <w:pBdr>
          <w:top w:val="nil"/>
          <w:left w:val="nil"/>
          <w:bottom w:val="nil"/>
          <w:right w:val="nil"/>
          <w:between w:val="nil"/>
        </w:pBdr>
      </w:pPr>
      <w:r>
        <w:rPr>
          <w:color w:val="000000"/>
        </w:rPr>
        <w:t xml:space="preserve">5.7% of Greater Melbourne’s Indigenous population live in Hume City, a significant amount of whom are young people (6-24 years) (Hume City Council 2021b) </w:t>
      </w:r>
    </w:p>
    <w:p w14:paraId="6B494145" w14:textId="77777777" w:rsidR="00E65DEE" w:rsidRDefault="00000000">
      <w:pPr>
        <w:numPr>
          <w:ilvl w:val="0"/>
          <w:numId w:val="1"/>
        </w:numPr>
        <w:pBdr>
          <w:top w:val="nil"/>
          <w:left w:val="nil"/>
          <w:bottom w:val="nil"/>
          <w:right w:val="nil"/>
          <w:between w:val="nil"/>
        </w:pBdr>
      </w:pPr>
      <w:r>
        <w:rPr>
          <w:color w:val="000000"/>
        </w:rPr>
        <w:t>“Hume is home to the largest number of Victoria’s humanitarian refugees, and many Victorian First Nations peoples” (Hume City Council 2021a)</w:t>
      </w:r>
    </w:p>
    <w:p w14:paraId="7459E13C" w14:textId="77777777" w:rsidR="00E65DEE" w:rsidRDefault="00000000">
      <w:pPr>
        <w:numPr>
          <w:ilvl w:val="0"/>
          <w:numId w:val="1"/>
        </w:numPr>
        <w:pBdr>
          <w:top w:val="nil"/>
          <w:left w:val="nil"/>
          <w:bottom w:val="nil"/>
          <w:right w:val="nil"/>
          <w:between w:val="nil"/>
        </w:pBdr>
      </w:pPr>
      <w:r>
        <w:rPr>
          <w:color w:val="000000"/>
        </w:rPr>
        <w:t>Hume residents experience higher rates of family violence incidents per 100,000 than Victoria overall (Hume City Council 2021c)</w:t>
      </w:r>
    </w:p>
    <w:p w14:paraId="3722ADAA" w14:textId="77777777" w:rsidR="00E65DEE" w:rsidRDefault="00000000">
      <w:pPr>
        <w:numPr>
          <w:ilvl w:val="0"/>
          <w:numId w:val="1"/>
        </w:numPr>
        <w:pBdr>
          <w:top w:val="nil"/>
          <w:left w:val="nil"/>
          <w:bottom w:val="nil"/>
          <w:right w:val="nil"/>
          <w:between w:val="nil"/>
        </w:pBdr>
      </w:pPr>
      <w:r>
        <w:rPr>
          <w:color w:val="000000"/>
        </w:rPr>
        <w:t>Linked to economic disadvantage, one in three children in the City of Hume are developmentally vulnerable compared to one in five children in Victoria (Hume City Council 2021c)</w:t>
      </w:r>
    </w:p>
    <w:p w14:paraId="486D17C4" w14:textId="77777777" w:rsidR="00E65DEE" w:rsidRDefault="00E65DEE"/>
    <w:p w14:paraId="1C359F35" w14:textId="77777777" w:rsidR="00E65DEE" w:rsidRDefault="00000000">
      <w:pPr>
        <w:ind w:left="360"/>
      </w:pPr>
      <w:r>
        <w:rPr>
          <w:b/>
          <w:bCs/>
        </w:rPr>
        <w:t>Partner school profiles:</w:t>
      </w:r>
      <w:r>
        <w:t xml:space="preserve"> </w:t>
      </w:r>
    </w:p>
    <w:p w14:paraId="50298866" w14:textId="77777777" w:rsidR="00E65DEE" w:rsidRDefault="00000000">
      <w:pPr>
        <w:numPr>
          <w:ilvl w:val="0"/>
          <w:numId w:val="5"/>
        </w:numPr>
        <w:pBdr>
          <w:top w:val="nil"/>
          <w:left w:val="nil"/>
          <w:bottom w:val="nil"/>
          <w:right w:val="nil"/>
          <w:between w:val="nil"/>
        </w:pBdr>
      </w:pPr>
      <w:r>
        <w:rPr>
          <w:color w:val="000000"/>
        </w:rPr>
        <w:t>28 schools including 5 specialist schools and 7 religious schools</w:t>
      </w:r>
    </w:p>
    <w:p w14:paraId="64628A38" w14:textId="77777777" w:rsidR="00E65DEE" w:rsidRDefault="00000000">
      <w:pPr>
        <w:numPr>
          <w:ilvl w:val="0"/>
          <w:numId w:val="5"/>
        </w:numPr>
        <w:pBdr>
          <w:top w:val="nil"/>
          <w:left w:val="nil"/>
          <w:bottom w:val="nil"/>
          <w:right w:val="nil"/>
          <w:between w:val="nil"/>
        </w:pBdr>
        <w:spacing w:line="257" w:lineRule="auto"/>
      </w:pPr>
      <w:r>
        <w:rPr>
          <w:color w:val="000000"/>
        </w:rPr>
        <w:t xml:space="preserve">Hume schools cater to students from a range of socio-economic backgrounds, and the schools themselves operate within a range of resources and different levels of access to technology. </w:t>
      </w:r>
    </w:p>
    <w:p w14:paraId="335D6607" w14:textId="77777777" w:rsidR="00E65DEE" w:rsidRDefault="00000000">
      <w:pPr>
        <w:numPr>
          <w:ilvl w:val="0"/>
          <w:numId w:val="5"/>
        </w:numPr>
        <w:pBdr>
          <w:top w:val="nil"/>
          <w:left w:val="nil"/>
          <w:bottom w:val="nil"/>
          <w:right w:val="nil"/>
          <w:between w:val="nil"/>
        </w:pBdr>
        <w:spacing w:line="257" w:lineRule="auto"/>
      </w:pPr>
      <w:r>
        <w:rPr>
          <w:color w:val="000000"/>
        </w:rPr>
        <w:t xml:space="preserve">The partner schools include five specialist schools supporting students with intellectual disability, sensory and physical impairment, Autism Spectrum Disorder, and students who are Deaf. </w:t>
      </w:r>
    </w:p>
    <w:p w14:paraId="211FF2A9" w14:textId="77777777" w:rsidR="00E65DEE" w:rsidRDefault="00000000">
      <w:pPr>
        <w:numPr>
          <w:ilvl w:val="0"/>
          <w:numId w:val="5"/>
        </w:numPr>
        <w:pBdr>
          <w:top w:val="nil"/>
          <w:left w:val="nil"/>
          <w:bottom w:val="nil"/>
          <w:right w:val="nil"/>
          <w:between w:val="nil"/>
        </w:pBdr>
        <w:spacing w:line="257" w:lineRule="auto"/>
      </w:pPr>
      <w:r>
        <w:rPr>
          <w:color w:val="000000"/>
        </w:rPr>
        <w:t xml:space="preserve">There are 7 religious schools including Catholic, Christian, Islamic College, Coptic Orthodox College, and Anglican. </w:t>
      </w:r>
    </w:p>
    <w:p w14:paraId="61AD083F" w14:textId="77777777" w:rsidR="00E65DEE" w:rsidRDefault="00E65DEE"/>
    <w:p w14:paraId="46224455" w14:textId="77777777" w:rsidR="00E65DEE" w:rsidRDefault="00000000">
      <w:pPr>
        <w:ind w:left="720"/>
        <w:rPr>
          <w:b/>
          <w:bCs/>
        </w:rPr>
      </w:pPr>
      <w:r>
        <w:rPr>
          <w:b/>
          <w:bCs/>
        </w:rPr>
        <w:t xml:space="preserve">Review of diversity &amp; inclusion in STEM research and initiatives </w:t>
      </w:r>
    </w:p>
    <w:p w14:paraId="2BA45CDA" w14:textId="77777777" w:rsidR="00E65DEE" w:rsidRDefault="00E65DEE">
      <w:pPr>
        <w:ind w:left="720"/>
        <w:rPr>
          <w:b/>
          <w:bCs/>
        </w:rPr>
      </w:pPr>
    </w:p>
    <w:p w14:paraId="5B8AE738" w14:textId="77777777" w:rsidR="00E65DEE" w:rsidRDefault="00000000">
      <w:r>
        <w:t>Literature on STEM equity has largely focused on gender, with initiatives such as inclusive recruitment and targeted scholarships, alongside national data showing declining confidence among girls in STEM and lower participation in fields like engineering (ATSE 2024a; ATSE 2024b; Department of Industry, Science and Resources 2024). Evidence from the STEM Equity Monitor and NAPLAN indicates persistent disparities, with boys outperforming girls in numeracy and significantly greater disadvantage for First Nations students, particularly in remote areas (ACARA 2023). Emerging intersectional research demonstrates that recognising and valuing students’ cultural and identity backgrounds, and promoting a growth mindset, can strengthen engagement and support more inclusive STEM participation.</w:t>
      </w:r>
    </w:p>
    <w:p w14:paraId="7AD528E1" w14:textId="77777777" w:rsidR="00E65DEE" w:rsidRDefault="00E65DEE">
      <w:pPr>
        <w:ind w:left="720"/>
        <w:rPr>
          <w:b/>
          <w:bCs/>
        </w:rPr>
      </w:pPr>
    </w:p>
    <w:p w14:paraId="5E8E4243" w14:textId="77777777" w:rsidR="00E65DEE" w:rsidRDefault="00000000">
      <w:pPr>
        <w:ind w:left="720"/>
        <w:rPr>
          <w:b/>
          <w:bCs/>
        </w:rPr>
      </w:pPr>
      <w:r>
        <w:rPr>
          <w:b/>
          <w:bCs/>
        </w:rPr>
        <w:t>Review of tools and frameworks relevant to diversity &amp; inclusion in STEM, including UDL</w:t>
      </w:r>
    </w:p>
    <w:p w14:paraId="1290EE5E" w14:textId="77777777" w:rsidR="00E65DEE" w:rsidRDefault="00000000">
      <w:pPr>
        <w:numPr>
          <w:ilvl w:val="0"/>
          <w:numId w:val="6"/>
        </w:numPr>
        <w:pBdr>
          <w:top w:val="nil"/>
          <w:left w:val="nil"/>
          <w:bottom w:val="nil"/>
          <w:right w:val="nil"/>
          <w:between w:val="nil"/>
        </w:pBdr>
      </w:pPr>
      <w:r>
        <w:rPr>
          <w:color w:val="000000"/>
        </w:rPr>
        <w:t xml:space="preserve">Girls in STEM Toolkit (now </w:t>
      </w:r>
      <w:hyperlink r:id="rId8">
        <w:r w:rsidRPr="00526744">
          <w:rPr>
            <w:color w:val="007ABC"/>
            <w:u w:val="single"/>
          </w:rPr>
          <w:t>Get into STEM</w:t>
        </w:r>
      </w:hyperlink>
      <w:r>
        <w:rPr>
          <w:color w:val="000000"/>
        </w:rPr>
        <w:t>)</w:t>
      </w:r>
    </w:p>
    <w:p w14:paraId="5D154072" w14:textId="77777777" w:rsidR="00E65DEE" w:rsidRDefault="00000000">
      <w:pPr>
        <w:numPr>
          <w:ilvl w:val="0"/>
          <w:numId w:val="6"/>
        </w:numPr>
        <w:pBdr>
          <w:top w:val="nil"/>
          <w:left w:val="nil"/>
          <w:bottom w:val="nil"/>
          <w:right w:val="nil"/>
          <w:between w:val="nil"/>
        </w:pBdr>
      </w:pPr>
      <w:r>
        <w:rPr>
          <w:color w:val="000000"/>
        </w:rPr>
        <w:t xml:space="preserve">Deadly Science </w:t>
      </w:r>
      <w:hyperlink r:id="rId9">
        <w:r w:rsidRPr="00526744">
          <w:rPr>
            <w:color w:val="007ABC"/>
            <w:u w:val="single"/>
          </w:rPr>
          <w:t>https://deadlyscience.org.au/programs/</w:t>
        </w:r>
      </w:hyperlink>
    </w:p>
    <w:p w14:paraId="13564D61" w14:textId="77777777" w:rsidR="00E65DEE" w:rsidRDefault="00000000">
      <w:pPr>
        <w:numPr>
          <w:ilvl w:val="0"/>
          <w:numId w:val="6"/>
        </w:numPr>
        <w:pBdr>
          <w:top w:val="nil"/>
          <w:left w:val="nil"/>
          <w:bottom w:val="nil"/>
          <w:right w:val="nil"/>
          <w:between w:val="nil"/>
        </w:pBdr>
      </w:pPr>
      <w:r>
        <w:rPr>
          <w:color w:val="000000"/>
        </w:rPr>
        <w:t xml:space="preserve">8 Aboriginal Ways of Learning </w:t>
      </w:r>
      <w:hyperlink r:id="rId10">
        <w:r w:rsidRPr="00526744">
          <w:rPr>
            <w:color w:val="007ABC"/>
            <w:u w:val="single"/>
          </w:rPr>
          <w:t>https://www.8ways.online/about</w:t>
        </w:r>
      </w:hyperlink>
    </w:p>
    <w:p w14:paraId="70E32E4B" w14:textId="5E2BDCE4" w:rsidR="00526744" w:rsidRDefault="00000000">
      <w:pPr>
        <w:numPr>
          <w:ilvl w:val="0"/>
          <w:numId w:val="6"/>
        </w:numPr>
        <w:pBdr>
          <w:top w:val="nil"/>
          <w:left w:val="nil"/>
          <w:bottom w:val="nil"/>
          <w:right w:val="nil"/>
          <w:between w:val="nil"/>
        </w:pBdr>
      </w:pPr>
      <w:r>
        <w:rPr>
          <w:color w:val="000000"/>
        </w:rPr>
        <w:lastRenderedPageBreak/>
        <w:t xml:space="preserve">Universal Design for Learning </w:t>
      </w:r>
      <w:hyperlink r:id="rId11">
        <w:r w:rsidRPr="00526744">
          <w:rPr>
            <w:color w:val="007ABC"/>
            <w:u w:val="single"/>
          </w:rPr>
          <w:t>https://udlguidelines.cast.org/</w:t>
        </w:r>
      </w:hyperlink>
    </w:p>
    <w:p w14:paraId="53C6050C" w14:textId="77777777" w:rsidR="00526744" w:rsidRDefault="00526744">
      <w:r>
        <w:br w:type="page"/>
      </w:r>
    </w:p>
    <w:p w14:paraId="1FE91BF9" w14:textId="77777777" w:rsidR="00E65DEE" w:rsidRDefault="00000000">
      <w:pPr>
        <w:pStyle w:val="Heading1"/>
      </w:pPr>
      <w:r>
        <w:lastRenderedPageBreak/>
        <w:t>STEM Inclusive Program Design Checklist</w:t>
      </w:r>
    </w:p>
    <w:p w14:paraId="4CE2EA76" w14:textId="77777777" w:rsidR="00E65DEE" w:rsidRDefault="00000000">
      <w:r>
        <w:t>Use this checklist when designing Hume Tech School programs using maker technologies, design thinking, UDL 3.0 and trauma informed practice principles. Go through the 9 domains and ensure each option has been defined, considered or enacted.</w:t>
      </w:r>
    </w:p>
    <w:p w14:paraId="384983E3" w14:textId="77777777" w:rsidR="00E65DEE" w:rsidRDefault="00000000">
      <w:pPr>
        <w:numPr>
          <w:ilvl w:val="0"/>
          <w:numId w:val="2"/>
        </w:numPr>
        <w:pBdr>
          <w:top w:val="nil"/>
          <w:left w:val="nil"/>
          <w:bottom w:val="nil"/>
          <w:right w:val="nil"/>
          <w:between w:val="nil"/>
        </w:pBdr>
        <w:spacing w:line="259" w:lineRule="auto"/>
        <w:rPr>
          <w:b/>
          <w:bCs/>
          <w:color w:val="000000"/>
        </w:rPr>
      </w:pPr>
      <w:r>
        <w:rPr>
          <w:b/>
          <w:bCs/>
          <w:color w:val="000000"/>
        </w:rPr>
        <w:t>Intent and equity foundations</w:t>
      </w:r>
    </w:p>
    <w:p w14:paraId="77557F31" w14:textId="77777777" w:rsidR="00E65DEE" w:rsidRDefault="00000000">
      <w:pPr>
        <w:ind w:left="360"/>
      </w:pPr>
      <w:r>
        <w:t>Start with purpose: identify who is being excluded and design intentionally to remove barriers to participation and success.</w:t>
      </w:r>
    </w:p>
    <w:p w14:paraId="25FD71F0" w14:textId="77777777" w:rsidR="00E65DEE" w:rsidRDefault="00E65DEE">
      <w:pPr>
        <w:pBdr>
          <w:top w:val="nil"/>
          <w:left w:val="nil"/>
          <w:bottom w:val="nil"/>
          <w:right w:val="nil"/>
          <w:between w:val="nil"/>
        </w:pBdr>
        <w:ind w:left="720"/>
        <w:rPr>
          <w:b/>
          <w:bCs/>
          <w:color w:val="000000"/>
        </w:rPr>
      </w:pPr>
    </w:p>
    <w:p w14:paraId="0708D6D6" w14:textId="77777777" w:rsidR="00E65DEE" w:rsidRDefault="00000000">
      <w:pPr>
        <w:numPr>
          <w:ilvl w:val="1"/>
          <w:numId w:val="2"/>
        </w:numPr>
        <w:pBdr>
          <w:top w:val="nil"/>
          <w:left w:val="nil"/>
          <w:bottom w:val="nil"/>
          <w:right w:val="nil"/>
          <w:between w:val="nil"/>
        </w:pBdr>
        <w:spacing w:line="259" w:lineRule="auto"/>
      </w:pPr>
      <w:r>
        <w:rPr>
          <w:color w:val="000000"/>
        </w:rPr>
        <w:t>What is the equity problem this program addresses?</w:t>
      </w:r>
    </w:p>
    <w:p w14:paraId="792690A0" w14:textId="77777777" w:rsidR="00E65DEE" w:rsidRDefault="00000000">
      <w:pPr>
        <w:numPr>
          <w:ilvl w:val="1"/>
          <w:numId w:val="2"/>
        </w:numPr>
        <w:pBdr>
          <w:top w:val="nil"/>
          <w:left w:val="nil"/>
          <w:bottom w:val="nil"/>
          <w:right w:val="nil"/>
          <w:between w:val="nil"/>
        </w:pBdr>
        <w:spacing w:line="259" w:lineRule="auto"/>
      </w:pPr>
      <w:r>
        <w:rPr>
          <w:color w:val="000000"/>
        </w:rPr>
        <w:t>Which student cohorts are historically excluded in this space?</w:t>
      </w:r>
    </w:p>
    <w:p w14:paraId="578755DD" w14:textId="77777777" w:rsidR="00E65DEE" w:rsidRDefault="00000000">
      <w:pPr>
        <w:numPr>
          <w:ilvl w:val="1"/>
          <w:numId w:val="2"/>
        </w:numPr>
        <w:pBdr>
          <w:top w:val="nil"/>
          <w:left w:val="nil"/>
          <w:bottom w:val="nil"/>
          <w:right w:val="nil"/>
          <w:between w:val="nil"/>
        </w:pBdr>
        <w:spacing w:line="259" w:lineRule="auto"/>
      </w:pPr>
      <w:r>
        <w:rPr>
          <w:color w:val="000000"/>
        </w:rPr>
        <w:t>What data should be consulted before designing? (school, community, student voice)</w:t>
      </w:r>
    </w:p>
    <w:p w14:paraId="7DF5F658" w14:textId="77777777" w:rsidR="00E65DEE" w:rsidRDefault="00E65DEE">
      <w:pPr>
        <w:pBdr>
          <w:top w:val="nil"/>
          <w:left w:val="nil"/>
          <w:bottom w:val="nil"/>
          <w:right w:val="nil"/>
          <w:between w:val="nil"/>
        </w:pBdr>
        <w:ind w:left="1440"/>
        <w:rPr>
          <w:b/>
          <w:bCs/>
          <w:color w:val="000000"/>
        </w:rPr>
      </w:pPr>
    </w:p>
    <w:p w14:paraId="5FF87FDC" w14:textId="77777777" w:rsidR="00E65DEE" w:rsidRDefault="00000000">
      <w:pPr>
        <w:numPr>
          <w:ilvl w:val="0"/>
          <w:numId w:val="2"/>
        </w:numPr>
        <w:pBdr>
          <w:top w:val="nil"/>
          <w:left w:val="nil"/>
          <w:bottom w:val="nil"/>
          <w:right w:val="nil"/>
          <w:between w:val="nil"/>
        </w:pBdr>
        <w:spacing w:line="259" w:lineRule="auto"/>
        <w:rPr>
          <w:b/>
          <w:bCs/>
          <w:color w:val="000000"/>
        </w:rPr>
      </w:pPr>
      <w:r>
        <w:rPr>
          <w:b/>
          <w:bCs/>
          <w:color w:val="000000"/>
        </w:rPr>
        <w:t>Student voice and co-design</w:t>
      </w:r>
    </w:p>
    <w:p w14:paraId="5B4DF85B" w14:textId="77777777" w:rsidR="00E65DEE" w:rsidRDefault="00000000">
      <w:pPr>
        <w:ind w:left="360"/>
      </w:pPr>
      <w:r>
        <w:t>Design with students, not for them, by embedding diverse voices throughout planning, delivery and evaluation.</w:t>
      </w:r>
    </w:p>
    <w:p w14:paraId="593DA84E" w14:textId="77777777" w:rsidR="00E65DEE" w:rsidRDefault="00E65DEE">
      <w:pPr>
        <w:pBdr>
          <w:top w:val="nil"/>
          <w:left w:val="nil"/>
          <w:bottom w:val="nil"/>
          <w:right w:val="nil"/>
          <w:between w:val="nil"/>
        </w:pBdr>
        <w:ind w:left="720"/>
        <w:rPr>
          <w:color w:val="000000"/>
        </w:rPr>
      </w:pPr>
    </w:p>
    <w:p w14:paraId="2D6E8BBC" w14:textId="77777777" w:rsidR="00E65DEE" w:rsidRDefault="00000000">
      <w:pPr>
        <w:numPr>
          <w:ilvl w:val="1"/>
          <w:numId w:val="2"/>
        </w:numPr>
        <w:pBdr>
          <w:top w:val="nil"/>
          <w:left w:val="nil"/>
          <w:bottom w:val="nil"/>
          <w:right w:val="nil"/>
          <w:between w:val="nil"/>
        </w:pBdr>
        <w:spacing w:line="259" w:lineRule="auto"/>
      </w:pPr>
      <w:r>
        <w:rPr>
          <w:color w:val="000000"/>
        </w:rPr>
        <w:t>Have diverse students been included in co-design?</w:t>
      </w:r>
    </w:p>
    <w:p w14:paraId="04F36525" w14:textId="77777777" w:rsidR="00E65DEE" w:rsidRDefault="00000000">
      <w:pPr>
        <w:numPr>
          <w:ilvl w:val="1"/>
          <w:numId w:val="2"/>
        </w:numPr>
        <w:pBdr>
          <w:top w:val="nil"/>
          <w:left w:val="nil"/>
          <w:bottom w:val="nil"/>
          <w:right w:val="nil"/>
          <w:between w:val="nil"/>
        </w:pBdr>
        <w:spacing w:line="259" w:lineRule="auto"/>
      </w:pPr>
      <w:r>
        <w:rPr>
          <w:color w:val="000000"/>
        </w:rPr>
        <w:t>Are CALD, First Nations, disabled, LGBTQIA+, women, and disengaged learners represented in planning?</w:t>
      </w:r>
    </w:p>
    <w:p w14:paraId="087BF89D" w14:textId="77777777" w:rsidR="00E65DEE" w:rsidRDefault="00000000">
      <w:pPr>
        <w:numPr>
          <w:ilvl w:val="1"/>
          <w:numId w:val="2"/>
        </w:numPr>
        <w:pBdr>
          <w:top w:val="nil"/>
          <w:left w:val="nil"/>
          <w:bottom w:val="nil"/>
          <w:right w:val="nil"/>
          <w:between w:val="nil"/>
        </w:pBdr>
        <w:spacing w:line="259" w:lineRule="auto"/>
      </w:pPr>
      <w:r>
        <w:rPr>
          <w:color w:val="000000"/>
        </w:rPr>
        <w:t>Have we compensated or formally recognised student input?</w:t>
      </w:r>
    </w:p>
    <w:p w14:paraId="16FD4D0B" w14:textId="77777777" w:rsidR="00E65DEE" w:rsidRDefault="00000000">
      <w:pPr>
        <w:numPr>
          <w:ilvl w:val="1"/>
          <w:numId w:val="2"/>
        </w:numPr>
        <w:pBdr>
          <w:top w:val="nil"/>
          <w:left w:val="nil"/>
          <w:bottom w:val="nil"/>
          <w:right w:val="nil"/>
          <w:between w:val="nil"/>
        </w:pBdr>
        <w:spacing w:line="259" w:lineRule="auto"/>
      </w:pPr>
      <w:r>
        <w:rPr>
          <w:color w:val="000000"/>
        </w:rPr>
        <w:t>How will feedback loops be built in and enabled?</w:t>
      </w:r>
    </w:p>
    <w:p w14:paraId="0E8166B5" w14:textId="77777777" w:rsidR="00E65DEE" w:rsidRDefault="00E65DEE">
      <w:pPr>
        <w:pBdr>
          <w:top w:val="nil"/>
          <w:left w:val="nil"/>
          <w:bottom w:val="nil"/>
          <w:right w:val="nil"/>
          <w:between w:val="nil"/>
        </w:pBdr>
        <w:ind w:left="1440"/>
        <w:rPr>
          <w:color w:val="000000"/>
        </w:rPr>
      </w:pPr>
    </w:p>
    <w:p w14:paraId="154DDAB7" w14:textId="77777777" w:rsidR="00E65DEE" w:rsidRDefault="00000000">
      <w:pPr>
        <w:numPr>
          <w:ilvl w:val="0"/>
          <w:numId w:val="2"/>
        </w:numPr>
        <w:pBdr>
          <w:top w:val="nil"/>
          <w:left w:val="nil"/>
          <w:bottom w:val="nil"/>
          <w:right w:val="nil"/>
          <w:between w:val="nil"/>
        </w:pBdr>
        <w:spacing w:line="259" w:lineRule="auto"/>
        <w:rPr>
          <w:b/>
          <w:bCs/>
          <w:color w:val="000000"/>
        </w:rPr>
      </w:pPr>
      <w:r>
        <w:rPr>
          <w:b/>
          <w:bCs/>
          <w:color w:val="000000"/>
        </w:rPr>
        <w:t>Cultural safety and representation</w:t>
      </w:r>
    </w:p>
    <w:p w14:paraId="66CC515B" w14:textId="77777777" w:rsidR="00E65DEE" w:rsidRDefault="00000000">
      <w:pPr>
        <w:ind w:left="360"/>
      </w:pPr>
      <w:r>
        <w:t>Ensure every learner can see themselves reflected, respected and valued in the content, people and stories presented.</w:t>
      </w:r>
    </w:p>
    <w:p w14:paraId="4759F6B6" w14:textId="77777777" w:rsidR="00E65DEE" w:rsidRDefault="00E65DEE">
      <w:pPr>
        <w:pBdr>
          <w:top w:val="nil"/>
          <w:left w:val="nil"/>
          <w:bottom w:val="nil"/>
          <w:right w:val="nil"/>
          <w:between w:val="nil"/>
        </w:pBdr>
        <w:ind w:left="720"/>
        <w:rPr>
          <w:b/>
          <w:bCs/>
          <w:color w:val="000000"/>
        </w:rPr>
      </w:pPr>
    </w:p>
    <w:p w14:paraId="615A781C" w14:textId="77777777" w:rsidR="00E65DEE" w:rsidRDefault="00000000">
      <w:pPr>
        <w:numPr>
          <w:ilvl w:val="1"/>
          <w:numId w:val="2"/>
        </w:numPr>
        <w:pBdr>
          <w:top w:val="nil"/>
          <w:left w:val="nil"/>
          <w:bottom w:val="nil"/>
          <w:right w:val="nil"/>
          <w:between w:val="nil"/>
        </w:pBdr>
        <w:spacing w:line="259" w:lineRule="auto"/>
      </w:pPr>
      <w:r>
        <w:rPr>
          <w:color w:val="000000"/>
        </w:rPr>
        <w:t>Does content reflect diverse scientists, engineers and innovators?</w:t>
      </w:r>
    </w:p>
    <w:p w14:paraId="66BEBBC3" w14:textId="77777777" w:rsidR="00E65DEE" w:rsidRDefault="00000000">
      <w:pPr>
        <w:numPr>
          <w:ilvl w:val="1"/>
          <w:numId w:val="2"/>
        </w:numPr>
        <w:pBdr>
          <w:top w:val="nil"/>
          <w:left w:val="nil"/>
          <w:bottom w:val="nil"/>
          <w:right w:val="nil"/>
          <w:between w:val="nil"/>
        </w:pBdr>
        <w:spacing w:line="259" w:lineRule="auto"/>
      </w:pPr>
      <w:r>
        <w:rPr>
          <w:color w:val="000000"/>
        </w:rPr>
        <w:t>Are First Nations perspectives meaningfully embedded (not tokenistic)?</w:t>
      </w:r>
    </w:p>
    <w:p w14:paraId="3E360FC4" w14:textId="77777777" w:rsidR="00E65DEE" w:rsidRDefault="00000000">
      <w:pPr>
        <w:numPr>
          <w:ilvl w:val="1"/>
          <w:numId w:val="2"/>
        </w:numPr>
        <w:pBdr>
          <w:top w:val="nil"/>
          <w:left w:val="nil"/>
          <w:bottom w:val="nil"/>
          <w:right w:val="nil"/>
          <w:between w:val="nil"/>
        </w:pBdr>
        <w:spacing w:line="259" w:lineRule="auto"/>
      </w:pPr>
      <w:r>
        <w:rPr>
          <w:color w:val="000000"/>
        </w:rPr>
        <w:t>Are examples culturally responsive and globally inclusive?</w:t>
      </w:r>
    </w:p>
    <w:p w14:paraId="3B07A992" w14:textId="77777777" w:rsidR="00E65DEE" w:rsidRDefault="00000000">
      <w:pPr>
        <w:numPr>
          <w:ilvl w:val="1"/>
          <w:numId w:val="2"/>
        </w:numPr>
        <w:pBdr>
          <w:top w:val="nil"/>
          <w:left w:val="nil"/>
          <w:bottom w:val="nil"/>
          <w:right w:val="nil"/>
          <w:between w:val="nil"/>
        </w:pBdr>
        <w:spacing w:line="259" w:lineRule="auto"/>
      </w:pPr>
      <w:r>
        <w:rPr>
          <w:color w:val="000000"/>
        </w:rPr>
        <w:t>Are we avoiding deficit framing?</w:t>
      </w:r>
    </w:p>
    <w:p w14:paraId="300117F0" w14:textId="77777777" w:rsidR="00E65DEE" w:rsidRDefault="00E65DEE">
      <w:pPr>
        <w:pBdr>
          <w:top w:val="nil"/>
          <w:left w:val="nil"/>
          <w:bottom w:val="nil"/>
          <w:right w:val="nil"/>
          <w:between w:val="nil"/>
        </w:pBdr>
        <w:ind w:left="1440"/>
        <w:rPr>
          <w:b/>
          <w:bCs/>
          <w:color w:val="000000"/>
        </w:rPr>
      </w:pPr>
    </w:p>
    <w:p w14:paraId="35001A1F" w14:textId="77777777" w:rsidR="00E65DEE" w:rsidRDefault="00000000">
      <w:pPr>
        <w:numPr>
          <w:ilvl w:val="0"/>
          <w:numId w:val="2"/>
        </w:numPr>
        <w:pBdr>
          <w:top w:val="nil"/>
          <w:left w:val="nil"/>
          <w:bottom w:val="nil"/>
          <w:right w:val="nil"/>
          <w:between w:val="nil"/>
        </w:pBdr>
        <w:spacing w:line="259" w:lineRule="auto"/>
        <w:rPr>
          <w:b/>
          <w:bCs/>
          <w:color w:val="000000"/>
        </w:rPr>
      </w:pPr>
      <w:r>
        <w:rPr>
          <w:b/>
          <w:bCs/>
          <w:color w:val="000000"/>
        </w:rPr>
        <w:t>Accessibility and UDL 3.0 alignment</w:t>
      </w:r>
    </w:p>
    <w:p w14:paraId="5FF6D91F" w14:textId="77777777" w:rsidR="00E65DEE" w:rsidRDefault="00000000">
      <w:pPr>
        <w:ind w:left="360"/>
      </w:pPr>
      <w:r>
        <w:t>Create flexible learning experiences that provide multiple ways for students to engage, learn and demonstrate their understanding.</w:t>
      </w:r>
    </w:p>
    <w:p w14:paraId="1BF46D81" w14:textId="77777777" w:rsidR="00E65DEE" w:rsidRDefault="00E65DEE">
      <w:pPr>
        <w:ind w:left="360"/>
      </w:pPr>
    </w:p>
    <w:p w14:paraId="0B19AF47" w14:textId="77777777" w:rsidR="00E65DEE" w:rsidRDefault="00000000">
      <w:pPr>
        <w:numPr>
          <w:ilvl w:val="1"/>
          <w:numId w:val="2"/>
        </w:numPr>
        <w:pBdr>
          <w:top w:val="nil"/>
          <w:left w:val="nil"/>
          <w:bottom w:val="nil"/>
          <w:right w:val="nil"/>
          <w:between w:val="nil"/>
        </w:pBdr>
        <w:spacing w:line="259" w:lineRule="auto"/>
      </w:pPr>
      <w:r>
        <w:rPr>
          <w:color w:val="000000"/>
        </w:rPr>
        <w:t>Do learners have a choice in topics or contexts?</w:t>
      </w:r>
    </w:p>
    <w:p w14:paraId="73660038" w14:textId="77777777" w:rsidR="00E65DEE" w:rsidRDefault="00000000">
      <w:pPr>
        <w:numPr>
          <w:ilvl w:val="1"/>
          <w:numId w:val="2"/>
        </w:numPr>
        <w:pBdr>
          <w:top w:val="nil"/>
          <w:left w:val="nil"/>
          <w:bottom w:val="nil"/>
          <w:right w:val="nil"/>
          <w:between w:val="nil"/>
        </w:pBdr>
        <w:spacing w:line="259" w:lineRule="auto"/>
      </w:pPr>
      <w:r>
        <w:rPr>
          <w:color w:val="000000"/>
        </w:rPr>
        <w:t>Is there a clear purpose connected to real-world impact?</w:t>
      </w:r>
    </w:p>
    <w:p w14:paraId="2B2364D9" w14:textId="77777777" w:rsidR="00E65DEE" w:rsidRDefault="00000000">
      <w:pPr>
        <w:numPr>
          <w:ilvl w:val="1"/>
          <w:numId w:val="2"/>
        </w:numPr>
        <w:pBdr>
          <w:top w:val="nil"/>
          <w:left w:val="nil"/>
          <w:bottom w:val="nil"/>
          <w:right w:val="nil"/>
          <w:between w:val="nil"/>
        </w:pBdr>
        <w:spacing w:line="259" w:lineRule="auto"/>
      </w:pPr>
      <w:r>
        <w:rPr>
          <w:color w:val="000000"/>
        </w:rPr>
        <w:t>Flexible groupings and roles?</w:t>
      </w:r>
    </w:p>
    <w:p w14:paraId="07E0A018" w14:textId="77777777" w:rsidR="00E65DEE" w:rsidRDefault="00000000">
      <w:pPr>
        <w:numPr>
          <w:ilvl w:val="1"/>
          <w:numId w:val="2"/>
        </w:numPr>
        <w:pBdr>
          <w:top w:val="nil"/>
          <w:left w:val="nil"/>
          <w:bottom w:val="nil"/>
          <w:right w:val="nil"/>
          <w:between w:val="nil"/>
        </w:pBdr>
        <w:spacing w:line="259" w:lineRule="auto"/>
      </w:pPr>
      <w:r>
        <w:rPr>
          <w:color w:val="000000"/>
        </w:rPr>
        <w:t>Multimodal content? (visual, written, audio, hands-on?)</w:t>
      </w:r>
    </w:p>
    <w:p w14:paraId="4F6A623A" w14:textId="77777777" w:rsidR="00E65DEE" w:rsidRDefault="00000000">
      <w:pPr>
        <w:numPr>
          <w:ilvl w:val="1"/>
          <w:numId w:val="2"/>
        </w:numPr>
        <w:pBdr>
          <w:top w:val="nil"/>
          <w:left w:val="nil"/>
          <w:bottom w:val="nil"/>
          <w:right w:val="nil"/>
          <w:between w:val="nil"/>
        </w:pBdr>
        <w:spacing w:line="259" w:lineRule="auto"/>
      </w:pPr>
      <w:r>
        <w:rPr>
          <w:color w:val="000000"/>
        </w:rPr>
        <w:t>Plain language options?</w:t>
      </w:r>
    </w:p>
    <w:p w14:paraId="3F473D09" w14:textId="77777777" w:rsidR="00E65DEE" w:rsidRDefault="00000000">
      <w:pPr>
        <w:numPr>
          <w:ilvl w:val="1"/>
          <w:numId w:val="2"/>
        </w:numPr>
        <w:pBdr>
          <w:top w:val="nil"/>
          <w:left w:val="nil"/>
          <w:bottom w:val="nil"/>
          <w:right w:val="nil"/>
          <w:between w:val="nil"/>
        </w:pBdr>
        <w:spacing w:line="259" w:lineRule="auto"/>
      </w:pPr>
      <w:r>
        <w:rPr>
          <w:color w:val="000000"/>
        </w:rPr>
        <w:t>Vocabulary scaffolds for EAL learners?</w:t>
      </w:r>
    </w:p>
    <w:p w14:paraId="2AFD66AD" w14:textId="77777777" w:rsidR="00E65DEE" w:rsidRDefault="00000000">
      <w:pPr>
        <w:numPr>
          <w:ilvl w:val="1"/>
          <w:numId w:val="2"/>
        </w:numPr>
        <w:pBdr>
          <w:top w:val="nil"/>
          <w:left w:val="nil"/>
          <w:bottom w:val="nil"/>
          <w:right w:val="nil"/>
          <w:between w:val="nil"/>
        </w:pBdr>
        <w:spacing w:line="259" w:lineRule="auto"/>
      </w:pPr>
      <w:r>
        <w:rPr>
          <w:color w:val="000000"/>
        </w:rPr>
        <w:t>CC videos and transcripts?</w:t>
      </w:r>
    </w:p>
    <w:p w14:paraId="5658BD9C" w14:textId="77777777" w:rsidR="00E65DEE" w:rsidRDefault="00000000">
      <w:pPr>
        <w:numPr>
          <w:ilvl w:val="1"/>
          <w:numId w:val="2"/>
        </w:numPr>
        <w:pBdr>
          <w:top w:val="nil"/>
          <w:left w:val="nil"/>
          <w:bottom w:val="nil"/>
          <w:right w:val="nil"/>
          <w:between w:val="nil"/>
        </w:pBdr>
        <w:spacing w:line="259" w:lineRule="auto"/>
      </w:pPr>
      <w:r>
        <w:rPr>
          <w:color w:val="000000"/>
        </w:rPr>
        <w:lastRenderedPageBreak/>
        <w:t>Can students show learning in multiple formats?</w:t>
      </w:r>
    </w:p>
    <w:p w14:paraId="256EDD72" w14:textId="77777777" w:rsidR="00E65DEE" w:rsidRDefault="00E65DEE">
      <w:pPr>
        <w:pBdr>
          <w:top w:val="nil"/>
          <w:left w:val="nil"/>
          <w:bottom w:val="nil"/>
          <w:right w:val="nil"/>
          <w:between w:val="nil"/>
        </w:pBdr>
        <w:ind w:left="709"/>
        <w:rPr>
          <w:b/>
          <w:bCs/>
          <w:color w:val="000000"/>
        </w:rPr>
      </w:pPr>
    </w:p>
    <w:p w14:paraId="293214BD" w14:textId="77777777" w:rsidR="00E65DEE" w:rsidRDefault="00000000">
      <w:pPr>
        <w:numPr>
          <w:ilvl w:val="0"/>
          <w:numId w:val="2"/>
        </w:numPr>
        <w:pBdr>
          <w:top w:val="nil"/>
          <w:left w:val="nil"/>
          <w:bottom w:val="nil"/>
          <w:right w:val="nil"/>
          <w:between w:val="nil"/>
        </w:pBdr>
        <w:ind w:left="709"/>
        <w:rPr>
          <w:b/>
          <w:bCs/>
          <w:color w:val="000000"/>
        </w:rPr>
      </w:pPr>
      <w:r>
        <w:rPr>
          <w:b/>
          <w:bCs/>
          <w:color w:val="000000"/>
        </w:rPr>
        <w:t>Neurodivergent and disability-inclusive design</w:t>
      </w:r>
    </w:p>
    <w:p w14:paraId="01526497" w14:textId="77777777" w:rsidR="00E65DEE" w:rsidRDefault="00000000">
      <w:pPr>
        <w:ind w:left="349"/>
      </w:pPr>
      <w:r>
        <w:t>Design environments, routines and activities that reduce barriers and support a wide range of learning and participation needs.</w:t>
      </w:r>
    </w:p>
    <w:p w14:paraId="50E9A4BC" w14:textId="77777777" w:rsidR="00E65DEE" w:rsidRDefault="00E65DEE">
      <w:pPr>
        <w:ind w:left="360"/>
      </w:pPr>
    </w:p>
    <w:p w14:paraId="2E619CC3" w14:textId="77777777" w:rsidR="00E65DEE" w:rsidRDefault="00000000">
      <w:pPr>
        <w:numPr>
          <w:ilvl w:val="1"/>
          <w:numId w:val="2"/>
        </w:numPr>
        <w:pBdr>
          <w:top w:val="nil"/>
          <w:left w:val="nil"/>
          <w:bottom w:val="nil"/>
          <w:right w:val="nil"/>
          <w:between w:val="nil"/>
        </w:pBdr>
        <w:spacing w:line="259" w:lineRule="auto"/>
      </w:pPr>
      <w:r>
        <w:rPr>
          <w:color w:val="000000"/>
        </w:rPr>
        <w:t>Sensory considerations? (noise, lighting, smell, materials?)</w:t>
      </w:r>
    </w:p>
    <w:p w14:paraId="71C7A952" w14:textId="77777777" w:rsidR="00E65DEE" w:rsidRDefault="00000000">
      <w:pPr>
        <w:numPr>
          <w:ilvl w:val="1"/>
          <w:numId w:val="2"/>
        </w:numPr>
        <w:pBdr>
          <w:top w:val="nil"/>
          <w:left w:val="nil"/>
          <w:bottom w:val="nil"/>
          <w:right w:val="nil"/>
          <w:between w:val="nil"/>
        </w:pBdr>
        <w:spacing w:line="259" w:lineRule="auto"/>
      </w:pPr>
      <w:r>
        <w:rPr>
          <w:color w:val="000000"/>
        </w:rPr>
        <w:t>Clear learning routines and predictable structure?</w:t>
      </w:r>
    </w:p>
    <w:p w14:paraId="13B7AFBE" w14:textId="77777777" w:rsidR="00E65DEE" w:rsidRDefault="00000000">
      <w:pPr>
        <w:numPr>
          <w:ilvl w:val="1"/>
          <w:numId w:val="2"/>
        </w:numPr>
        <w:pBdr>
          <w:top w:val="nil"/>
          <w:left w:val="nil"/>
          <w:bottom w:val="nil"/>
          <w:right w:val="nil"/>
          <w:between w:val="nil"/>
        </w:pBdr>
        <w:spacing w:line="259" w:lineRule="auto"/>
      </w:pPr>
      <w:r>
        <w:rPr>
          <w:color w:val="000000"/>
        </w:rPr>
        <w:t>Explicit instructions and chunking?</w:t>
      </w:r>
    </w:p>
    <w:p w14:paraId="08DDD6BB" w14:textId="77777777" w:rsidR="00E65DEE" w:rsidRDefault="00000000">
      <w:pPr>
        <w:numPr>
          <w:ilvl w:val="1"/>
          <w:numId w:val="2"/>
        </w:numPr>
        <w:pBdr>
          <w:top w:val="nil"/>
          <w:left w:val="nil"/>
          <w:bottom w:val="nil"/>
          <w:right w:val="nil"/>
          <w:between w:val="nil"/>
        </w:pBdr>
        <w:spacing w:line="259" w:lineRule="auto"/>
      </w:pPr>
      <w:r>
        <w:rPr>
          <w:color w:val="000000"/>
        </w:rPr>
        <w:t>Processing time built in?</w:t>
      </w:r>
    </w:p>
    <w:p w14:paraId="41837B15" w14:textId="77777777" w:rsidR="00E65DEE" w:rsidRDefault="00000000">
      <w:pPr>
        <w:numPr>
          <w:ilvl w:val="1"/>
          <w:numId w:val="2"/>
        </w:numPr>
        <w:pBdr>
          <w:top w:val="nil"/>
          <w:left w:val="nil"/>
          <w:bottom w:val="nil"/>
          <w:right w:val="nil"/>
          <w:between w:val="nil"/>
        </w:pBdr>
        <w:spacing w:line="259" w:lineRule="auto"/>
      </w:pPr>
      <w:r>
        <w:rPr>
          <w:color w:val="000000"/>
        </w:rPr>
        <w:t>Alternative participation modes?</w:t>
      </w:r>
    </w:p>
    <w:p w14:paraId="6C15A27A" w14:textId="77777777" w:rsidR="00E65DEE" w:rsidRDefault="00000000">
      <w:pPr>
        <w:numPr>
          <w:ilvl w:val="1"/>
          <w:numId w:val="2"/>
        </w:numPr>
        <w:pBdr>
          <w:top w:val="nil"/>
          <w:left w:val="nil"/>
          <w:bottom w:val="nil"/>
          <w:right w:val="nil"/>
          <w:between w:val="nil"/>
        </w:pBdr>
        <w:spacing w:line="259" w:lineRule="auto"/>
      </w:pPr>
      <w:r>
        <w:rPr>
          <w:color w:val="000000"/>
        </w:rPr>
        <w:t>Physical accessibility of tools and spaces?</w:t>
      </w:r>
    </w:p>
    <w:p w14:paraId="150717F6" w14:textId="77777777" w:rsidR="00E65DEE" w:rsidRDefault="00E65DEE">
      <w:pPr>
        <w:pBdr>
          <w:top w:val="nil"/>
          <w:left w:val="nil"/>
          <w:bottom w:val="nil"/>
          <w:right w:val="nil"/>
          <w:between w:val="nil"/>
        </w:pBdr>
        <w:ind w:left="1440"/>
        <w:rPr>
          <w:color w:val="000000"/>
        </w:rPr>
      </w:pPr>
    </w:p>
    <w:p w14:paraId="4C2EF2BC" w14:textId="77777777" w:rsidR="00E65DEE" w:rsidRDefault="00000000">
      <w:pPr>
        <w:numPr>
          <w:ilvl w:val="0"/>
          <w:numId w:val="2"/>
        </w:numPr>
        <w:pBdr>
          <w:top w:val="nil"/>
          <w:left w:val="nil"/>
          <w:bottom w:val="nil"/>
          <w:right w:val="nil"/>
          <w:between w:val="nil"/>
        </w:pBdr>
        <w:spacing w:line="259" w:lineRule="auto"/>
        <w:rPr>
          <w:b/>
          <w:bCs/>
          <w:color w:val="000000"/>
        </w:rPr>
      </w:pPr>
      <w:r>
        <w:rPr>
          <w:b/>
          <w:bCs/>
          <w:color w:val="000000"/>
        </w:rPr>
        <w:t>Socioeconomic inclusion</w:t>
      </w:r>
    </w:p>
    <w:p w14:paraId="4023033E" w14:textId="77777777" w:rsidR="00E65DEE" w:rsidRDefault="00000000">
      <w:pPr>
        <w:ind w:left="360"/>
        <w:rPr>
          <w:b/>
          <w:bCs/>
        </w:rPr>
      </w:pPr>
      <w:r>
        <w:t>Remove financial, social and informational barriers so opportunities are genuinely accessible to all students.</w:t>
      </w:r>
    </w:p>
    <w:p w14:paraId="1A403F69" w14:textId="77777777" w:rsidR="00E65DEE" w:rsidRDefault="00000000">
      <w:pPr>
        <w:numPr>
          <w:ilvl w:val="1"/>
          <w:numId w:val="2"/>
        </w:numPr>
        <w:pBdr>
          <w:top w:val="nil"/>
          <w:left w:val="nil"/>
          <w:bottom w:val="nil"/>
          <w:right w:val="nil"/>
          <w:between w:val="nil"/>
        </w:pBdr>
        <w:spacing w:line="259" w:lineRule="auto"/>
      </w:pPr>
      <w:r>
        <w:rPr>
          <w:color w:val="000000"/>
        </w:rPr>
        <w:t>No hidden costs for families?</w:t>
      </w:r>
    </w:p>
    <w:p w14:paraId="2DCD697A" w14:textId="77777777" w:rsidR="00E65DEE" w:rsidRDefault="00000000">
      <w:pPr>
        <w:numPr>
          <w:ilvl w:val="1"/>
          <w:numId w:val="2"/>
        </w:numPr>
        <w:pBdr>
          <w:top w:val="nil"/>
          <w:left w:val="nil"/>
          <w:bottom w:val="nil"/>
          <w:right w:val="nil"/>
          <w:between w:val="nil"/>
        </w:pBdr>
        <w:spacing w:line="259" w:lineRule="auto"/>
      </w:pPr>
      <w:r>
        <w:rPr>
          <w:color w:val="000000"/>
        </w:rPr>
        <w:t>Are materials accessible outside school hours?</w:t>
      </w:r>
    </w:p>
    <w:p w14:paraId="3C5427FD" w14:textId="77777777" w:rsidR="00E65DEE" w:rsidRDefault="00000000">
      <w:pPr>
        <w:numPr>
          <w:ilvl w:val="1"/>
          <w:numId w:val="2"/>
        </w:numPr>
        <w:pBdr>
          <w:top w:val="nil"/>
          <w:left w:val="nil"/>
          <w:bottom w:val="nil"/>
          <w:right w:val="nil"/>
          <w:between w:val="nil"/>
        </w:pBdr>
        <w:spacing w:line="259" w:lineRule="auto"/>
      </w:pPr>
      <w:r>
        <w:rPr>
          <w:color w:val="000000"/>
        </w:rPr>
        <w:t>Pathways information provided clearly?</w:t>
      </w:r>
    </w:p>
    <w:p w14:paraId="038EF75F" w14:textId="77777777" w:rsidR="00E65DEE" w:rsidRDefault="00000000">
      <w:pPr>
        <w:numPr>
          <w:ilvl w:val="1"/>
          <w:numId w:val="2"/>
        </w:numPr>
        <w:pBdr>
          <w:top w:val="nil"/>
          <w:left w:val="nil"/>
          <w:bottom w:val="nil"/>
          <w:right w:val="nil"/>
          <w:between w:val="nil"/>
        </w:pBdr>
        <w:spacing w:line="259" w:lineRule="auto"/>
      </w:pPr>
      <w:r>
        <w:rPr>
          <w:color w:val="000000"/>
        </w:rPr>
        <w:t>Industry exposure not limited to students with networks?</w:t>
      </w:r>
    </w:p>
    <w:p w14:paraId="1EB49E8D" w14:textId="77777777" w:rsidR="00E65DEE" w:rsidRDefault="00E65DEE">
      <w:pPr>
        <w:pBdr>
          <w:top w:val="nil"/>
          <w:left w:val="nil"/>
          <w:bottom w:val="nil"/>
          <w:right w:val="nil"/>
          <w:between w:val="nil"/>
        </w:pBdr>
        <w:ind w:left="1440"/>
        <w:rPr>
          <w:color w:val="000000"/>
        </w:rPr>
      </w:pPr>
    </w:p>
    <w:p w14:paraId="1233530E" w14:textId="77777777" w:rsidR="00E65DEE" w:rsidRDefault="00000000">
      <w:pPr>
        <w:numPr>
          <w:ilvl w:val="0"/>
          <w:numId w:val="2"/>
        </w:numPr>
        <w:pBdr>
          <w:top w:val="nil"/>
          <w:left w:val="nil"/>
          <w:bottom w:val="nil"/>
          <w:right w:val="nil"/>
          <w:between w:val="nil"/>
        </w:pBdr>
        <w:spacing w:line="259" w:lineRule="auto"/>
        <w:rPr>
          <w:b/>
          <w:bCs/>
          <w:color w:val="000000"/>
        </w:rPr>
      </w:pPr>
      <w:r>
        <w:rPr>
          <w:b/>
          <w:bCs/>
          <w:color w:val="000000"/>
        </w:rPr>
        <w:t>Psychological and identity safety</w:t>
      </w:r>
    </w:p>
    <w:p w14:paraId="5605ECAB" w14:textId="77777777" w:rsidR="00E65DEE" w:rsidRDefault="00000000">
      <w:pPr>
        <w:ind w:left="360"/>
      </w:pPr>
      <w:r>
        <w:t>Foster a culture where every student feels safe, respected, included and confident to contribute.</w:t>
      </w:r>
    </w:p>
    <w:p w14:paraId="3C5538E2" w14:textId="77777777" w:rsidR="00E65DEE" w:rsidRDefault="00000000">
      <w:pPr>
        <w:numPr>
          <w:ilvl w:val="1"/>
          <w:numId w:val="2"/>
        </w:numPr>
        <w:pBdr>
          <w:top w:val="nil"/>
          <w:left w:val="nil"/>
          <w:bottom w:val="nil"/>
          <w:right w:val="nil"/>
          <w:between w:val="nil"/>
        </w:pBdr>
        <w:spacing w:line="259" w:lineRule="auto"/>
      </w:pPr>
      <w:r>
        <w:rPr>
          <w:color w:val="000000"/>
        </w:rPr>
        <w:t>Are clear norms for respectful collaboration visible and communicated to participants?</w:t>
      </w:r>
    </w:p>
    <w:p w14:paraId="2C740AFF" w14:textId="77777777" w:rsidR="00E65DEE" w:rsidRDefault="00000000">
      <w:pPr>
        <w:numPr>
          <w:ilvl w:val="1"/>
          <w:numId w:val="2"/>
        </w:numPr>
        <w:pBdr>
          <w:top w:val="nil"/>
          <w:left w:val="nil"/>
          <w:bottom w:val="nil"/>
          <w:right w:val="nil"/>
          <w:between w:val="nil"/>
        </w:pBdr>
        <w:spacing w:line="259" w:lineRule="auto"/>
      </w:pPr>
      <w:r>
        <w:rPr>
          <w:color w:val="000000"/>
        </w:rPr>
        <w:t>Explicit stance against racism, sexism, homophobia, ableism</w:t>
      </w:r>
    </w:p>
    <w:p w14:paraId="7AD6AAC1" w14:textId="77777777" w:rsidR="00E65DEE" w:rsidRDefault="00000000">
      <w:pPr>
        <w:numPr>
          <w:ilvl w:val="1"/>
          <w:numId w:val="2"/>
        </w:numPr>
        <w:pBdr>
          <w:top w:val="nil"/>
          <w:left w:val="nil"/>
          <w:bottom w:val="nil"/>
          <w:right w:val="nil"/>
          <w:between w:val="nil"/>
        </w:pBdr>
        <w:spacing w:line="259" w:lineRule="auto"/>
      </w:pPr>
      <w:r>
        <w:rPr>
          <w:color w:val="000000"/>
        </w:rPr>
        <w:t>Visible allyship signals in building?</w:t>
      </w:r>
    </w:p>
    <w:p w14:paraId="1861B151" w14:textId="77777777" w:rsidR="00E65DEE" w:rsidRDefault="00000000">
      <w:pPr>
        <w:numPr>
          <w:ilvl w:val="1"/>
          <w:numId w:val="2"/>
        </w:numPr>
        <w:pBdr>
          <w:top w:val="nil"/>
          <w:left w:val="nil"/>
          <w:bottom w:val="nil"/>
          <w:right w:val="nil"/>
          <w:between w:val="nil"/>
        </w:pBdr>
        <w:spacing w:line="259" w:lineRule="auto"/>
      </w:pPr>
      <w:r>
        <w:rPr>
          <w:color w:val="000000"/>
        </w:rPr>
        <w:t>Staff trained in inclusive language</w:t>
      </w:r>
    </w:p>
    <w:p w14:paraId="76DC25FF" w14:textId="77777777" w:rsidR="00E65DEE" w:rsidRDefault="00E65DEE">
      <w:pPr>
        <w:pBdr>
          <w:top w:val="nil"/>
          <w:left w:val="nil"/>
          <w:bottom w:val="nil"/>
          <w:right w:val="nil"/>
          <w:between w:val="nil"/>
        </w:pBdr>
        <w:ind w:left="1440"/>
        <w:rPr>
          <w:b/>
          <w:bCs/>
          <w:color w:val="000000"/>
        </w:rPr>
      </w:pPr>
    </w:p>
    <w:p w14:paraId="76AAA2F7" w14:textId="77777777" w:rsidR="00E65DEE" w:rsidRDefault="00000000">
      <w:pPr>
        <w:numPr>
          <w:ilvl w:val="0"/>
          <w:numId w:val="2"/>
        </w:numPr>
        <w:pBdr>
          <w:top w:val="nil"/>
          <w:left w:val="nil"/>
          <w:bottom w:val="nil"/>
          <w:right w:val="nil"/>
          <w:between w:val="nil"/>
        </w:pBdr>
        <w:spacing w:line="259" w:lineRule="auto"/>
        <w:rPr>
          <w:b/>
          <w:bCs/>
          <w:color w:val="000000"/>
        </w:rPr>
      </w:pPr>
      <w:r>
        <w:rPr>
          <w:b/>
          <w:bCs/>
          <w:color w:val="000000"/>
        </w:rPr>
        <w:t>Industry and community partnerships</w:t>
      </w:r>
    </w:p>
    <w:p w14:paraId="0B3ADD56" w14:textId="77777777" w:rsidR="00E65DEE" w:rsidRDefault="00000000">
      <w:pPr>
        <w:ind w:left="360"/>
      </w:pPr>
      <w:r>
        <w:t>Build authentic partnerships that broaden opportunities, share power and create meaningful benefits for students and communities.</w:t>
      </w:r>
    </w:p>
    <w:p w14:paraId="6C49EC9A" w14:textId="77777777" w:rsidR="00E65DEE" w:rsidRDefault="00000000">
      <w:pPr>
        <w:numPr>
          <w:ilvl w:val="1"/>
          <w:numId w:val="2"/>
        </w:numPr>
        <w:pBdr>
          <w:top w:val="nil"/>
          <w:left w:val="nil"/>
          <w:bottom w:val="nil"/>
          <w:right w:val="nil"/>
          <w:between w:val="nil"/>
        </w:pBdr>
        <w:spacing w:line="259" w:lineRule="auto"/>
      </w:pPr>
      <w:r>
        <w:rPr>
          <w:color w:val="000000"/>
        </w:rPr>
        <w:t>Industry partners reflect student diversity?</w:t>
      </w:r>
    </w:p>
    <w:p w14:paraId="6B06D145" w14:textId="77777777" w:rsidR="00E65DEE" w:rsidRDefault="00000000">
      <w:pPr>
        <w:numPr>
          <w:ilvl w:val="1"/>
          <w:numId w:val="2"/>
        </w:numPr>
        <w:pBdr>
          <w:top w:val="nil"/>
          <w:left w:val="nil"/>
          <w:bottom w:val="nil"/>
          <w:right w:val="nil"/>
          <w:between w:val="nil"/>
        </w:pBdr>
        <w:spacing w:line="259" w:lineRule="auto"/>
      </w:pPr>
      <w:r>
        <w:rPr>
          <w:color w:val="000000"/>
        </w:rPr>
        <w:t>Mentors are briefed on inclusive engagement</w:t>
      </w:r>
    </w:p>
    <w:p w14:paraId="7F9731AF" w14:textId="77777777" w:rsidR="00E65DEE" w:rsidRDefault="00000000">
      <w:pPr>
        <w:numPr>
          <w:ilvl w:val="1"/>
          <w:numId w:val="2"/>
        </w:numPr>
        <w:pBdr>
          <w:top w:val="nil"/>
          <w:left w:val="nil"/>
          <w:bottom w:val="nil"/>
          <w:right w:val="nil"/>
          <w:between w:val="nil"/>
        </w:pBdr>
        <w:spacing w:line="259" w:lineRule="auto"/>
      </w:pPr>
      <w:r>
        <w:rPr>
          <w:color w:val="000000"/>
        </w:rPr>
        <w:t>Power dynamics acknowledged</w:t>
      </w:r>
    </w:p>
    <w:p w14:paraId="6659FCE2" w14:textId="77777777" w:rsidR="00E65DEE" w:rsidRDefault="00000000">
      <w:pPr>
        <w:numPr>
          <w:ilvl w:val="1"/>
          <w:numId w:val="2"/>
        </w:numPr>
        <w:pBdr>
          <w:top w:val="nil"/>
          <w:left w:val="nil"/>
          <w:bottom w:val="nil"/>
          <w:right w:val="nil"/>
          <w:between w:val="nil"/>
        </w:pBdr>
        <w:spacing w:line="259" w:lineRule="auto"/>
      </w:pPr>
      <w:r>
        <w:rPr>
          <w:color w:val="000000"/>
        </w:rPr>
        <w:t>Do partnerships benefit community, not just branding opportunity?</w:t>
      </w:r>
    </w:p>
    <w:p w14:paraId="2547631D" w14:textId="77777777" w:rsidR="00E65DEE" w:rsidRDefault="00E65DEE">
      <w:pPr>
        <w:pBdr>
          <w:top w:val="nil"/>
          <w:left w:val="nil"/>
          <w:bottom w:val="nil"/>
          <w:right w:val="nil"/>
          <w:between w:val="nil"/>
        </w:pBdr>
        <w:ind w:left="1440"/>
        <w:rPr>
          <w:b/>
          <w:bCs/>
          <w:color w:val="000000"/>
        </w:rPr>
      </w:pPr>
    </w:p>
    <w:p w14:paraId="3EB2106C" w14:textId="77777777" w:rsidR="00E65DEE" w:rsidRDefault="00000000">
      <w:pPr>
        <w:numPr>
          <w:ilvl w:val="0"/>
          <w:numId w:val="2"/>
        </w:numPr>
        <w:pBdr>
          <w:top w:val="nil"/>
          <w:left w:val="nil"/>
          <w:bottom w:val="nil"/>
          <w:right w:val="nil"/>
          <w:between w:val="nil"/>
        </w:pBdr>
        <w:spacing w:line="259" w:lineRule="auto"/>
        <w:rPr>
          <w:b/>
          <w:bCs/>
          <w:color w:val="000000"/>
        </w:rPr>
      </w:pPr>
      <w:r>
        <w:rPr>
          <w:b/>
          <w:bCs/>
          <w:color w:val="000000"/>
        </w:rPr>
        <w:t>STRESS test Questions</w:t>
      </w:r>
    </w:p>
    <w:p w14:paraId="502CE49D" w14:textId="77777777" w:rsidR="00E65DEE" w:rsidRDefault="00000000">
      <w:pPr>
        <w:ind w:left="360"/>
        <w:rPr>
          <w:b/>
          <w:bCs/>
        </w:rPr>
      </w:pPr>
      <w:r>
        <w:t>Pressure-test the experience through the eyes of those most likely to feel excluded, uncertain or overlooked.</w:t>
      </w:r>
    </w:p>
    <w:p w14:paraId="654B2BA8" w14:textId="77777777" w:rsidR="00E65DEE" w:rsidRDefault="00000000">
      <w:pPr>
        <w:numPr>
          <w:ilvl w:val="0"/>
          <w:numId w:val="4"/>
        </w:numPr>
        <w:pBdr>
          <w:top w:val="nil"/>
          <w:left w:val="nil"/>
          <w:bottom w:val="nil"/>
          <w:right w:val="nil"/>
          <w:between w:val="nil"/>
        </w:pBdr>
        <w:spacing w:before="240" w:line="259" w:lineRule="auto"/>
      </w:pPr>
      <w:r>
        <w:rPr>
          <w:color w:val="000000"/>
        </w:rPr>
        <w:t>If the most anxious student walked in, would they feel capable?</w:t>
      </w:r>
    </w:p>
    <w:p w14:paraId="0FD6B6F5" w14:textId="77777777" w:rsidR="00E65DEE" w:rsidRDefault="00000000">
      <w:pPr>
        <w:numPr>
          <w:ilvl w:val="0"/>
          <w:numId w:val="4"/>
        </w:numPr>
        <w:pBdr>
          <w:top w:val="nil"/>
          <w:left w:val="nil"/>
          <w:bottom w:val="nil"/>
          <w:right w:val="nil"/>
          <w:between w:val="nil"/>
        </w:pBdr>
        <w:spacing w:line="259" w:lineRule="auto"/>
      </w:pPr>
      <w:r>
        <w:rPr>
          <w:color w:val="000000"/>
        </w:rPr>
        <w:t>If the quietest student contributed, would their idea be valued?</w:t>
      </w:r>
    </w:p>
    <w:p w14:paraId="3B359033" w14:textId="77777777" w:rsidR="00E65DEE" w:rsidRDefault="00000000">
      <w:pPr>
        <w:numPr>
          <w:ilvl w:val="0"/>
          <w:numId w:val="4"/>
        </w:numPr>
        <w:pBdr>
          <w:top w:val="nil"/>
          <w:left w:val="nil"/>
          <w:bottom w:val="nil"/>
          <w:right w:val="nil"/>
          <w:between w:val="nil"/>
        </w:pBdr>
        <w:spacing w:after="160" w:line="259" w:lineRule="auto"/>
      </w:pPr>
      <w:r>
        <w:rPr>
          <w:color w:val="000000"/>
        </w:rPr>
        <w:lastRenderedPageBreak/>
        <w:t>If a family unfamiliar with STEM read the program outline, would it feel welcoming?</w:t>
      </w:r>
    </w:p>
    <w:p w14:paraId="10E9BB0A" w14:textId="77777777" w:rsidR="00E65DEE" w:rsidRDefault="00E65DEE"/>
    <w:p w14:paraId="71B91F2F" w14:textId="77777777" w:rsidR="00E65DEE" w:rsidRDefault="00000000">
      <w:pPr>
        <w:pStyle w:val="Heading1"/>
      </w:pPr>
      <w:proofErr w:type="spellStart"/>
      <w:r>
        <w:t>Sustainathon</w:t>
      </w:r>
      <w:proofErr w:type="spellEnd"/>
      <w:r>
        <w:t xml:space="preserve"> Program - a case study</w:t>
      </w:r>
    </w:p>
    <w:p w14:paraId="65EE42E3" w14:textId="77777777" w:rsidR="00E65DEE" w:rsidRDefault="00000000">
      <w:hyperlink r:id="rId12">
        <w:r w:rsidRPr="00526744">
          <w:rPr>
            <w:color w:val="007ABC"/>
            <w:u w:val="single"/>
          </w:rPr>
          <w:t>https://www.youtube.com/watch?v=mgD9OffCCk4</w:t>
        </w:r>
      </w:hyperlink>
      <w:r>
        <w:t xml:space="preserve"> </w:t>
      </w:r>
    </w:p>
    <w:p w14:paraId="0088DF34" w14:textId="77777777" w:rsidR="00E65DEE" w:rsidRDefault="00E65DEE"/>
    <w:p w14:paraId="1DE76E1D" w14:textId="77777777" w:rsidR="00E65DEE" w:rsidRDefault="00000000">
      <w:r>
        <w:t xml:space="preserve">Inclusive design recommendations for </w:t>
      </w:r>
      <w:proofErr w:type="spellStart"/>
      <w:r>
        <w:t>Sustainathon</w:t>
      </w:r>
      <w:proofErr w:type="spellEnd"/>
      <w:r>
        <w:t xml:space="preserve"> 2026:</w:t>
      </w:r>
    </w:p>
    <w:p w14:paraId="5278060F" w14:textId="77777777" w:rsidR="00E65DEE" w:rsidRDefault="00000000">
      <w:pPr>
        <w:numPr>
          <w:ilvl w:val="0"/>
          <w:numId w:val="7"/>
        </w:numPr>
      </w:pPr>
      <w:r>
        <w:t>Less emphasis on the pitch back to industry as a measure of success</w:t>
      </w:r>
    </w:p>
    <w:p w14:paraId="618D4347" w14:textId="77777777" w:rsidR="00E65DEE" w:rsidRDefault="00000000">
      <w:pPr>
        <w:numPr>
          <w:ilvl w:val="0"/>
          <w:numId w:val="7"/>
        </w:numPr>
      </w:pPr>
      <w:r>
        <w:t>Sustainability ‘info pack to be given to schools and students before attending the event - don’t assume knowledge of sustainability principles and circular economy</w:t>
      </w:r>
    </w:p>
    <w:p w14:paraId="035AEA71" w14:textId="77777777" w:rsidR="00E65DEE" w:rsidRDefault="00000000">
      <w:pPr>
        <w:numPr>
          <w:ilvl w:val="0"/>
          <w:numId w:val="7"/>
        </w:numPr>
      </w:pPr>
      <w:r>
        <w:t>Provide a ‘what to expect’ student information summary as this format was very different to any excursion prior, can alleviate anxiety and support Autistic students with disruption to routine.</w:t>
      </w:r>
    </w:p>
    <w:p w14:paraId="51E096E4" w14:textId="77777777" w:rsidR="00E65DEE" w:rsidRDefault="00E65DEE"/>
    <w:p w14:paraId="30097841" w14:textId="77777777" w:rsidR="00E65DEE" w:rsidRDefault="00000000">
      <w:pPr>
        <w:pStyle w:val="Heading1"/>
      </w:pPr>
      <w:r>
        <w:t>AI Prompt Script</w:t>
      </w:r>
    </w:p>
    <w:p w14:paraId="76571DC4" w14:textId="77777777" w:rsidR="00E65DEE" w:rsidRDefault="00000000">
      <w:r>
        <w:t>Paste this into any GenAI model to have it work as your inclusive design buddy.</w:t>
      </w:r>
    </w:p>
    <w:p w14:paraId="071DE556" w14:textId="77777777" w:rsidR="00E65DEE" w:rsidRDefault="00E65DEE"/>
    <w:p w14:paraId="20F3D4E8" w14:textId="77777777" w:rsidR="00E65DEE" w:rsidRDefault="00000000">
      <w:r>
        <w:t>SYSTEM / AGENT INSTRUCTIONS</w:t>
      </w:r>
    </w:p>
    <w:p w14:paraId="453B98C1" w14:textId="77777777" w:rsidR="00E65DEE" w:rsidRDefault="00000000">
      <w:pPr>
        <w:spacing w:line="257" w:lineRule="auto"/>
      </w:pPr>
      <w:r>
        <w:rPr>
          <w:b/>
          <w:bCs/>
        </w:rPr>
        <w:t>Inclusive Design Buddy v2.0</w:t>
      </w:r>
      <w:r>
        <w:br/>
        <w:t>Universal AI Prompt for Equitable Learning Design</w:t>
      </w:r>
      <w:r>
        <w:br/>
      </w:r>
      <w:r>
        <w:rPr>
          <w:b/>
          <w:bCs/>
        </w:rPr>
        <w:t>Role</w:t>
      </w:r>
      <w:r>
        <w:br/>
        <w:t>You are my Inclusive Design Buddy.</w:t>
      </w:r>
      <w:r>
        <w:br/>
        <w:t>You are an experienced educator, instructional designer, inclusion coach, critical friend, and creative thinking partner. Help me design learning experiences, programs, assessments, environments, and systems where every learner can participate, contribute, belong, and succeed.</w:t>
      </w:r>
      <w:r>
        <w:br/>
        <w:t>Do more than generate ideas: improve them. Challenge assumptions respectfully, surface hidden barriers, build on strengths, and help create learning that is equitable, engaging, and sustainable.</w:t>
      </w:r>
      <w:r>
        <w:br/>
        <w:t>Assume learner diversity is the norm.</w:t>
      </w:r>
      <w:r>
        <w:br/>
      </w:r>
      <w:r>
        <w:br/>
      </w:r>
      <w:r>
        <w:rPr>
          <w:b/>
          <w:bCs/>
        </w:rPr>
        <w:t>Core Philosophy</w:t>
      </w:r>
      <w:r>
        <w:br/>
        <w:t>Design for variability, not the average learner.</w:t>
      </w:r>
      <w:r>
        <w:br/>
        <w:t>Every learner brings valuable experiences, knowledge, culture, interests, and strengths.</w:t>
      </w:r>
      <w:r>
        <w:br/>
        <w:t>Inclusive design benefits everyone, not only learners who face barriers.</w:t>
      </w:r>
      <w:r>
        <w:br/>
        <w:t>When several valid options exist, recommend the one that best supports belonging, accessibility, learner agency, and authentic learning.</w:t>
      </w:r>
      <w:r>
        <w:br/>
      </w:r>
      <w:r>
        <w:br/>
      </w:r>
      <w:r>
        <w:rPr>
          <w:b/>
          <w:bCs/>
        </w:rPr>
        <w:t>Guiding Frameworks</w:t>
      </w:r>
      <w:r>
        <w:br/>
        <w:t>Integrate the principles of:</w:t>
      </w:r>
      <w:r>
        <w:br/>
      </w:r>
      <w:r>
        <w:lastRenderedPageBreak/>
        <w:t>Universal Design for Learning (UDL 3.0)</w:t>
      </w:r>
      <w:r>
        <w:br/>
        <w:t>Eight Aboriginal Ways of Learning</w:t>
      </w:r>
      <w:r>
        <w:br/>
        <w:t>Get into STEM Diversity in STEM Toolkit</w:t>
      </w:r>
      <w:r>
        <w:br/>
        <w:t>Design Thinking</w:t>
      </w:r>
      <w:r>
        <w:br/>
        <w:t>Project-Based Learning</w:t>
      </w:r>
      <w:r>
        <w:br/>
        <w:t>Culturally Responsive Pedagogy</w:t>
      </w:r>
      <w:r>
        <w:br/>
        <w:t>Positive Positioning Theory</w:t>
      </w:r>
      <w:r>
        <w:br/>
        <w:t>Trauma-Informed Practice</w:t>
      </w:r>
      <w:r>
        <w:br/>
      </w:r>
      <w:r>
        <w:br/>
        <w:t>Blend these naturally rather than treating them as separate checklists.</w:t>
      </w:r>
      <w:r>
        <w:br/>
      </w:r>
      <w:r>
        <w:br/>
      </w:r>
      <w:r>
        <w:rPr>
          <w:b/>
          <w:bCs/>
        </w:rPr>
        <w:t>How You Think</w:t>
      </w:r>
      <w:r>
        <w:br/>
        <w:t>Before responding, silently consider:</w:t>
      </w:r>
      <w:r>
        <w:br/>
        <w:t>Inclusion</w:t>
      </w:r>
      <w:r>
        <w:br/>
        <w:t>Who could be unintentionally excluded, underrepresented, or unable to access this? Whose knowledge and perspectives are centred or missing?</w:t>
      </w:r>
      <w:r>
        <w:br/>
        <w:t>Accessibility</w:t>
      </w:r>
      <w:r>
        <w:br/>
        <w:t>Can learners participate regardless of disability, neurodiversity, literacy, language, technology access, confidence, executive functioning, sensory needs, or socioeconomic background? Design proactively, not through later accommodations.</w:t>
      </w:r>
      <w:r>
        <w:br/>
        <w:t>Agency</w:t>
      </w:r>
      <w:r>
        <w:br/>
        <w:t>Where can learners make meaningful choices about questions, topics, tools, partners, pace, process, products, and audience? Avoid unnecessary restrictions.</w:t>
      </w:r>
      <w:r>
        <w:br/>
        <w:t>Authenticity</w:t>
      </w:r>
      <w:r>
        <w:br/>
        <w:t>Is the learning meaningful, connected to real problems, community, industry, culture, Country, student interests, or future careers?</w:t>
      </w:r>
      <w:r>
        <w:br/>
        <w:t>Cultural Responsiveness</w:t>
      </w:r>
      <w:r>
        <w:br/>
        <w:t>Does this respectfully recognise diverse ways of knowing? Could Aboriginal and Torres Strait Islander perspectives or local community knowledge strengthen it? Avoid tokenism, never invent cultural knowledge, and consult local communities when appropriate.</w:t>
      </w:r>
      <w:r>
        <w:br/>
        <w:t>Equity</w:t>
      </w:r>
      <w:r>
        <w:br/>
        <w:t>Who benefits most and least? What assumptions or invisible barriers remain? How can participation become easier without lowering challenge?</w:t>
      </w:r>
      <w:r>
        <w:br/>
      </w:r>
      <w:r>
        <w:br/>
      </w:r>
      <w:r>
        <w:rPr>
          <w:b/>
          <w:bCs/>
        </w:rPr>
        <w:t>Design Principles</w:t>
      </w:r>
      <w:r>
        <w:br/>
        <w:t>Whenever possible, create learning that is:</w:t>
      </w:r>
      <w:r>
        <w:br/>
        <w:t>Accessible, Flexible, Collaborative, Authentic, Creative, Curiosity-driven, Reflective, Strengths-based, Community connected, Future focused, Ethically responsible, Environmentally sustainable, Industry informed</w:t>
      </w:r>
      <w:r>
        <w:br/>
      </w:r>
      <w:r>
        <w:br/>
      </w:r>
      <w:r>
        <w:rPr>
          <w:b/>
          <w:bCs/>
        </w:rPr>
        <w:t>UDL Expectations</w:t>
      </w:r>
      <w:r>
        <w:br/>
        <w:t>Where appropriate, provide multiple ways to:</w:t>
      </w:r>
      <w:r>
        <w:br/>
      </w:r>
      <w:r>
        <w:rPr>
          <w:i/>
          <w:iCs/>
        </w:rPr>
        <w:t xml:space="preserve">Engage </w:t>
      </w:r>
    </w:p>
    <w:p w14:paraId="1A60011A" w14:textId="77777777" w:rsidR="00E65DEE" w:rsidRDefault="00000000">
      <w:pPr>
        <w:spacing w:line="257" w:lineRule="auto"/>
      </w:pPr>
      <w:r>
        <w:lastRenderedPageBreak/>
        <w:t>Offer choice, relevance, curiosity, challenge, collaboration, and autonomy.</w:t>
      </w:r>
      <w:r>
        <w:br/>
      </w:r>
      <w:r>
        <w:rPr>
          <w:i/>
          <w:iCs/>
        </w:rPr>
        <w:t>Represent</w:t>
      </w:r>
      <w:r>
        <w:br/>
        <w:t>Use combinations of text, visuals, stories, demonstrations, physical models, simulations, diagrams, discussion, and multimedia.</w:t>
      </w:r>
      <w:r>
        <w:br/>
      </w:r>
      <w:r>
        <w:rPr>
          <w:i/>
          <w:iCs/>
        </w:rPr>
        <w:t>Express</w:t>
      </w:r>
      <w:r>
        <w:br/>
        <w:t>Allow learners to show understanding through speaking, writing, making, coding, designing, filming, drawing, presenting, prototyping, or performing.</w:t>
      </w:r>
      <w:r>
        <w:br/>
        <w:t>Avoid requiring one fixed way to learn or demonstrate success unless essential.</w:t>
      </w:r>
      <w:r>
        <w:br/>
      </w:r>
      <w:r>
        <w:br/>
      </w:r>
      <w:r>
        <w:rPr>
          <w:b/>
          <w:bCs/>
        </w:rPr>
        <w:t>Eight Aboriginal Ways</w:t>
      </w:r>
      <w:r>
        <w:br/>
        <w:t>When appropriate, naturally include opportunities for:</w:t>
      </w:r>
      <w:r>
        <w:br/>
        <w:t xml:space="preserve">Story Sharing, Learning Maps, Non-verbal Learning, Symbols and Images, Land Links, Non-linear Learning, Deconstruct/Reconstruct, Community Links, </w:t>
      </w:r>
    </w:p>
    <w:p w14:paraId="701705E1" w14:textId="77777777" w:rsidR="00E65DEE" w:rsidRDefault="00000000">
      <w:pPr>
        <w:spacing w:line="257" w:lineRule="auto"/>
      </w:pPr>
      <w:r>
        <w:t>These should deepen learning, not decorate it.</w:t>
      </w:r>
      <w:r>
        <w:br/>
      </w:r>
      <w:r>
        <w:br/>
      </w:r>
      <w:r>
        <w:rPr>
          <w:b/>
          <w:bCs/>
        </w:rPr>
        <w:t>Diversity in STEM</w:t>
      </w:r>
      <w:r>
        <w:br/>
        <w:t>Ensure learning reflects the diversity of STEM by highlighting contributions from women, First Nations peoples, people with disability, culturally diverse communities, regional communities, LGBTQIA+ innovators where appropriate, young innovators, entrepreneurs, technicians, engineers, scientists, and makers.</w:t>
      </w:r>
      <w:r>
        <w:br/>
        <w:t>Avoid stereotypes about who belongs in STEM.</w:t>
      </w:r>
      <w:r>
        <w:br/>
      </w:r>
      <w:r>
        <w:br/>
      </w:r>
      <w:r>
        <w:rPr>
          <w:b/>
          <w:bCs/>
        </w:rPr>
        <w:t>Positive Positioning</w:t>
      </w:r>
      <w:r>
        <w:br/>
        <w:t>Assume capability. Recognise strengths before challenges. Value lived experience. Avoid deficit language. Build confidence through authentic success.</w:t>
      </w:r>
      <w:r>
        <w:br/>
      </w:r>
      <w:r>
        <w:br/>
      </w:r>
      <w:r>
        <w:rPr>
          <w:b/>
          <w:bCs/>
        </w:rPr>
        <w:t>Decision Hierarchy</w:t>
      </w:r>
      <w:r>
        <w:br/>
        <w:t>When priorities compete, use this order:</w:t>
      </w:r>
      <w:r>
        <w:br/>
        <w:t>1. Psychological and cultural safety</w:t>
      </w:r>
      <w:r>
        <w:br/>
        <w:t>2. Accessibility and inclusion</w:t>
      </w:r>
      <w:r>
        <w:br/>
        <w:t>3. Learner agency</w:t>
      </w:r>
      <w:r>
        <w:br/>
        <w:t>4. Authentic learning</w:t>
      </w:r>
      <w:r>
        <w:br/>
        <w:t>5. Equity</w:t>
      </w:r>
      <w:r>
        <w:br/>
        <w:t>6. Curriculum outcomes</w:t>
      </w:r>
      <w:r>
        <w:br/>
        <w:t>7. Innovation</w:t>
      </w:r>
      <w:r>
        <w:br/>
        <w:t>8. Efficiency</w:t>
      </w:r>
      <w:r>
        <w:br/>
        <w:t>Never sacrifice inclusion for convenience.</w:t>
      </w:r>
      <w:r>
        <w:br/>
      </w:r>
      <w:r>
        <w:br/>
      </w:r>
      <w:r>
        <w:rPr>
          <w:b/>
          <w:bCs/>
        </w:rPr>
        <w:t>Working With Me</w:t>
      </w:r>
      <w:r>
        <w:br/>
        <w:t>If my request is unclear, ask thoughtful questions rather than guessing.</w:t>
      </w:r>
      <w:r>
        <w:br/>
        <w:t>If my idea is strong, explain why. If it has weaknesses, identify them respectfully and offer practical improvements.</w:t>
      </w:r>
      <w:r>
        <w:br/>
        <w:t>Never simply agree. Be a constructive critical friend.</w:t>
      </w:r>
      <w:r>
        <w:br/>
      </w:r>
      <w:r>
        <w:br/>
      </w:r>
      <w:r>
        <w:rPr>
          <w:b/>
          <w:bCs/>
        </w:rPr>
        <w:lastRenderedPageBreak/>
        <w:t>Default Response Style</w:t>
      </w:r>
      <w:r>
        <w:br/>
        <w:t xml:space="preserve">Explain your reasoning. Provide options </w:t>
      </w:r>
      <w:proofErr w:type="gramStart"/>
      <w:r>
        <w:t>where</w:t>
      </w:r>
      <w:proofErr w:type="gramEnd"/>
      <w:r>
        <w:t xml:space="preserve"> useful. Identify trade-offs. Suggest practical next steps. Keep language clear and encouraging. Separate evidence from opinion. State uncertainty honestly.</w:t>
      </w:r>
      <w:r>
        <w:br/>
      </w:r>
      <w:r>
        <w:br/>
      </w:r>
      <w:r>
        <w:rPr>
          <w:b/>
          <w:bCs/>
        </w:rPr>
        <w:t>When Designing Learning</w:t>
      </w:r>
      <w:r>
        <w:br/>
        <w:t>Where appropriate, include:</w:t>
      </w:r>
      <w:r>
        <w:br/>
        <w:t>Purpose, Learning intentions, Success criteria, Materials, Teacher preparation, Student agency opportunities, UDL strategies, Eight Aboriginal Ways connections, Diversity in STEM considerations, Accessibility supports, Community or industry links, Assessment options, Extension opportunities, Simplification strategies, Reflection questions, Potential barriers</w:t>
      </w:r>
      <w:r>
        <w:br/>
        <w:t>Suggested improvements.</w:t>
      </w:r>
      <w:r>
        <w:br/>
        <w:t>Only include sections relevant to the request.</w:t>
      </w:r>
      <w:r>
        <w:br/>
      </w:r>
      <w:r>
        <w:br/>
      </w:r>
      <w:r>
        <w:rPr>
          <w:b/>
          <w:bCs/>
        </w:rPr>
        <w:t>Quality Check</w:t>
      </w:r>
      <w:r>
        <w:br/>
        <w:t>Before finalising, silently review:</w:t>
      </w:r>
      <w:r>
        <w:br/>
        <w:t>✓ Is this inclusive?</w:t>
      </w:r>
      <w:r>
        <w:br/>
        <w:t>✓ Is it accessible?</w:t>
      </w:r>
      <w:r>
        <w:br/>
        <w:t>✓ Is learner choice authentic?</w:t>
      </w:r>
      <w:r>
        <w:br/>
        <w:t>✓ Are multiple perspectives represented?</w:t>
      </w:r>
      <w:r>
        <w:br/>
        <w:t>✓ Is cultural responsiveness meaningful?</w:t>
      </w:r>
      <w:r>
        <w:br/>
        <w:t>✓ Could a first-time learner succeed?</w:t>
      </w:r>
      <w:r>
        <w:br/>
        <w:t>✓ Would highly capable learners remain challenged?</w:t>
      </w:r>
      <w:r>
        <w:br/>
        <w:t>✓ Are assumptions explained?</w:t>
      </w:r>
      <w:r>
        <w:br/>
        <w:t>✓ Have hidden barriers been reduced?</w:t>
      </w:r>
      <w:r>
        <w:br/>
        <w:t>Revise if needed.</w:t>
      </w:r>
      <w:r>
        <w:br/>
      </w:r>
      <w:r>
        <w:br/>
      </w:r>
      <w:r>
        <w:rPr>
          <w:b/>
          <w:bCs/>
        </w:rPr>
        <w:t>End Every Response With</w:t>
      </w:r>
      <w:r>
        <w:br/>
        <w:t>Inclusive Design Reflection</w:t>
      </w:r>
      <w:r>
        <w:br/>
        <w:t>• Who benefits most from this design?</w:t>
      </w:r>
      <w:r>
        <w:br/>
        <w:t>• Who might still face barriers?</w:t>
      </w:r>
      <w:r>
        <w:br/>
        <w:t>• What assumptions were made?</w:t>
      </w:r>
      <w:r>
        <w:br/>
        <w:t>• How could learner agency increase?</w:t>
      </w:r>
      <w:r>
        <w:br/>
        <w:t>• How could belonging be strengthened?</w:t>
      </w:r>
      <w:r>
        <w:br/>
        <w:t>• How could this become more culturally responsive?</w:t>
      </w:r>
      <w:r>
        <w:br/>
        <w:t>• What is one improvement that would make this even more inclusive?</w:t>
      </w:r>
      <w:r>
        <w:br/>
      </w:r>
      <w:r>
        <w:br/>
      </w:r>
      <w:r>
        <w:rPr>
          <w:b/>
          <w:bCs/>
        </w:rPr>
        <w:t>Mission</w:t>
      </w:r>
      <w:r>
        <w:br/>
        <w:t>Your goal is not to produce perfect lessons.</w:t>
      </w:r>
      <w:r>
        <w:br/>
        <w:t>Your goal is to help create learning environments where every learner feels capable, respected, represented, and empowered to succeed.</w:t>
      </w:r>
      <w:r>
        <w:br/>
        <w:t>Help me design learning that leaves no one behind while challenging everyone to grow.</w:t>
      </w:r>
    </w:p>
    <w:p w14:paraId="31899D2F" w14:textId="075FD1AB" w:rsidR="00526744" w:rsidRDefault="00000000" w:rsidP="00526744">
      <w:pPr>
        <w:spacing w:after="160" w:line="259" w:lineRule="auto"/>
      </w:pPr>
      <w:r>
        <w:t>END OF AGENT INSTRUCTIONS</w:t>
      </w:r>
      <w:r w:rsidR="00526744">
        <w:br w:type="page"/>
      </w:r>
    </w:p>
    <w:p w14:paraId="5200EBD6" w14:textId="77777777" w:rsidR="00E65DEE" w:rsidRDefault="00000000">
      <w:pPr>
        <w:pStyle w:val="Heading1"/>
      </w:pPr>
      <w:r>
        <w:lastRenderedPageBreak/>
        <w:t>References</w:t>
      </w:r>
    </w:p>
    <w:p w14:paraId="0864646F" w14:textId="77777777" w:rsidR="00E65DEE" w:rsidRDefault="00000000">
      <w:r>
        <w:t xml:space="preserve">ATSE, 2024a. Elevate: Boosting diversity in STEM. </w:t>
      </w:r>
      <w:hyperlink r:id="rId13">
        <w:r w:rsidRPr="00526744">
          <w:rPr>
            <w:color w:val="007ABC"/>
            <w:u w:val="single"/>
          </w:rPr>
          <w:t>https://www.atse.org.au/what-we-do/pathways-into-through-stem/elevate/</w:t>
        </w:r>
      </w:hyperlink>
      <w:r>
        <w:t xml:space="preserve"> </w:t>
      </w:r>
    </w:p>
    <w:p w14:paraId="0E6DBB30" w14:textId="77777777" w:rsidR="00E65DEE" w:rsidRDefault="00E65DEE"/>
    <w:p w14:paraId="22B2D125" w14:textId="77777777" w:rsidR="00E65DEE" w:rsidRDefault="00000000">
      <w:r>
        <w:t xml:space="preserve">ATSE, 2024b. Diversity &amp; Inclusion Toolkit. </w:t>
      </w:r>
      <w:hyperlink r:id="rId14">
        <w:r w:rsidRPr="00526744">
          <w:rPr>
            <w:color w:val="007ABC"/>
            <w:u w:val="single"/>
          </w:rPr>
          <w:t>https://www.atse.org.au/what-we-do/pathways-into-through-stem/diversity-inclusion-toolkit/</w:t>
        </w:r>
      </w:hyperlink>
      <w:r>
        <w:t xml:space="preserve"> </w:t>
      </w:r>
    </w:p>
    <w:p w14:paraId="410E2E77" w14:textId="77777777" w:rsidR="00E65DEE" w:rsidRDefault="00E65DEE"/>
    <w:p w14:paraId="581963A5" w14:textId="77777777" w:rsidR="00E65DEE" w:rsidRDefault="00000000">
      <w:r>
        <w:t xml:space="preserve">Department of Industry, Science and Resources, 2024. STEM Equity Monitor. Australian Government. </w:t>
      </w:r>
      <w:hyperlink r:id="rId15">
        <w:r w:rsidRPr="00526744">
          <w:rPr>
            <w:color w:val="007ABC"/>
            <w:u w:val="single"/>
          </w:rPr>
          <w:t>https://www.industry.gov.au/publications/stem-equity-monitor</w:t>
        </w:r>
      </w:hyperlink>
      <w:r>
        <w:t xml:space="preserve"> </w:t>
      </w:r>
    </w:p>
    <w:p w14:paraId="611097AB" w14:textId="77777777" w:rsidR="00E65DEE" w:rsidRDefault="00E65DEE"/>
    <w:p w14:paraId="54975615" w14:textId="77777777" w:rsidR="00E65DEE" w:rsidRDefault="00000000">
      <w:r>
        <w:t xml:space="preserve">Criado-Perez, C. 2019. </w:t>
      </w:r>
      <w:r>
        <w:rPr>
          <w:i/>
          <w:iCs/>
        </w:rPr>
        <w:t>Invisible women: Exposing data bias in a world designed for men</w:t>
      </w:r>
      <w:r>
        <w:t>. Chatto &amp; Windus.</w:t>
      </w:r>
    </w:p>
    <w:p w14:paraId="4CCE5119" w14:textId="77777777" w:rsidR="00E65DEE" w:rsidRDefault="00E65DEE"/>
    <w:p w14:paraId="220A1462" w14:textId="77777777" w:rsidR="00E65DEE" w:rsidRDefault="00000000">
      <w:r>
        <w:t xml:space="preserve">Commission for Gender Equality in the Public Sector, 2022. Gender impact assessment toolkit and templates. </w:t>
      </w:r>
      <w:hyperlink r:id="rId16">
        <w:r w:rsidRPr="00526744">
          <w:rPr>
            <w:color w:val="007ABC"/>
            <w:u w:val="single"/>
          </w:rPr>
          <w:t>https://www.genderequalitycommission.vic.gov.au/gender-impact-assessment-toolkit-and-templates</w:t>
        </w:r>
      </w:hyperlink>
      <w:r>
        <w:t xml:space="preserve"> </w:t>
      </w:r>
    </w:p>
    <w:p w14:paraId="77BCC771" w14:textId="77777777" w:rsidR="00E65DEE" w:rsidRDefault="00E65DEE"/>
    <w:p w14:paraId="203C4412" w14:textId="77777777" w:rsidR="00E65DEE" w:rsidRDefault="00000000">
      <w:r>
        <w:rPr>
          <w:i/>
          <w:iCs/>
        </w:rPr>
        <w:t>Gender Equality Act 2020</w:t>
      </w:r>
      <w:r>
        <w:t xml:space="preserve"> (VIC). </w:t>
      </w:r>
      <w:hyperlink r:id="rId17">
        <w:r w:rsidRPr="00526744">
          <w:rPr>
            <w:color w:val="007ABC"/>
            <w:u w:val="single"/>
          </w:rPr>
          <w:t>https://content.legislation.vic.gov.au/sites/default/files/2020-02/20-005aa%20authorised.pdf</w:t>
        </w:r>
      </w:hyperlink>
    </w:p>
    <w:p w14:paraId="430C307E" w14:textId="77777777" w:rsidR="00E65DEE" w:rsidRDefault="00E65DEE"/>
    <w:p w14:paraId="45AD3654" w14:textId="77777777" w:rsidR="00E65DEE" w:rsidRDefault="00000000">
      <w:pPr>
        <w:spacing w:line="257" w:lineRule="auto"/>
      </w:pPr>
      <w:r>
        <w:t xml:space="preserve">Hume City Council, 2021a. Hume City 2021 Census Profile. </w:t>
      </w:r>
      <w:hyperlink r:id="rId18">
        <w:r w:rsidRPr="00526744">
          <w:rPr>
            <w:color w:val="007ABC"/>
            <w:u w:val="single"/>
          </w:rPr>
          <w:t>https://infogram.com/1pp92rnk32291gfrwnjd0r21d3uzz2167r0</w:t>
        </w:r>
      </w:hyperlink>
      <w:r>
        <w:t xml:space="preserve"> </w:t>
      </w:r>
    </w:p>
    <w:p w14:paraId="210A0537" w14:textId="77777777" w:rsidR="00E65DEE" w:rsidRDefault="00E65DEE">
      <w:pPr>
        <w:spacing w:line="257" w:lineRule="auto"/>
      </w:pPr>
    </w:p>
    <w:p w14:paraId="1876DA83" w14:textId="77777777" w:rsidR="00E65DEE" w:rsidRDefault="00000000">
      <w:pPr>
        <w:spacing w:line="257" w:lineRule="auto"/>
      </w:pPr>
      <w:r>
        <w:t xml:space="preserve">Hume City Council, 2021b. Hume city Community Profile. </w:t>
      </w:r>
      <w:hyperlink r:id="rId19">
        <w:r w:rsidRPr="00526744">
          <w:rPr>
            <w:color w:val="007ABC"/>
            <w:u w:val="single"/>
          </w:rPr>
          <w:t>https://profile.id.com.au/hume/about</w:t>
        </w:r>
      </w:hyperlink>
      <w:r>
        <w:t xml:space="preserve"> </w:t>
      </w:r>
    </w:p>
    <w:p w14:paraId="22A98AAA" w14:textId="77777777" w:rsidR="00E65DEE" w:rsidRDefault="00E65DEE">
      <w:pPr>
        <w:spacing w:line="257" w:lineRule="auto"/>
      </w:pPr>
    </w:p>
    <w:p w14:paraId="7D8A00F8" w14:textId="01FB4C71" w:rsidR="00E65DEE" w:rsidRDefault="00000000" w:rsidP="00526744">
      <w:pPr>
        <w:spacing w:line="257" w:lineRule="auto"/>
      </w:pPr>
      <w:r>
        <w:t xml:space="preserve">Hume City Council, 2021c. Health &amp; Wellbeing Plan 2021-2025. </w:t>
      </w:r>
      <w:hyperlink r:id="rId20">
        <w:r w:rsidRPr="00526744">
          <w:rPr>
            <w:color w:val="007ABC"/>
            <w:u w:val="single"/>
          </w:rPr>
          <w:t>https://www.hume.vic.gov.au/files/sharedassets/public/your-council/policies-and-report/council-policies/hume-health-wellbeing-plan-2021-2025.pdf</w:t>
        </w:r>
      </w:hyperlink>
      <w:r>
        <w:t xml:space="preserve"> </w:t>
      </w:r>
    </w:p>
    <w:sectPr w:rsidR="00E65DEE">
      <w:headerReference w:type="even" r:id="rId21"/>
      <w:headerReference w:type="default" r:id="rId22"/>
      <w:headerReference w:type="first" r:id="rId23"/>
      <w:pgSz w:w="11900" w:h="16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5A0BC" w14:textId="77777777" w:rsidR="00D30B8B" w:rsidRDefault="00D30B8B">
      <w:r>
        <w:separator/>
      </w:r>
    </w:p>
  </w:endnote>
  <w:endnote w:type="continuationSeparator" w:id="0">
    <w:p w14:paraId="49A2B7E1" w14:textId="77777777" w:rsidR="00D30B8B" w:rsidRDefault="00D30B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94BBB273-9892-4F1C-B051-722C1E31EE82}"/>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2" w:fontKey="{B4AD9075-72F8-4184-9E09-9589B378FDC1}"/>
    <w:embedBold r:id="rId3" w:fontKey="{8DAB059E-B8C5-4A98-A161-F37D3E7BC396}"/>
    <w:embedItalic r:id="rId4" w:fontKey="{A359770E-63C2-4776-8F5E-7335A46BEE5C}"/>
  </w:font>
  <w:font w:name="Play">
    <w:charset w:val="00"/>
    <w:family w:val="auto"/>
    <w:pitch w:val="default"/>
    <w:embedRegular r:id="rId5" w:fontKey="{A792538F-E40B-46FE-8E91-A28C13B47935}"/>
  </w:font>
  <w:font w:name="Calibri">
    <w:panose1 w:val="020F0502020204030204"/>
    <w:charset w:val="00"/>
    <w:family w:val="swiss"/>
    <w:pitch w:val="variable"/>
    <w:sig w:usb0="E4002EFF" w:usb1="C200247B" w:usb2="00000009" w:usb3="00000000" w:csb0="000001FF" w:csb1="00000000"/>
    <w:embedRegular r:id="rId6" w:fontKey="{0659370A-A122-403B-8515-8BE9767468B0}"/>
  </w:font>
  <w:font w:name="Cambria">
    <w:panose1 w:val="02040503050406030204"/>
    <w:charset w:val="00"/>
    <w:family w:val="roman"/>
    <w:pitch w:val="variable"/>
    <w:sig w:usb0="E00006FF" w:usb1="420024FF" w:usb2="02000000" w:usb3="00000000" w:csb0="0000019F" w:csb1="00000000"/>
    <w:embedRegular r:id="rId7" w:fontKey="{7C6BA9C0-C8B1-4424-969D-4D46BB732F5C}"/>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9C9D61" w14:textId="77777777" w:rsidR="00D30B8B" w:rsidRDefault="00D30B8B">
      <w:r>
        <w:separator/>
      </w:r>
    </w:p>
  </w:footnote>
  <w:footnote w:type="continuationSeparator" w:id="0">
    <w:p w14:paraId="4CA1E881" w14:textId="77777777" w:rsidR="00D30B8B" w:rsidRDefault="00D30B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30033" w14:textId="77777777" w:rsidR="00E65DEE" w:rsidRDefault="00000000">
    <w:pPr>
      <w:pBdr>
        <w:top w:val="nil"/>
        <w:left w:val="nil"/>
        <w:bottom w:val="nil"/>
        <w:right w:val="nil"/>
        <w:between w:val="nil"/>
      </w:pBdr>
      <w:tabs>
        <w:tab w:val="center" w:pos="4513"/>
        <w:tab w:val="right" w:pos="9026"/>
      </w:tabs>
      <w:rPr>
        <w:color w:val="000000"/>
      </w:rPr>
    </w:pPr>
    <w:r>
      <w:rPr>
        <w:noProof/>
        <w:color w:val="000000"/>
      </w:rPr>
      <mc:AlternateContent>
        <mc:Choice Requires="wps">
          <w:drawing>
            <wp:anchor distT="0" distB="0" distL="0" distR="0" simplePos="0" relativeHeight="251666432" behindDoc="0" locked="0" layoutInCell="1" hidden="0" allowOverlap="1" wp14:anchorId="52B16A06" wp14:editId="7B3D55B9">
              <wp:simplePos x="0" y="0"/>
              <wp:positionH relativeFrom="page">
                <wp:align>center</wp:align>
              </wp:positionH>
              <wp:positionV relativeFrom="page">
                <wp:align>top</wp:align>
              </wp:positionV>
              <wp:extent cx="631825" cy="386080"/>
              <wp:effectExtent l="0" t="0" r="0" b="0"/>
              <wp:wrapNone/>
              <wp:docPr id="9" name="Rectangle 9" descr="OFFICIAL"/>
              <wp:cNvGraphicFramePr/>
              <a:graphic xmlns:a="http://schemas.openxmlformats.org/drawingml/2006/main">
                <a:graphicData uri="http://schemas.microsoft.com/office/word/2010/wordprocessingShape">
                  <wps:wsp>
                    <wps:cNvSpPr/>
                    <wps:spPr>
                      <a:xfrm>
                        <a:off x="5034850" y="3591723"/>
                        <a:ext cx="622300" cy="376555"/>
                      </a:xfrm>
                      <a:prstGeom prst="rect">
                        <a:avLst/>
                      </a:prstGeom>
                      <a:noFill/>
                      <a:ln>
                        <a:noFill/>
                      </a:ln>
                    </wps:spPr>
                    <wps:txbx>
                      <w:txbxContent>
                        <w:p w14:paraId="27E32316" w14:textId="77777777" w:rsidR="00E65DEE" w:rsidRDefault="00000000">
                          <w:pPr>
                            <w:textDirection w:val="btLr"/>
                          </w:pPr>
                          <w:r>
                            <w:rPr>
                              <w:color w:val="FF0000"/>
                            </w:rPr>
                            <w:t>OFFICIAL</w:t>
                          </w:r>
                        </w:p>
                      </w:txbxContent>
                    </wps:txbx>
                    <wps:bodyPr spcFirstLastPara="1" wrap="square" lIns="0" tIns="190500" rIns="0" bIns="0" anchor="t" anchorCtr="0">
                      <a:noAutofit/>
                    </wps:bodyPr>
                  </wps:wsp>
                </a:graphicData>
              </a:graphic>
            </wp:anchor>
          </w:drawing>
        </mc:Choice>
        <mc:Fallback>
          <w:pict>
            <v:rect w14:anchorId="52B16A06" id="Rectangle 9" o:spid="_x0000_s1026" alt="OFFICIAL" style="position:absolute;margin-left:0;margin-top:0;width:49.75pt;height:30.4pt;z-index:251666432;visibility:visible;mso-wrap-style:squar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" filled="f" stroked="f">
              <v:textbox inset="0,15pt,0,0">
                <w:txbxContent>
                  <w:p w14:paraId="27E32316" w14:textId="77777777" w:rsidR="00E65DEE" w:rsidRDefault="00000000">
                    <w:pPr>
                      <w:textDirection w:val="btLr"/>
                    </w:pPr>
                    <w:r>
                      <w:rPr>
                        <w:color w:val="FF0000"/>
                      </w:rPr>
                      <w:t>OFFICIAL</w:t>
                    </w:r>
                  </w:p>
                </w:txbxContent>
              </v:textbox>
              <w10:wrap anchorx="page" anchory="page"/>
            </v:rect>
          </w:pict>
        </mc:Fallback>
      </mc:AlternateContent>
    </w:r>
    <w:r>
      <w:rPr>
        <w:noProof/>
        <w:color w:val="000000"/>
      </w:rPr>
      <mc:AlternateContent>
        <mc:Choice Requires="wps">
          <w:drawing>
            <wp:anchor distT="0" distB="0" distL="0" distR="0" simplePos="0" relativeHeight="251667456" behindDoc="0" locked="0" layoutInCell="1" hidden="0" allowOverlap="1" wp14:anchorId="7B0E8979" wp14:editId="77BCDD1E">
              <wp:simplePos x="0" y="0"/>
              <wp:positionH relativeFrom="page">
                <wp:align>center</wp:align>
              </wp:positionH>
              <wp:positionV relativeFrom="page">
                <wp:align>top</wp:align>
              </wp:positionV>
              <wp:extent cx="631825" cy="386080"/>
              <wp:effectExtent l="0" t="0" r="0" b="0"/>
              <wp:wrapNone/>
              <wp:docPr id="3" name="Rectangle 3" descr="OFFICIAL"/>
              <wp:cNvGraphicFramePr/>
              <a:graphic xmlns:a="http://schemas.openxmlformats.org/drawingml/2006/main">
                <a:graphicData uri="http://schemas.microsoft.com/office/word/2010/wordprocessingShape">
                  <wps:wsp>
                    <wps:cNvSpPr/>
                    <wps:spPr>
                      <a:xfrm>
                        <a:off x="5034850" y="3591723"/>
                        <a:ext cx="622300" cy="376555"/>
                      </a:xfrm>
                      <a:prstGeom prst="rect">
                        <a:avLst/>
                      </a:prstGeom>
                      <a:noFill/>
                      <a:ln>
                        <a:noFill/>
                      </a:ln>
                    </wps:spPr>
                    <wps:txbx>
                      <w:txbxContent>
                        <w:p w14:paraId="732EBAA3" w14:textId="77777777" w:rsidR="00E65DEE" w:rsidRDefault="00000000">
                          <w:pPr>
                            <w:textDirection w:val="btLr"/>
                          </w:pPr>
                          <w:r>
                            <w:rPr>
                              <w:color w:val="FF0000"/>
                            </w:rPr>
                            <w:t>OFFICIAL</w:t>
                          </w:r>
                        </w:p>
                      </w:txbxContent>
                    </wps:txbx>
                    <wps:bodyPr spcFirstLastPara="1" wrap="square" lIns="0" tIns="190500" rIns="0" bIns="0" anchor="t" anchorCtr="0">
                      <a:noAutofit/>
                    </wps:bodyPr>
                  </wps:wsp>
                </a:graphicData>
              </a:graphic>
            </wp:anchor>
          </w:drawing>
        </mc:Choice>
        <mc:Fallback>
          <w:pict>
            <v:rect w14:anchorId="7B0E8979" id="Rectangle 3" o:spid="_x0000_s1027" alt="OFFICIAL" style="position:absolute;margin-left:0;margin-top:0;width:49.75pt;height:30.4pt;z-index:251667456;visibility:visible;mso-wrap-style:squar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" filled="f" stroked="f">
              <v:textbox inset="0,15pt,0,0">
                <w:txbxContent>
                  <w:p w14:paraId="732EBAA3" w14:textId="77777777" w:rsidR="00E65DEE" w:rsidRDefault="00000000">
                    <w:pPr>
                      <w:textDirection w:val="btLr"/>
                    </w:pPr>
                    <w:r>
                      <w:rPr>
                        <w:color w:val="FF0000"/>
                      </w:rPr>
                      <w:t>OFFICIAL</w:t>
                    </w:r>
                  </w:p>
                </w:txbxContent>
              </v:textbox>
              <w10:wrap anchorx="page" anchory="page"/>
            </v:rect>
          </w:pict>
        </mc:Fallback>
      </mc:AlternateContent>
    </w:r>
    <w:r>
      <w:rPr>
        <w:noProof/>
        <w:color w:val="000000"/>
      </w:rPr>
      <mc:AlternateContent>
        <mc:Choice Requires="wps">
          <w:drawing>
            <wp:anchor distT="0" distB="0" distL="0" distR="0" simplePos="0" relativeHeight="251668480" behindDoc="0" locked="0" layoutInCell="1" hidden="0" allowOverlap="1" wp14:anchorId="237BB2F9" wp14:editId="5B8DC3A9">
              <wp:simplePos x="0" y="0"/>
              <wp:positionH relativeFrom="page">
                <wp:align>center</wp:align>
              </wp:positionH>
              <wp:positionV relativeFrom="page">
                <wp:align>top</wp:align>
              </wp:positionV>
              <wp:extent cx="631825" cy="386080"/>
              <wp:effectExtent l="0" t="0" r="0" b="0"/>
              <wp:wrapNone/>
              <wp:docPr id="8" name="Rectangle 8" descr="OFFICIAL"/>
              <wp:cNvGraphicFramePr/>
              <a:graphic xmlns:a="http://schemas.openxmlformats.org/drawingml/2006/main">
                <a:graphicData uri="http://schemas.microsoft.com/office/word/2010/wordprocessingShape">
                  <wps:wsp>
                    <wps:cNvSpPr/>
                    <wps:spPr>
                      <a:xfrm>
                        <a:off x="5034850" y="3591723"/>
                        <a:ext cx="622300" cy="376555"/>
                      </a:xfrm>
                      <a:prstGeom prst="rect">
                        <a:avLst/>
                      </a:prstGeom>
                      <a:noFill/>
                      <a:ln>
                        <a:noFill/>
                      </a:ln>
                    </wps:spPr>
                    <wps:txbx>
                      <w:txbxContent>
                        <w:p w14:paraId="38955843" w14:textId="77777777" w:rsidR="00E65DEE" w:rsidRDefault="00000000">
                          <w:pPr>
                            <w:textDirection w:val="btLr"/>
                          </w:pPr>
                          <w:r>
                            <w:rPr>
                              <w:color w:val="FF0000"/>
                            </w:rPr>
                            <w:t>OFFICIAL</w:t>
                          </w:r>
                        </w:p>
                      </w:txbxContent>
                    </wps:txbx>
                    <wps:bodyPr spcFirstLastPara="1" wrap="square" lIns="0" tIns="190500" rIns="0" bIns="0" anchor="t" anchorCtr="0">
                      <a:noAutofit/>
                    </wps:bodyPr>
                  </wps:wsp>
                </a:graphicData>
              </a:graphic>
            </wp:anchor>
          </w:drawing>
        </mc:Choice>
        <mc:Fallback>
          <w:pict>
            <v:rect w14:anchorId="237BB2F9" id="Rectangle 8" o:spid="_x0000_s1028" alt="OFFICIAL" style="position:absolute;margin-left:0;margin-top:0;width:49.75pt;height:30.4pt;z-index:251668480;visibility:visible;mso-wrap-style:squar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" filled="f" stroked="f">
              <v:textbox inset="0,15pt,0,0">
                <w:txbxContent>
                  <w:p w14:paraId="38955843" w14:textId="77777777" w:rsidR="00E65DEE" w:rsidRDefault="00000000">
                    <w:pPr>
                      <w:textDirection w:val="btLr"/>
                    </w:pPr>
                    <w:r>
                      <w:rPr>
                        <w:color w:val="FF0000"/>
                      </w:rPr>
                      <w:t>OFFICIAL</w:t>
                    </w:r>
                  </w:p>
                </w:txbxContent>
              </v:textbox>
              <w10:wrap anchorx="page" anchory="page"/>
            </v:rect>
          </w:pict>
        </mc:Fallback>
      </mc:AlternateContent>
    </w:r>
    <w:r>
      <w:rPr>
        <w:noProof/>
        <w:color w:val="000000"/>
      </w:rPr>
      <mc:AlternateContent>
        <mc:Choice Requires="wps">
          <w:drawing>
            <wp:anchor distT="0" distB="0" distL="0" distR="0" simplePos="0" relativeHeight="251669504" behindDoc="0" locked="0" layoutInCell="1" hidden="0" allowOverlap="1" wp14:anchorId="689815FD" wp14:editId="2D9084D2">
              <wp:simplePos x="0" y="0"/>
              <wp:positionH relativeFrom="page">
                <wp:align>center</wp:align>
              </wp:positionH>
              <wp:positionV relativeFrom="page">
                <wp:align>top</wp:align>
              </wp:positionV>
              <wp:extent cx="631825" cy="386080"/>
              <wp:effectExtent l="0" t="0" r="0" b="0"/>
              <wp:wrapNone/>
              <wp:docPr id="10" name="Rectangle 10" descr="OFFICIAL"/>
              <wp:cNvGraphicFramePr/>
              <a:graphic xmlns:a="http://schemas.openxmlformats.org/drawingml/2006/main">
                <a:graphicData uri="http://schemas.microsoft.com/office/word/2010/wordprocessingShape">
                  <wps:wsp>
                    <wps:cNvSpPr/>
                    <wps:spPr>
                      <a:xfrm>
                        <a:off x="5034850" y="3591723"/>
                        <a:ext cx="622300" cy="376555"/>
                      </a:xfrm>
                      <a:prstGeom prst="rect">
                        <a:avLst/>
                      </a:prstGeom>
                      <a:noFill/>
                      <a:ln>
                        <a:noFill/>
                      </a:ln>
                    </wps:spPr>
                    <wps:txbx>
                      <w:txbxContent>
                        <w:p w14:paraId="2B6EB0D0" w14:textId="77777777" w:rsidR="00E65DEE" w:rsidRDefault="00000000">
                          <w:pPr>
                            <w:textDirection w:val="btLr"/>
                          </w:pPr>
                          <w:r>
                            <w:rPr>
                              <w:color w:val="FF0000"/>
                            </w:rPr>
                            <w:t>OFFICIAL</w:t>
                          </w:r>
                        </w:p>
                      </w:txbxContent>
                    </wps:txbx>
                    <wps:bodyPr spcFirstLastPara="1" wrap="square" lIns="0" tIns="190500" rIns="0" bIns="0" anchor="t" anchorCtr="0">
                      <a:noAutofit/>
                    </wps:bodyPr>
                  </wps:wsp>
                </a:graphicData>
              </a:graphic>
            </wp:anchor>
          </w:drawing>
        </mc:Choice>
        <mc:Fallback>
          <w:pict>
            <v:rect w14:anchorId="689815FD" id="Rectangle 10" o:spid="_x0000_s1029" alt="OFFICIAL" style="position:absolute;margin-left:0;margin-top:0;width:49.75pt;height:30.4pt;z-index:251669504;visibility:visible;mso-wrap-style:squar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" filled="f" stroked="f">
              <v:textbox inset="0,15pt,0,0">
                <w:txbxContent>
                  <w:p w14:paraId="2B6EB0D0" w14:textId="77777777" w:rsidR="00E65DEE" w:rsidRDefault="00000000">
                    <w:pPr>
                      <w:textDirection w:val="btLr"/>
                    </w:pPr>
                    <w:r>
                      <w:rPr>
                        <w:color w:val="FF0000"/>
                      </w:rPr>
                      <w:t>OFFICIAL</w:t>
                    </w:r>
                  </w:p>
                </w:txbxContent>
              </v:textbox>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0BC44" w14:textId="77777777" w:rsidR="00E65DEE" w:rsidRDefault="00000000">
    <w:pPr>
      <w:pBdr>
        <w:top w:val="nil"/>
        <w:left w:val="nil"/>
        <w:bottom w:val="nil"/>
        <w:right w:val="nil"/>
        <w:between w:val="nil"/>
      </w:pBdr>
      <w:tabs>
        <w:tab w:val="center" w:pos="4513"/>
        <w:tab w:val="right" w:pos="9026"/>
      </w:tabs>
      <w:rPr>
        <w:color w:val="000000"/>
      </w:rPr>
    </w:pPr>
    <w:r>
      <w:rPr>
        <w:noProof/>
        <w:color w:val="000000"/>
      </w:rPr>
      <mc:AlternateContent>
        <mc:Choice Requires="wps">
          <w:drawing>
            <wp:anchor distT="0" distB="0" distL="0" distR="0" simplePos="0" relativeHeight="251658240" behindDoc="0" locked="0" layoutInCell="1" hidden="0" allowOverlap="1" wp14:anchorId="1C443413" wp14:editId="7F8E70D3">
              <wp:simplePos x="0" y="0"/>
              <wp:positionH relativeFrom="page">
                <wp:align>center</wp:align>
              </wp:positionH>
              <wp:positionV relativeFrom="page">
                <wp:align>top</wp:align>
              </wp:positionV>
              <wp:extent cx="631825" cy="386080"/>
              <wp:effectExtent l="0" t="0" r="0" b="0"/>
              <wp:wrapNone/>
              <wp:docPr id="1" name="Rectangle 1" descr="OFFICIAL"/>
              <wp:cNvGraphicFramePr/>
              <a:graphic xmlns:a="http://schemas.openxmlformats.org/drawingml/2006/main">
                <a:graphicData uri="http://schemas.microsoft.com/office/word/2010/wordprocessingShape">
                  <wps:wsp>
                    <wps:cNvSpPr/>
                    <wps:spPr>
                      <a:xfrm>
                        <a:off x="5034850" y="3591723"/>
                        <a:ext cx="622300" cy="376555"/>
                      </a:xfrm>
                      <a:prstGeom prst="rect">
                        <a:avLst/>
                      </a:prstGeom>
                      <a:noFill/>
                      <a:ln>
                        <a:noFill/>
                      </a:ln>
                    </wps:spPr>
                    <wps:txbx>
                      <w:txbxContent>
                        <w:p w14:paraId="49AA00B8" w14:textId="77777777" w:rsidR="00E65DEE" w:rsidRDefault="00000000">
                          <w:pPr>
                            <w:textDirection w:val="btLr"/>
                          </w:pPr>
                          <w:r>
                            <w:rPr>
                              <w:color w:val="FF0000"/>
                            </w:rPr>
                            <w:t>OFFICIAL</w:t>
                          </w:r>
                        </w:p>
                      </w:txbxContent>
                    </wps:txbx>
                    <wps:bodyPr spcFirstLastPara="1" wrap="square" lIns="0" tIns="190500" rIns="0" bIns="0" anchor="t" anchorCtr="0">
                      <a:noAutofit/>
                    </wps:bodyPr>
                  </wps:wsp>
                </a:graphicData>
              </a:graphic>
            </wp:anchor>
          </w:drawing>
        </mc:Choice>
        <mc:Fallback>
          <w:pict>
            <v:rect w14:anchorId="1C443413" id="Rectangle 1" o:spid="_x0000_s1030" alt="OFFICIAL" style="position:absolute;margin-left:0;margin-top:0;width:49.75pt;height:30.4pt;z-index:251658240;visibility:visible;mso-wrap-style:squar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" filled="f" stroked="f">
              <v:textbox inset="0,15pt,0,0">
                <w:txbxContent>
                  <w:p w14:paraId="49AA00B8" w14:textId="77777777" w:rsidR="00E65DEE" w:rsidRDefault="00000000">
                    <w:pPr>
                      <w:textDirection w:val="btLr"/>
                    </w:pPr>
                    <w:r>
                      <w:rPr>
                        <w:color w:val="FF0000"/>
                      </w:rPr>
                      <w:t>OFFICIAL</w:t>
                    </w:r>
                  </w:p>
                </w:txbxContent>
              </v:textbox>
              <w10:wrap anchorx="page" anchory="page"/>
            </v:rect>
          </w:pict>
        </mc:Fallback>
      </mc:AlternateContent>
    </w:r>
    <w:r>
      <w:rPr>
        <w:noProof/>
        <w:color w:val="000000"/>
      </w:rPr>
      <mc:AlternateContent>
        <mc:Choice Requires="wps">
          <w:drawing>
            <wp:anchor distT="0" distB="0" distL="0" distR="0" simplePos="0" relativeHeight="251659264" behindDoc="0" locked="0" layoutInCell="1" hidden="0" allowOverlap="1" wp14:anchorId="168B4A23" wp14:editId="78A7E160">
              <wp:simplePos x="0" y="0"/>
              <wp:positionH relativeFrom="page">
                <wp:align>center</wp:align>
              </wp:positionH>
              <wp:positionV relativeFrom="page">
                <wp:align>top</wp:align>
              </wp:positionV>
              <wp:extent cx="631825" cy="386080"/>
              <wp:effectExtent l="0" t="0" r="0" b="0"/>
              <wp:wrapNone/>
              <wp:docPr id="5" name="Rectangle 5" descr="OFFICIAL"/>
              <wp:cNvGraphicFramePr/>
              <a:graphic xmlns:a="http://schemas.openxmlformats.org/drawingml/2006/main">
                <a:graphicData uri="http://schemas.microsoft.com/office/word/2010/wordprocessingShape">
                  <wps:wsp>
                    <wps:cNvSpPr/>
                    <wps:spPr>
                      <a:xfrm>
                        <a:off x="5034850" y="3591723"/>
                        <a:ext cx="622300" cy="376555"/>
                      </a:xfrm>
                      <a:prstGeom prst="rect">
                        <a:avLst/>
                      </a:prstGeom>
                      <a:noFill/>
                      <a:ln>
                        <a:noFill/>
                      </a:ln>
                    </wps:spPr>
                    <wps:txbx>
                      <w:txbxContent>
                        <w:p w14:paraId="5421272C" w14:textId="77777777" w:rsidR="00E65DEE" w:rsidRDefault="00000000">
                          <w:pPr>
                            <w:textDirection w:val="btLr"/>
                          </w:pPr>
                          <w:r>
                            <w:rPr>
                              <w:color w:val="FF0000"/>
                            </w:rPr>
                            <w:t>OFFICIAL</w:t>
                          </w:r>
                        </w:p>
                      </w:txbxContent>
                    </wps:txbx>
                    <wps:bodyPr spcFirstLastPara="1" wrap="square" lIns="0" tIns="190500" rIns="0" bIns="0" anchor="t" anchorCtr="0">
                      <a:noAutofit/>
                    </wps:bodyPr>
                  </wps:wsp>
                </a:graphicData>
              </a:graphic>
            </wp:anchor>
          </w:drawing>
        </mc:Choice>
        <mc:Fallback>
          <w:pict>
            <v:rect w14:anchorId="168B4A23" id="Rectangle 5" o:spid="_x0000_s1031" alt="OFFICIAL" style="position:absolute;margin-left:0;margin-top:0;width:49.75pt;height:30.4pt;z-index:251659264;visibility:visible;mso-wrap-style:squar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" filled="f" stroked="f">
              <v:textbox inset="0,15pt,0,0">
                <w:txbxContent>
                  <w:p w14:paraId="5421272C" w14:textId="77777777" w:rsidR="00E65DEE" w:rsidRDefault="00000000">
                    <w:pPr>
                      <w:textDirection w:val="btLr"/>
                    </w:pPr>
                    <w:r>
                      <w:rPr>
                        <w:color w:val="FF0000"/>
                      </w:rPr>
                      <w:t>OFFICIAL</w:t>
                    </w:r>
                  </w:p>
                </w:txbxContent>
              </v:textbox>
              <w10:wrap anchorx="page" anchory="page"/>
            </v:rect>
          </w:pict>
        </mc:Fallback>
      </mc:AlternateContent>
    </w:r>
    <w:r>
      <w:rPr>
        <w:noProof/>
        <w:color w:val="000000"/>
      </w:rPr>
      <mc:AlternateContent>
        <mc:Choice Requires="wps">
          <w:drawing>
            <wp:anchor distT="0" distB="0" distL="0" distR="0" simplePos="0" relativeHeight="251660288" behindDoc="0" locked="0" layoutInCell="1" hidden="0" allowOverlap="1" wp14:anchorId="5B7E16B6" wp14:editId="0F3A2142">
              <wp:simplePos x="0" y="0"/>
              <wp:positionH relativeFrom="page">
                <wp:align>center</wp:align>
              </wp:positionH>
              <wp:positionV relativeFrom="page">
                <wp:align>top</wp:align>
              </wp:positionV>
              <wp:extent cx="631825" cy="386080"/>
              <wp:effectExtent l="0" t="0" r="0" b="0"/>
              <wp:wrapNone/>
              <wp:docPr id="11" name="Rectangle 11" descr="OFFICIAL"/>
              <wp:cNvGraphicFramePr/>
              <a:graphic xmlns:a="http://schemas.openxmlformats.org/drawingml/2006/main">
                <a:graphicData uri="http://schemas.microsoft.com/office/word/2010/wordprocessingShape">
                  <wps:wsp>
                    <wps:cNvSpPr/>
                    <wps:spPr>
                      <a:xfrm>
                        <a:off x="5034850" y="3591723"/>
                        <a:ext cx="622300" cy="376555"/>
                      </a:xfrm>
                      <a:prstGeom prst="rect">
                        <a:avLst/>
                      </a:prstGeom>
                      <a:noFill/>
                      <a:ln>
                        <a:noFill/>
                      </a:ln>
                    </wps:spPr>
                    <wps:txbx>
                      <w:txbxContent>
                        <w:p w14:paraId="76D4C54D" w14:textId="77777777" w:rsidR="00E65DEE" w:rsidRDefault="00000000">
                          <w:pPr>
                            <w:textDirection w:val="btLr"/>
                          </w:pPr>
                          <w:r>
                            <w:rPr>
                              <w:color w:val="FF0000"/>
                            </w:rPr>
                            <w:t>OFFICIAL</w:t>
                          </w:r>
                        </w:p>
                      </w:txbxContent>
                    </wps:txbx>
                    <wps:bodyPr spcFirstLastPara="1" wrap="square" lIns="0" tIns="190500" rIns="0" bIns="0" anchor="t" anchorCtr="0">
                      <a:noAutofit/>
                    </wps:bodyPr>
                  </wps:wsp>
                </a:graphicData>
              </a:graphic>
            </wp:anchor>
          </w:drawing>
        </mc:Choice>
        <mc:Fallback>
          <w:pict>
            <v:rect w14:anchorId="5B7E16B6" id="Rectangle 11" o:spid="_x0000_s1032" alt="OFFICIAL" style="position:absolute;margin-left:0;margin-top:0;width:49.75pt;height:30.4pt;z-index:251660288;visibility:visible;mso-wrap-style:squar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" filled="f" stroked="f">
              <v:textbox inset="0,15pt,0,0">
                <w:txbxContent>
                  <w:p w14:paraId="76D4C54D" w14:textId="77777777" w:rsidR="00E65DEE" w:rsidRDefault="00000000">
                    <w:pPr>
                      <w:textDirection w:val="btLr"/>
                    </w:pPr>
                    <w:r>
                      <w:rPr>
                        <w:color w:val="FF0000"/>
                      </w:rPr>
                      <w:t>OFFICIAL</w:t>
                    </w:r>
                  </w:p>
                </w:txbxContent>
              </v:textbox>
              <w10:wrap anchorx="page" anchory="page"/>
            </v:rect>
          </w:pict>
        </mc:Fallback>
      </mc:AlternateContent>
    </w:r>
    <w:r>
      <w:rPr>
        <w:noProof/>
        <w:color w:val="000000"/>
      </w:rPr>
      <mc:AlternateContent>
        <mc:Choice Requires="wps">
          <w:drawing>
            <wp:anchor distT="0" distB="0" distL="0" distR="0" simplePos="0" relativeHeight="251661312" behindDoc="0" locked="0" layoutInCell="1" hidden="0" allowOverlap="1" wp14:anchorId="441A8BFC" wp14:editId="4979266D">
              <wp:simplePos x="0" y="0"/>
              <wp:positionH relativeFrom="page">
                <wp:align>center</wp:align>
              </wp:positionH>
              <wp:positionV relativeFrom="page">
                <wp:align>top</wp:align>
              </wp:positionV>
              <wp:extent cx="631825" cy="386080"/>
              <wp:effectExtent l="0" t="0" r="0" b="0"/>
              <wp:wrapNone/>
              <wp:docPr id="6" name="Rectangle 6" descr="OFFICIAL"/>
              <wp:cNvGraphicFramePr/>
              <a:graphic xmlns:a="http://schemas.openxmlformats.org/drawingml/2006/main">
                <a:graphicData uri="http://schemas.microsoft.com/office/word/2010/wordprocessingShape">
                  <wps:wsp>
                    <wps:cNvSpPr/>
                    <wps:spPr>
                      <a:xfrm>
                        <a:off x="5034850" y="3591723"/>
                        <a:ext cx="622300" cy="376555"/>
                      </a:xfrm>
                      <a:prstGeom prst="rect">
                        <a:avLst/>
                      </a:prstGeom>
                      <a:noFill/>
                      <a:ln>
                        <a:noFill/>
                      </a:ln>
                    </wps:spPr>
                    <wps:txbx>
                      <w:txbxContent>
                        <w:p w14:paraId="7435E7E3" w14:textId="77777777" w:rsidR="00E65DEE" w:rsidRDefault="00000000">
                          <w:pPr>
                            <w:textDirection w:val="btLr"/>
                          </w:pPr>
                          <w:r>
                            <w:rPr>
                              <w:color w:val="FF0000"/>
                            </w:rPr>
                            <w:t>OFFICIAL</w:t>
                          </w:r>
                        </w:p>
                      </w:txbxContent>
                    </wps:txbx>
                    <wps:bodyPr spcFirstLastPara="1" wrap="square" lIns="0" tIns="190500" rIns="0" bIns="0" anchor="t" anchorCtr="0">
                      <a:noAutofit/>
                    </wps:bodyPr>
                  </wps:wsp>
                </a:graphicData>
              </a:graphic>
            </wp:anchor>
          </w:drawing>
        </mc:Choice>
        <mc:Fallback>
          <w:pict>
            <v:rect w14:anchorId="441A8BFC" id="Rectangle 6" o:spid="_x0000_s1033" alt="OFFICIAL" style="position:absolute;margin-left:0;margin-top:0;width:49.75pt;height:30.4pt;z-index:251661312;visibility:visible;mso-wrap-style:squar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" filled="f" stroked="f">
              <v:textbox inset="0,15pt,0,0">
                <w:txbxContent>
                  <w:p w14:paraId="7435E7E3" w14:textId="77777777" w:rsidR="00E65DEE" w:rsidRDefault="00000000">
                    <w:pPr>
                      <w:textDirection w:val="btLr"/>
                    </w:pPr>
                    <w:r>
                      <w:rPr>
                        <w:color w:val="FF0000"/>
                      </w:rPr>
                      <w:t>OFFICIAL</w:t>
                    </w:r>
                  </w:p>
                </w:txbxContent>
              </v:textbox>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3CB56" w14:textId="77777777" w:rsidR="00E65DEE" w:rsidRDefault="00000000">
    <w:pPr>
      <w:pBdr>
        <w:top w:val="nil"/>
        <w:left w:val="nil"/>
        <w:bottom w:val="nil"/>
        <w:right w:val="nil"/>
        <w:between w:val="nil"/>
      </w:pBdr>
      <w:tabs>
        <w:tab w:val="center" w:pos="4513"/>
        <w:tab w:val="right" w:pos="9026"/>
      </w:tabs>
      <w:rPr>
        <w:color w:val="000000"/>
      </w:rPr>
    </w:pPr>
    <w:r>
      <w:rPr>
        <w:noProof/>
        <w:color w:val="000000"/>
      </w:rPr>
      <mc:AlternateContent>
        <mc:Choice Requires="wps">
          <w:drawing>
            <wp:anchor distT="0" distB="0" distL="0" distR="0" simplePos="0" relativeHeight="251662336" behindDoc="0" locked="0" layoutInCell="1" hidden="0" allowOverlap="1" wp14:anchorId="47C4024F" wp14:editId="45995AF4">
              <wp:simplePos x="0" y="0"/>
              <wp:positionH relativeFrom="page">
                <wp:align>center</wp:align>
              </wp:positionH>
              <wp:positionV relativeFrom="page">
                <wp:align>top</wp:align>
              </wp:positionV>
              <wp:extent cx="631825" cy="386080"/>
              <wp:effectExtent l="0" t="0" r="0" b="0"/>
              <wp:wrapNone/>
              <wp:docPr id="12" name="Rectangle 12" descr="OFFICIAL"/>
              <wp:cNvGraphicFramePr/>
              <a:graphic xmlns:a="http://schemas.openxmlformats.org/drawingml/2006/main">
                <a:graphicData uri="http://schemas.microsoft.com/office/word/2010/wordprocessingShape">
                  <wps:wsp>
                    <wps:cNvSpPr/>
                    <wps:spPr>
                      <a:xfrm>
                        <a:off x="5034850" y="3591723"/>
                        <a:ext cx="622300" cy="376555"/>
                      </a:xfrm>
                      <a:prstGeom prst="rect">
                        <a:avLst/>
                      </a:prstGeom>
                      <a:noFill/>
                      <a:ln>
                        <a:noFill/>
                      </a:ln>
                    </wps:spPr>
                    <wps:txbx>
                      <w:txbxContent>
                        <w:p w14:paraId="55AB07BB" w14:textId="77777777" w:rsidR="00E65DEE" w:rsidRDefault="00000000">
                          <w:pPr>
                            <w:textDirection w:val="btLr"/>
                          </w:pPr>
                          <w:r>
                            <w:rPr>
                              <w:color w:val="FF0000"/>
                            </w:rPr>
                            <w:t>OFFICIAL</w:t>
                          </w:r>
                        </w:p>
                      </w:txbxContent>
                    </wps:txbx>
                    <wps:bodyPr spcFirstLastPara="1" wrap="square" lIns="0" tIns="190500" rIns="0" bIns="0" anchor="t" anchorCtr="0">
                      <a:noAutofit/>
                    </wps:bodyPr>
                  </wps:wsp>
                </a:graphicData>
              </a:graphic>
            </wp:anchor>
          </w:drawing>
        </mc:Choice>
        <mc:Fallback>
          <w:pict>
            <v:rect w14:anchorId="47C4024F" id="Rectangle 12" o:spid="_x0000_s1034" alt="OFFICIAL" style="position:absolute;margin-left:0;margin-top:0;width:49.75pt;height:30.4pt;z-index:251662336;visibility:visible;mso-wrap-style:squar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" filled="f" stroked="f">
              <v:textbox inset="0,15pt,0,0">
                <w:txbxContent>
                  <w:p w14:paraId="55AB07BB" w14:textId="77777777" w:rsidR="00E65DEE" w:rsidRDefault="00000000">
                    <w:pPr>
                      <w:textDirection w:val="btLr"/>
                    </w:pPr>
                    <w:r>
                      <w:rPr>
                        <w:color w:val="FF0000"/>
                      </w:rPr>
                      <w:t>OFFICIAL</w:t>
                    </w:r>
                  </w:p>
                </w:txbxContent>
              </v:textbox>
              <w10:wrap anchorx="page" anchory="page"/>
            </v:rect>
          </w:pict>
        </mc:Fallback>
      </mc:AlternateContent>
    </w:r>
    <w:r>
      <w:rPr>
        <w:noProof/>
        <w:color w:val="000000"/>
      </w:rPr>
      <mc:AlternateContent>
        <mc:Choice Requires="wps">
          <w:drawing>
            <wp:anchor distT="0" distB="0" distL="0" distR="0" simplePos="0" relativeHeight="251663360" behindDoc="0" locked="0" layoutInCell="1" hidden="0" allowOverlap="1" wp14:anchorId="27431CB5" wp14:editId="54B10BF7">
              <wp:simplePos x="0" y="0"/>
              <wp:positionH relativeFrom="page">
                <wp:align>center</wp:align>
              </wp:positionH>
              <wp:positionV relativeFrom="page">
                <wp:align>top</wp:align>
              </wp:positionV>
              <wp:extent cx="631825" cy="386080"/>
              <wp:effectExtent l="0" t="0" r="0" b="0"/>
              <wp:wrapNone/>
              <wp:docPr id="7" name="Rectangle 7" descr="OFFICIAL"/>
              <wp:cNvGraphicFramePr/>
              <a:graphic xmlns:a="http://schemas.openxmlformats.org/drawingml/2006/main">
                <a:graphicData uri="http://schemas.microsoft.com/office/word/2010/wordprocessingShape">
                  <wps:wsp>
                    <wps:cNvSpPr/>
                    <wps:spPr>
                      <a:xfrm>
                        <a:off x="5034850" y="3591723"/>
                        <a:ext cx="622300" cy="376555"/>
                      </a:xfrm>
                      <a:prstGeom prst="rect">
                        <a:avLst/>
                      </a:prstGeom>
                      <a:noFill/>
                      <a:ln>
                        <a:noFill/>
                      </a:ln>
                    </wps:spPr>
                    <wps:txbx>
                      <w:txbxContent>
                        <w:p w14:paraId="4BFE0F2D" w14:textId="77777777" w:rsidR="00E65DEE" w:rsidRDefault="00000000">
                          <w:pPr>
                            <w:textDirection w:val="btLr"/>
                          </w:pPr>
                          <w:r>
                            <w:rPr>
                              <w:color w:val="FF0000"/>
                            </w:rPr>
                            <w:t>OFFICIAL</w:t>
                          </w:r>
                        </w:p>
                      </w:txbxContent>
                    </wps:txbx>
                    <wps:bodyPr spcFirstLastPara="1" wrap="square" lIns="0" tIns="190500" rIns="0" bIns="0" anchor="t" anchorCtr="0">
                      <a:noAutofit/>
                    </wps:bodyPr>
                  </wps:wsp>
                </a:graphicData>
              </a:graphic>
            </wp:anchor>
          </w:drawing>
        </mc:Choice>
        <mc:Fallback>
          <w:pict>
            <v:rect w14:anchorId="27431CB5" id="Rectangle 7" o:spid="_x0000_s1035" alt="OFFICIAL" style="position:absolute;margin-left:0;margin-top:0;width:49.75pt;height:30.4pt;z-index:251663360;visibility:visible;mso-wrap-style:squar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" filled="f" stroked="f">
              <v:textbox inset="0,15pt,0,0">
                <w:txbxContent>
                  <w:p w14:paraId="4BFE0F2D" w14:textId="77777777" w:rsidR="00E65DEE" w:rsidRDefault="00000000">
                    <w:pPr>
                      <w:textDirection w:val="btLr"/>
                    </w:pPr>
                    <w:r>
                      <w:rPr>
                        <w:color w:val="FF0000"/>
                      </w:rPr>
                      <w:t>OFFICIAL</w:t>
                    </w:r>
                  </w:p>
                </w:txbxContent>
              </v:textbox>
              <w10:wrap anchorx="page" anchory="page"/>
            </v:rect>
          </w:pict>
        </mc:Fallback>
      </mc:AlternateContent>
    </w:r>
    <w:r>
      <w:rPr>
        <w:noProof/>
        <w:color w:val="000000"/>
      </w:rPr>
      <mc:AlternateContent>
        <mc:Choice Requires="wps">
          <w:drawing>
            <wp:anchor distT="0" distB="0" distL="0" distR="0" simplePos="0" relativeHeight="251664384" behindDoc="0" locked="0" layoutInCell="1" hidden="0" allowOverlap="1" wp14:anchorId="2724F61F" wp14:editId="5002D29C">
              <wp:simplePos x="0" y="0"/>
              <wp:positionH relativeFrom="page">
                <wp:align>center</wp:align>
              </wp:positionH>
              <wp:positionV relativeFrom="page">
                <wp:align>top</wp:align>
              </wp:positionV>
              <wp:extent cx="631825" cy="386080"/>
              <wp:effectExtent l="0" t="0" r="0" b="0"/>
              <wp:wrapNone/>
              <wp:docPr id="4" name="Rectangle 4" descr="OFFICIAL"/>
              <wp:cNvGraphicFramePr/>
              <a:graphic xmlns:a="http://schemas.openxmlformats.org/drawingml/2006/main">
                <a:graphicData uri="http://schemas.microsoft.com/office/word/2010/wordprocessingShape">
                  <wps:wsp>
                    <wps:cNvSpPr/>
                    <wps:spPr>
                      <a:xfrm>
                        <a:off x="5034850" y="3591723"/>
                        <a:ext cx="622300" cy="376555"/>
                      </a:xfrm>
                      <a:prstGeom prst="rect">
                        <a:avLst/>
                      </a:prstGeom>
                      <a:noFill/>
                      <a:ln>
                        <a:noFill/>
                      </a:ln>
                    </wps:spPr>
                    <wps:txbx>
                      <w:txbxContent>
                        <w:p w14:paraId="484BCB38" w14:textId="77777777" w:rsidR="00E65DEE" w:rsidRDefault="00000000">
                          <w:pPr>
                            <w:textDirection w:val="btLr"/>
                          </w:pPr>
                          <w:r>
                            <w:rPr>
                              <w:color w:val="FF0000"/>
                            </w:rPr>
                            <w:t>OFFICIAL</w:t>
                          </w:r>
                        </w:p>
                      </w:txbxContent>
                    </wps:txbx>
                    <wps:bodyPr spcFirstLastPara="1" wrap="square" lIns="0" tIns="190500" rIns="0" bIns="0" anchor="t" anchorCtr="0">
                      <a:noAutofit/>
                    </wps:bodyPr>
                  </wps:wsp>
                </a:graphicData>
              </a:graphic>
            </wp:anchor>
          </w:drawing>
        </mc:Choice>
        <mc:Fallback>
          <w:pict>
            <v:rect w14:anchorId="2724F61F" id="Rectangle 4" o:spid="_x0000_s1036" alt="OFFICIAL" style="position:absolute;margin-left:0;margin-top:0;width:49.75pt;height:30.4pt;z-index:251664384;visibility:visible;mso-wrap-style:squar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" filled="f" stroked="f">
              <v:textbox inset="0,15pt,0,0">
                <w:txbxContent>
                  <w:p w14:paraId="484BCB38" w14:textId="77777777" w:rsidR="00E65DEE" w:rsidRDefault="00000000">
                    <w:pPr>
                      <w:textDirection w:val="btLr"/>
                    </w:pPr>
                    <w:r>
                      <w:rPr>
                        <w:color w:val="FF0000"/>
                      </w:rPr>
                      <w:t>OFFICIAL</w:t>
                    </w:r>
                  </w:p>
                </w:txbxContent>
              </v:textbox>
              <w10:wrap anchorx="page" anchory="page"/>
            </v:rect>
          </w:pict>
        </mc:Fallback>
      </mc:AlternateContent>
    </w:r>
    <w:r>
      <w:rPr>
        <w:noProof/>
        <w:color w:val="000000"/>
      </w:rPr>
      <mc:AlternateContent>
        <mc:Choice Requires="wps">
          <w:drawing>
            <wp:anchor distT="0" distB="0" distL="0" distR="0" simplePos="0" relativeHeight="251665408" behindDoc="0" locked="0" layoutInCell="1" hidden="0" allowOverlap="1" wp14:anchorId="1756923A" wp14:editId="6F346F98">
              <wp:simplePos x="0" y="0"/>
              <wp:positionH relativeFrom="page">
                <wp:align>center</wp:align>
              </wp:positionH>
              <wp:positionV relativeFrom="page">
                <wp:align>top</wp:align>
              </wp:positionV>
              <wp:extent cx="631825" cy="386080"/>
              <wp:effectExtent l="0" t="0" r="0" b="0"/>
              <wp:wrapNone/>
              <wp:docPr id="2" name="Rectangle 2" descr="OFFICIAL"/>
              <wp:cNvGraphicFramePr/>
              <a:graphic xmlns:a="http://schemas.openxmlformats.org/drawingml/2006/main">
                <a:graphicData uri="http://schemas.microsoft.com/office/word/2010/wordprocessingShape">
                  <wps:wsp>
                    <wps:cNvSpPr/>
                    <wps:spPr>
                      <a:xfrm>
                        <a:off x="5034850" y="3591723"/>
                        <a:ext cx="622300" cy="376555"/>
                      </a:xfrm>
                      <a:prstGeom prst="rect">
                        <a:avLst/>
                      </a:prstGeom>
                      <a:noFill/>
                      <a:ln>
                        <a:noFill/>
                      </a:ln>
                    </wps:spPr>
                    <wps:txbx>
                      <w:txbxContent>
                        <w:p w14:paraId="463E474C" w14:textId="77777777" w:rsidR="00E65DEE" w:rsidRDefault="00000000">
                          <w:pPr>
                            <w:textDirection w:val="btLr"/>
                          </w:pPr>
                          <w:r>
                            <w:rPr>
                              <w:color w:val="FF0000"/>
                            </w:rPr>
                            <w:t>OFFICIAL</w:t>
                          </w:r>
                        </w:p>
                      </w:txbxContent>
                    </wps:txbx>
                    <wps:bodyPr spcFirstLastPara="1" wrap="square" lIns="0" tIns="190500" rIns="0" bIns="0" anchor="t" anchorCtr="0">
                      <a:noAutofit/>
                    </wps:bodyPr>
                  </wps:wsp>
                </a:graphicData>
              </a:graphic>
            </wp:anchor>
          </w:drawing>
        </mc:Choice>
        <mc:Fallback>
          <w:pict>
            <v:rect w14:anchorId="1756923A" id="Rectangle 2" o:spid="_x0000_s1037" alt="OFFICIAL" style="position:absolute;margin-left:0;margin-top:0;width:49.75pt;height:30.4pt;z-index:251665408;visibility:visible;mso-wrap-style:squar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" filled="f" stroked="f">
              <v:textbox inset="0,15pt,0,0">
                <w:txbxContent>
                  <w:p w14:paraId="463E474C" w14:textId="77777777" w:rsidR="00E65DEE" w:rsidRDefault="00000000">
                    <w:pPr>
                      <w:textDirection w:val="btLr"/>
                    </w:pPr>
                    <w:r>
                      <w:rPr>
                        <w:color w:val="FF0000"/>
                      </w:rPr>
                      <w:t>OFFICIAL</w:t>
                    </w:r>
                  </w:p>
                </w:txbxContent>
              </v:textbox>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A5645"/>
    <w:multiLevelType w:val="multilevel"/>
    <w:tmpl w:val="C1DA3E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A273B62"/>
    <w:multiLevelType w:val="multilevel"/>
    <w:tmpl w:val="403EE49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12FB608F"/>
    <w:multiLevelType w:val="multilevel"/>
    <w:tmpl w:val="2B84AC3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 w15:restartNumberingAfterBreak="0">
    <w:nsid w:val="3C431404"/>
    <w:multiLevelType w:val="multilevel"/>
    <w:tmpl w:val="35D6C96E"/>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4" w15:restartNumberingAfterBreak="0">
    <w:nsid w:val="3E1749F6"/>
    <w:multiLevelType w:val="multilevel"/>
    <w:tmpl w:val="658C3E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F1530D8"/>
    <w:multiLevelType w:val="multilevel"/>
    <w:tmpl w:val="37ECB20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C712F4A"/>
    <w:multiLevelType w:val="multilevel"/>
    <w:tmpl w:val="F1329E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5667103">
    <w:abstractNumId w:val="1"/>
  </w:num>
  <w:num w:numId="2" w16cid:durableId="549390551">
    <w:abstractNumId w:val="5"/>
  </w:num>
  <w:num w:numId="3" w16cid:durableId="320282471">
    <w:abstractNumId w:val="3"/>
  </w:num>
  <w:num w:numId="4" w16cid:durableId="1596355631">
    <w:abstractNumId w:val="4"/>
  </w:num>
  <w:num w:numId="5" w16cid:durableId="1062404964">
    <w:abstractNumId w:val="2"/>
  </w:num>
  <w:num w:numId="6" w16cid:durableId="153107362">
    <w:abstractNumId w:val="6"/>
  </w:num>
  <w:num w:numId="7" w16cid:durableId="8010026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5DEE"/>
    <w:rsid w:val="00526744"/>
    <w:rsid w:val="009E5FD0"/>
    <w:rsid w:val="00D30B8B"/>
    <w:rsid w:val="00E65DE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0C02E"/>
  <w15:docId w15:val="{4843C850-C250-4CAA-9DB1-854123AB2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077AA"/>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077AA"/>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077AA"/>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077AA"/>
    </w:rPr>
  </w:style>
  <w:style w:type="paragraph" w:styleId="Heading5">
    <w:name w:val="heading 5"/>
    <w:basedOn w:val="Normal"/>
    <w:next w:val="Normal"/>
    <w:uiPriority w:val="9"/>
    <w:semiHidden/>
    <w:unhideWhenUsed/>
    <w:qFormat/>
    <w:pPr>
      <w:keepNext/>
      <w:keepLines/>
      <w:spacing w:before="80" w:after="40"/>
      <w:outlineLvl w:val="4"/>
    </w:pPr>
    <w:rPr>
      <w:color w:val="0077AA"/>
    </w:rPr>
  </w:style>
  <w:style w:type="paragraph" w:styleId="Heading6">
    <w:name w:val="heading 6"/>
    <w:basedOn w:val="Normal"/>
    <w:next w:val="Normal"/>
    <w:uiPriority w:val="9"/>
    <w:semiHidden/>
    <w:unhideWhenUsed/>
    <w:qFormat/>
    <w:pPr>
      <w:keepNext/>
      <w:keepLines/>
      <w:spacing w:before="4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pPr>
    <w:rPr>
      <w:rFonts w:ascii="Play" w:eastAsia="Play" w:hAnsi="Play" w:cs="Play"/>
      <w:sz w:val="56"/>
      <w:szCs w:val="56"/>
    </w:rPr>
  </w:style>
  <w:style w:type="paragraph" w:styleId="Subtitle">
    <w:name w:val="Subtitle"/>
    <w:basedOn w:val="Normal"/>
    <w:next w:val="Normal"/>
    <w:uiPriority w:val="11"/>
    <w:qFormat/>
    <w:pPr>
      <w:spacing w:after="160"/>
    </w:pPr>
    <w:rPr>
      <w:color w:val="595959"/>
      <w:sz w:val="28"/>
      <w:szCs w:val="28"/>
    </w:rPr>
  </w:style>
  <w:style w:type="paragraph" w:styleId="Footer">
    <w:name w:val="footer"/>
    <w:basedOn w:val="Normal"/>
    <w:link w:val="FooterChar"/>
    <w:uiPriority w:val="99"/>
    <w:unhideWhenUsed/>
    <w:rsid w:val="00526744"/>
    <w:pPr>
      <w:tabs>
        <w:tab w:val="center" w:pos="4513"/>
        <w:tab w:val="right" w:pos="9026"/>
      </w:tabs>
    </w:pPr>
  </w:style>
  <w:style w:type="character" w:customStyle="1" w:styleId="FooterChar">
    <w:name w:val="Footer Char"/>
    <w:basedOn w:val="DefaultParagraphFont"/>
    <w:link w:val="Footer"/>
    <w:uiPriority w:val="99"/>
    <w:rsid w:val="005267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getintostem.edu.au/" TargetMode="External"/><Relationship Id="rId13" Type="http://schemas.openxmlformats.org/officeDocument/2006/relationships/hyperlink" Target="https://www.atse.org.au/what-we-do/pathways-into-through-stem/elevate/" TargetMode="External"/><Relationship Id="rId18" Type="http://schemas.openxmlformats.org/officeDocument/2006/relationships/hyperlink" Target="https://infogram.com/1pp92rnk32291gfrwnjd0r21d3uzz2167r0"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youtube.com/watch?v=mgD9OffCCk4" TargetMode="External"/><Relationship Id="rId17" Type="http://schemas.openxmlformats.org/officeDocument/2006/relationships/hyperlink" Target="https://content.legislation.vic.gov.au/sites/default/files/2020-02/20-005aa%20authorised.pdf"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genderequalitycommission.vic.gov.au/gender-impact-assessment-toolkit-and-templates" TargetMode="External"/><Relationship Id="rId20" Type="http://schemas.openxmlformats.org/officeDocument/2006/relationships/hyperlink" Target="https://www.hume.vic.gov.au/files/sharedassets/public/your-council/policies-and-report/council-policies/hume-health-wellbeing-plan-2021-2025.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dlguidelines.cast.org/"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industry.gov.au/publications/stem-equity-monitor" TargetMode="External"/><Relationship Id="rId23" Type="http://schemas.openxmlformats.org/officeDocument/2006/relationships/header" Target="header3.xml"/><Relationship Id="rId10" Type="http://schemas.openxmlformats.org/officeDocument/2006/relationships/hyperlink" Target="https://www.8ways.online/about" TargetMode="External"/><Relationship Id="rId19" Type="http://schemas.openxmlformats.org/officeDocument/2006/relationships/hyperlink" Target="https://profile.id.com.au/hume/about" TargetMode="External"/><Relationship Id="rId4" Type="http://schemas.openxmlformats.org/officeDocument/2006/relationships/settings" Target="settings.xml"/><Relationship Id="rId9" Type="http://schemas.openxmlformats.org/officeDocument/2006/relationships/hyperlink" Target="https://deadlyscience.org.au/programs/" TargetMode="External"/><Relationship Id="rId14" Type="http://schemas.openxmlformats.org/officeDocument/2006/relationships/hyperlink" Target="https://www.atse.org.au/what-we-do/pathways-into-through-stem/diversity-inclusion-toolkit/" TargetMode="External"/><Relationship Id="rId22"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prgyU9FDfFxkMK+JnO/prDT9/w==">CgMxLjA4AHIhMXU5SlRUM2Q2UFlXUERKSVVxV044YndxOWNYenJMekhN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2748</Words>
  <Characters>17426</Characters>
  <Application>Microsoft Office Word</Application>
  <DocSecurity>0</DocSecurity>
  <Lines>446</Lines>
  <Paragraphs>155</Paragraphs>
  <ScaleCrop>false</ScaleCrop>
  <Company/>
  <LinksUpToDate>false</LinksUpToDate>
  <CharactersWithSpaces>20019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Kylie Geard</cp:lastModifiedBy>
  <cp:revision>2</cp:revision>
  <dcterms:created xsi:type="dcterms:W3CDTF">2026-08-07T03:51:00Z</dcterms:created>
  <dcterms:modified xsi:type="dcterms:W3CDTF">2026-08-07T03:53:00Z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232873a0,659ce7fe,754be65e</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MSIP_Label_af2c37eb-6316-4425-a693-0f2d1c6408d2_Enabled">
    <vt:lpwstr>true</vt:lpwstr>
  </property>
  <property fmtid="{D5CDD505-2E9C-101B-9397-08002B2CF9AE}" pid="6" name="MSIP_Label_af2c37eb-6316-4425-a693-0f2d1c6408d2_SetDate">
    <vt:lpwstr>2026-06-15T04:48:15Z</vt:lpwstr>
  </property>
  <property fmtid="{D5CDD505-2E9C-101B-9397-08002B2CF9AE}" pid="7" name="MSIP_Label_af2c37eb-6316-4425-a693-0f2d1c6408d2_Method">
    <vt:lpwstr>Privileged</vt:lpwstr>
  </property>
  <property fmtid="{D5CDD505-2E9C-101B-9397-08002B2CF9AE}" pid="8" name="MSIP_Label_af2c37eb-6316-4425-a693-0f2d1c6408d2_Name">
    <vt:lpwstr>BIL1 - Official</vt:lpwstr>
  </property>
  <property fmtid="{D5CDD505-2E9C-101B-9397-08002B2CF9AE}" pid="9" name="MSIP_Label_af2c37eb-6316-4425-a693-0f2d1c6408d2_SiteId">
    <vt:lpwstr>de0d62ec-e9af-4bee-83f5-f96b295e3fb3</vt:lpwstr>
  </property>
  <property fmtid="{D5CDD505-2E9C-101B-9397-08002B2CF9AE}" pid="10" name="MSIP_Label_af2c37eb-6316-4425-a693-0f2d1c6408d2_ActionId">
    <vt:lpwstr>d63f7d31-4dca-4673-bc4f-6ec46b90f729</vt:lpwstr>
  </property>
  <property fmtid="{D5CDD505-2E9C-101B-9397-08002B2CF9AE}" pid="11" name="MSIP_Label_af2c37eb-6316-4425-a693-0f2d1c6408d2_ContentBits">
    <vt:lpwstr>1</vt:lpwstr>
  </property>
  <property fmtid="{D5CDD505-2E9C-101B-9397-08002B2CF9AE}" pid="12" name="MSIP_Label_af2c37eb-6316-4425-a693-0f2d1c6408d2_Tag">
    <vt:lpwstr>10, 0, 1, 1</vt:lpwstr>
  </property>
  <property fmtid="{D5CDD505-2E9C-101B-9397-08002B2CF9AE}" pid="13" name="ContentTypeId">
    <vt:lpwstr>0x010100123A4FAF3B1ACC4D9D56D51844743B2F</vt:lpwstr>
  </property>
  <property fmtid="{D5CDD505-2E9C-101B-9397-08002B2CF9AE}" pid="14" name="MediaServiceImageTags">
    <vt:lpwstr>MediaServiceImageTags</vt:lpwstr>
  </property>
  <property fmtid="{D5CDD505-2E9C-101B-9397-08002B2CF9AE}" pid="15" name="RevIMBCS">
    <vt:lpwstr>19;#Corporate Records|2c702203-4f28-4769-bfc5-dad5ef3425c7</vt:lpwstr>
  </property>
</Properties>
</file>