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3AD94" w14:textId="77777777" w:rsidR="00796E9B" w:rsidRPr="00796E9B" w:rsidRDefault="00A40EE7" w:rsidP="00796E9B">
      <w:pPr>
        <w:pStyle w:val="Heading1"/>
        <w:spacing w:before="0" w:after="0"/>
        <w:rPr>
          <w:b/>
          <w:bCs/>
        </w:rPr>
      </w:pPr>
      <w:r w:rsidRPr="00796E9B">
        <w:rPr>
          <w:b/>
          <w:bCs/>
        </w:rPr>
        <w:t xml:space="preserve">Presentation </w:t>
      </w:r>
      <w:r w:rsidR="00EE1207" w:rsidRPr="00796E9B">
        <w:rPr>
          <w:b/>
          <w:bCs/>
        </w:rPr>
        <w:t>Handout</w:t>
      </w:r>
      <w:r w:rsidRPr="00796E9B">
        <w:rPr>
          <w:b/>
          <w:bCs/>
        </w:rPr>
        <w:br/>
      </w:r>
      <w:r w:rsidR="00796E9B" w:rsidRPr="00796E9B">
        <w:rPr>
          <w:b/>
          <w:bCs/>
        </w:rPr>
        <w:t xml:space="preserve">UDL Aligned, </w:t>
      </w:r>
      <w:proofErr w:type="spellStart"/>
      <w:r w:rsidR="00796E9B" w:rsidRPr="00796E9B">
        <w:rPr>
          <w:b/>
          <w:bCs/>
        </w:rPr>
        <w:t>ASQA</w:t>
      </w:r>
      <w:proofErr w:type="spellEnd"/>
      <w:r w:rsidR="00796E9B" w:rsidRPr="00796E9B">
        <w:rPr>
          <w:b/>
          <w:bCs/>
        </w:rPr>
        <w:t xml:space="preserve"> Compliant VET Assessment Practice</w:t>
      </w:r>
    </w:p>
    <w:p w14:paraId="6FC7B031" w14:textId="7856742C" w:rsidR="00EE1207" w:rsidRPr="00796E9B" w:rsidRDefault="00EE1207" w:rsidP="00796E9B">
      <w:pPr>
        <w:pStyle w:val="Heading1"/>
        <w:spacing w:before="0" w:after="240"/>
        <w:rPr>
          <w:b/>
          <w:bCs/>
        </w:rPr>
      </w:pPr>
      <w:r w:rsidRPr="00796E9B">
        <w:rPr>
          <w:rStyle w:val="Heading2Char"/>
          <w:b/>
          <w:bCs/>
          <w:sz w:val="40"/>
          <w:szCs w:val="40"/>
        </w:rPr>
        <w:t>UDL VET Assessment Community of Practice (CoP)</w:t>
      </w:r>
      <w:r w:rsidRPr="00796E9B">
        <w:rPr>
          <w:rStyle w:val="Heading2Char"/>
          <w:b/>
          <w:bCs/>
          <w:sz w:val="40"/>
          <w:szCs w:val="40"/>
        </w:rPr>
        <w:br/>
      </w:r>
      <w:r w:rsidR="00901788" w:rsidRPr="00796E9B">
        <w:rPr>
          <w:b/>
          <w:bCs/>
          <w:sz w:val="28"/>
          <w:szCs w:val="28"/>
        </w:rPr>
        <w:t xml:space="preserve">Facilitators: </w:t>
      </w:r>
      <w:r w:rsidRPr="00796E9B">
        <w:rPr>
          <w:b/>
          <w:bCs/>
          <w:sz w:val="28"/>
          <w:szCs w:val="28"/>
        </w:rPr>
        <w:t>Trina Bianchini (TAFE SA) &amp; Jen Cousins (Positive Partnerships)</w:t>
      </w:r>
    </w:p>
    <w:p w14:paraId="0962E235" w14:textId="78E356DD" w:rsidR="00EE1207" w:rsidRPr="00EE1207" w:rsidRDefault="00EE1207" w:rsidP="00EE1207">
      <w:p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Universal Design for Learning (UDL) can be embedded into VET/ACE assessment while remaining aligned with ASQA Standards (2025).</w:t>
      </w:r>
      <w:r w:rsidR="006A04EE" w:rsidRPr="006A04EE">
        <w:t xml:space="preserve"> </w:t>
      </w:r>
      <w:r w:rsidR="006A04EE" w:rsidRPr="006A04EE">
        <w:rPr>
          <w:rFonts w:ascii="Century Gothic" w:hAnsi="Century Gothic"/>
        </w:rPr>
        <w:t xml:space="preserve">The CoP focuses on exploring ways </w:t>
      </w:r>
      <w:r w:rsidR="006A04EE">
        <w:rPr>
          <w:rFonts w:ascii="Century Gothic" w:hAnsi="Century Gothic"/>
        </w:rPr>
        <w:t>in which</w:t>
      </w:r>
      <w:r w:rsidR="006A04EE" w:rsidRPr="006A04EE">
        <w:rPr>
          <w:rFonts w:ascii="Century Gothic" w:hAnsi="Century Gothic"/>
        </w:rPr>
        <w:t xml:space="preserve"> </w:t>
      </w:r>
      <w:r w:rsidR="006A04EE" w:rsidRPr="006A04EE">
        <w:rPr>
          <w:rFonts w:ascii="Century Gothic" w:hAnsi="Century Gothic"/>
          <w:lang w:eastAsia="en-AU"/>
        </w:rPr>
        <w:t xml:space="preserve">UDL </w:t>
      </w:r>
      <w:r w:rsidR="006A04EE">
        <w:rPr>
          <w:rFonts w:ascii="Century Gothic" w:hAnsi="Century Gothic"/>
          <w:lang w:eastAsia="en-AU"/>
        </w:rPr>
        <w:t xml:space="preserve">can drive </w:t>
      </w:r>
      <w:r w:rsidR="006A04EE" w:rsidRPr="006A04EE">
        <w:rPr>
          <w:rFonts w:ascii="Century Gothic" w:hAnsi="Century Gothic"/>
          <w:lang w:eastAsia="en-AU"/>
        </w:rPr>
        <w:t>both formative and summative assessment without compromising competency requirements.</w:t>
      </w:r>
    </w:p>
    <w:p w14:paraId="2D646F33" w14:textId="77777777" w:rsidR="00EE1207" w:rsidRPr="00EE1207" w:rsidRDefault="00EE1207" w:rsidP="00EE1207">
      <w:pPr>
        <w:pStyle w:val="Heading2"/>
        <w:rPr>
          <w:lang w:eastAsia="en-AU"/>
        </w:rPr>
      </w:pPr>
      <w:r w:rsidRPr="00EE1207">
        <w:rPr>
          <w:lang w:eastAsia="en-AU"/>
        </w:rPr>
        <w:t>Why This Work Matters</w:t>
      </w:r>
    </w:p>
    <w:p w14:paraId="14237673" w14:textId="11E6E6C1" w:rsidR="00EE1207" w:rsidRPr="006A04EE" w:rsidRDefault="00EE1207" w:rsidP="00EE1207">
      <w:pPr>
        <w:pStyle w:val="ListParagraph"/>
        <w:numPr>
          <w:ilvl w:val="0"/>
          <w:numId w:val="15"/>
        </w:numPr>
        <w:rPr>
          <w:rFonts w:ascii="Century Gothic" w:hAnsi="Century Gothic"/>
          <w:lang w:eastAsia="en-AU"/>
        </w:rPr>
      </w:pPr>
      <w:r w:rsidRPr="006A04EE">
        <w:rPr>
          <w:rFonts w:ascii="Century Gothic" w:hAnsi="Century Gothic"/>
          <w:lang w:eastAsia="en-AU"/>
        </w:rPr>
        <w:t>UDL is widely used in learning and formative assessment</w:t>
      </w:r>
      <w:r w:rsidR="006A04EE" w:rsidRPr="006A04EE">
        <w:rPr>
          <w:rFonts w:ascii="Century Gothic" w:hAnsi="Century Gothic"/>
          <w:lang w:eastAsia="en-AU"/>
        </w:rPr>
        <w:t xml:space="preserve"> but there is minimal </w:t>
      </w:r>
      <w:r w:rsidRPr="006A04EE">
        <w:rPr>
          <w:rFonts w:ascii="Century Gothic" w:hAnsi="Century Gothic"/>
          <w:lang w:eastAsia="en-AU"/>
        </w:rPr>
        <w:t>adoption in summative assessment</w:t>
      </w:r>
    </w:p>
    <w:p w14:paraId="61FBF58A" w14:textId="77777777" w:rsidR="006A04EE" w:rsidRDefault="00EE1207" w:rsidP="00EE1207">
      <w:pPr>
        <w:pStyle w:val="ListParagraph"/>
        <w:numPr>
          <w:ilvl w:val="0"/>
          <w:numId w:val="15"/>
        </w:numPr>
        <w:rPr>
          <w:rFonts w:ascii="Century Gothic" w:hAnsi="Century Gothic"/>
          <w:lang w:eastAsia="en-AU"/>
        </w:rPr>
      </w:pPr>
      <w:r w:rsidRPr="006A04EE">
        <w:rPr>
          <w:rFonts w:ascii="Century Gothic" w:hAnsi="Century Gothic"/>
          <w:lang w:eastAsia="en-AU"/>
        </w:rPr>
        <w:t xml:space="preserve">Traditional </w:t>
      </w:r>
      <w:r w:rsidR="006A04EE" w:rsidRPr="006A04EE">
        <w:rPr>
          <w:rFonts w:ascii="Century Gothic" w:hAnsi="Century Gothic"/>
          <w:lang w:eastAsia="en-AU"/>
        </w:rPr>
        <w:t xml:space="preserve">assessment </w:t>
      </w:r>
      <w:r w:rsidRPr="006A04EE">
        <w:rPr>
          <w:rFonts w:ascii="Century Gothic" w:hAnsi="Century Gothic"/>
          <w:lang w:eastAsia="en-AU"/>
        </w:rPr>
        <w:t>approaches often</w:t>
      </w:r>
      <w:r w:rsidR="006A04EE" w:rsidRPr="006A04EE">
        <w:rPr>
          <w:rFonts w:ascii="Century Gothic" w:hAnsi="Century Gothic"/>
          <w:lang w:eastAsia="en-AU"/>
        </w:rPr>
        <w:t xml:space="preserve"> l</w:t>
      </w:r>
      <w:r w:rsidRPr="006A04EE">
        <w:rPr>
          <w:rFonts w:ascii="Century Gothic" w:hAnsi="Century Gothic"/>
          <w:lang w:eastAsia="en-AU"/>
        </w:rPr>
        <w:t xml:space="preserve">imit </w:t>
      </w:r>
      <w:r w:rsidR="006A04EE" w:rsidRPr="006A04EE">
        <w:rPr>
          <w:rFonts w:ascii="Century Gothic" w:hAnsi="Century Gothic"/>
          <w:lang w:eastAsia="en-AU"/>
        </w:rPr>
        <w:t xml:space="preserve">modes and </w:t>
      </w:r>
      <w:r w:rsidRPr="006A04EE">
        <w:rPr>
          <w:rFonts w:ascii="Century Gothic" w:hAnsi="Century Gothic"/>
          <w:lang w:eastAsia="en-AU"/>
        </w:rPr>
        <w:t>methods</w:t>
      </w:r>
      <w:r w:rsidR="006A04EE" w:rsidRPr="006A04EE">
        <w:rPr>
          <w:rFonts w:ascii="Century Gothic" w:hAnsi="Century Gothic"/>
          <w:lang w:eastAsia="en-AU"/>
        </w:rPr>
        <w:t>; and r</w:t>
      </w:r>
      <w:r w:rsidRPr="006A04EE">
        <w:rPr>
          <w:rFonts w:ascii="Century Gothic" w:hAnsi="Century Gothic"/>
          <w:lang w:eastAsia="en-AU"/>
        </w:rPr>
        <w:t>ely on reasonable adjustment rather than inclusive design</w:t>
      </w:r>
      <w:r w:rsidR="006A04EE" w:rsidRPr="006A04EE">
        <w:rPr>
          <w:rFonts w:ascii="Century Gothic" w:hAnsi="Century Gothic"/>
          <w:lang w:eastAsia="en-AU"/>
        </w:rPr>
        <w:t xml:space="preserve"> form the start.</w:t>
      </w:r>
    </w:p>
    <w:p w14:paraId="09615BB0" w14:textId="30D22F68" w:rsidR="00EE1207" w:rsidRPr="006A04EE" w:rsidRDefault="006A04EE" w:rsidP="00EE1207">
      <w:pPr>
        <w:pStyle w:val="ListParagraph"/>
        <w:numPr>
          <w:ilvl w:val="0"/>
          <w:numId w:val="15"/>
        </w:numPr>
        <w:rPr>
          <w:rFonts w:ascii="Century Gothic" w:hAnsi="Century Gothic"/>
          <w:lang w:eastAsia="en-AU"/>
        </w:rPr>
      </w:pPr>
      <w:r>
        <w:rPr>
          <w:rFonts w:ascii="Century Gothic" w:hAnsi="Century Gothic"/>
          <w:lang w:eastAsia="en-AU"/>
        </w:rPr>
        <w:t>Ever in</w:t>
      </w:r>
      <w:r w:rsidR="00EE1207" w:rsidRPr="006A04EE">
        <w:rPr>
          <w:rFonts w:ascii="Century Gothic" w:hAnsi="Century Gothic"/>
          <w:lang w:eastAsia="en-AU"/>
        </w:rPr>
        <w:t>creasing learner diversity requires proactive design approaches</w:t>
      </w:r>
    </w:p>
    <w:p w14:paraId="77071932" w14:textId="77777777" w:rsidR="00EE1207" w:rsidRPr="00EE1207" w:rsidRDefault="00EE1207" w:rsidP="00EE1207">
      <w:pPr>
        <w:pStyle w:val="ListParagraph"/>
        <w:numPr>
          <w:ilvl w:val="0"/>
          <w:numId w:val="15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ASQA Outcome Standard 2 (Student Support) supports this shift</w:t>
      </w:r>
    </w:p>
    <w:p w14:paraId="665E7E16" w14:textId="21EDFE64" w:rsidR="00EE1207" w:rsidRPr="00EE1207" w:rsidRDefault="006A04EE" w:rsidP="00EE1207">
      <w:pPr>
        <w:rPr>
          <w:rFonts w:ascii="Century Gothic" w:hAnsi="Century Gothic"/>
          <w:lang w:eastAsia="en-AU"/>
        </w:rPr>
      </w:pPr>
      <w:r>
        <w:rPr>
          <w:rFonts w:ascii="Century Gothic" w:hAnsi="Century Gothic"/>
          <w:lang w:eastAsia="en-AU"/>
        </w:rPr>
        <w:t>It represents a m</w:t>
      </w:r>
      <w:r w:rsidR="00EE1207" w:rsidRPr="00EE1207">
        <w:rPr>
          <w:rFonts w:ascii="Century Gothic" w:hAnsi="Century Gothic"/>
          <w:lang w:eastAsia="en-AU"/>
        </w:rPr>
        <w:t>ove from adjusting after barriers appear</w:t>
      </w:r>
      <w:r>
        <w:rPr>
          <w:rFonts w:ascii="Century Gothic" w:hAnsi="Century Gothic"/>
          <w:lang w:eastAsia="en-AU"/>
        </w:rPr>
        <w:t xml:space="preserve"> - </w:t>
      </w:r>
      <w:r w:rsidR="00EE1207" w:rsidRPr="00EE1207">
        <w:rPr>
          <w:rFonts w:ascii="Century Gothic" w:hAnsi="Century Gothic"/>
          <w:lang w:eastAsia="en-AU"/>
        </w:rPr>
        <w:t>to designing assessments without barriers from the start</w:t>
      </w:r>
      <w:r>
        <w:rPr>
          <w:rFonts w:ascii="Century Gothic" w:hAnsi="Century Gothic"/>
          <w:lang w:eastAsia="en-AU"/>
        </w:rPr>
        <w:t>!</w:t>
      </w:r>
      <w:r w:rsidR="00EE1207" w:rsidRPr="00EE1207">
        <w:rPr>
          <w:rFonts w:ascii="Century Gothic" w:hAnsi="Century Gothic"/>
          <w:lang w:eastAsia="en-AU"/>
        </w:rPr>
        <w:t xml:space="preserve"> </w:t>
      </w:r>
    </w:p>
    <w:p w14:paraId="7BEA0E99" w14:textId="77777777" w:rsidR="00EE1207" w:rsidRDefault="00EE1207" w:rsidP="006A04EE">
      <w:pPr>
        <w:pStyle w:val="Heading2"/>
      </w:pPr>
      <w:r w:rsidRPr="006A04EE">
        <w:t>About the CoP (Community of Practice)</w:t>
      </w:r>
    </w:p>
    <w:p w14:paraId="5D3EFCBD" w14:textId="77777777" w:rsidR="00EE1207" w:rsidRPr="00EE1207" w:rsidRDefault="00EE1207" w:rsidP="006875D1">
      <w:pPr>
        <w:pStyle w:val="Heading3"/>
        <w:spacing w:before="120"/>
        <w:rPr>
          <w:lang w:eastAsia="en-AU"/>
        </w:rPr>
      </w:pPr>
      <w:r w:rsidRPr="00EE1207">
        <w:rPr>
          <w:lang w:eastAsia="en-AU"/>
        </w:rPr>
        <w:t>Who is involved?</w:t>
      </w:r>
    </w:p>
    <w:p w14:paraId="601D0541" w14:textId="2B8F28B8" w:rsidR="00C332CB" w:rsidRDefault="00C332CB" w:rsidP="00C332CB">
      <w:pPr>
        <w:pStyle w:val="ListParagraph"/>
        <w:numPr>
          <w:ilvl w:val="0"/>
          <w:numId w:val="16"/>
        </w:numPr>
        <w:rPr>
          <w:rFonts w:ascii="Century Gothic" w:hAnsi="Century Gothic"/>
          <w:lang w:eastAsia="en-AU"/>
        </w:rPr>
      </w:pPr>
      <w:r>
        <w:rPr>
          <w:rFonts w:ascii="Century Gothic" w:hAnsi="Century Gothic"/>
          <w:lang w:eastAsia="en-AU"/>
        </w:rPr>
        <w:t>P</w:t>
      </w:r>
      <w:r w:rsidR="00EE1207" w:rsidRPr="00EE1207">
        <w:rPr>
          <w:rFonts w:ascii="Century Gothic" w:hAnsi="Century Gothic"/>
          <w:lang w:eastAsia="en-AU"/>
        </w:rPr>
        <w:t>ublic</w:t>
      </w:r>
      <w:r w:rsidR="001E5038">
        <w:rPr>
          <w:rFonts w:ascii="Century Gothic" w:hAnsi="Century Gothic"/>
          <w:lang w:eastAsia="en-AU"/>
        </w:rPr>
        <w:t xml:space="preserve"> and</w:t>
      </w:r>
      <w:r w:rsidR="00EE1207" w:rsidRPr="00EE1207">
        <w:rPr>
          <w:rFonts w:ascii="Century Gothic" w:hAnsi="Century Gothic"/>
          <w:lang w:eastAsia="en-AU"/>
        </w:rPr>
        <w:t xml:space="preserve"> private, </w:t>
      </w:r>
      <w:r>
        <w:rPr>
          <w:rFonts w:ascii="Century Gothic" w:hAnsi="Century Gothic"/>
          <w:lang w:eastAsia="en-AU"/>
        </w:rPr>
        <w:t xml:space="preserve">large, small and </w:t>
      </w:r>
      <w:r w:rsidR="00EE1207" w:rsidRPr="00EE1207">
        <w:rPr>
          <w:rFonts w:ascii="Century Gothic" w:hAnsi="Century Gothic"/>
          <w:lang w:eastAsia="en-AU"/>
        </w:rPr>
        <w:t xml:space="preserve">boutique </w:t>
      </w:r>
      <w:r>
        <w:rPr>
          <w:rFonts w:ascii="Century Gothic" w:hAnsi="Century Gothic"/>
          <w:lang w:eastAsia="en-AU"/>
        </w:rPr>
        <w:t>RTOs</w:t>
      </w:r>
    </w:p>
    <w:p w14:paraId="4C480548" w14:textId="341D38E9" w:rsidR="00C332CB" w:rsidRPr="00C332CB" w:rsidRDefault="00C332CB" w:rsidP="00C332CB">
      <w:pPr>
        <w:pStyle w:val="ListParagraph"/>
        <w:numPr>
          <w:ilvl w:val="0"/>
          <w:numId w:val="16"/>
        </w:numPr>
        <w:rPr>
          <w:rFonts w:ascii="Century Gothic" w:hAnsi="Century Gothic"/>
          <w:lang w:eastAsia="en-AU"/>
        </w:rPr>
      </w:pPr>
      <w:r w:rsidRPr="00C332CB">
        <w:rPr>
          <w:rFonts w:ascii="Century Gothic" w:hAnsi="Century Gothic"/>
          <w:lang w:eastAsia="en-AU"/>
        </w:rPr>
        <w:t>55+ members across the sector from 29 Organisations</w:t>
      </w:r>
    </w:p>
    <w:p w14:paraId="5438E8D6" w14:textId="77777777" w:rsidR="00EE1207" w:rsidRPr="00EE1207" w:rsidRDefault="00EE1207" w:rsidP="00EE1207">
      <w:pPr>
        <w:pStyle w:val="ListParagraph"/>
        <w:numPr>
          <w:ilvl w:val="0"/>
          <w:numId w:val="16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 xml:space="preserve">Roles include: </w:t>
      </w:r>
    </w:p>
    <w:p w14:paraId="70DCFDF8" w14:textId="77777777" w:rsidR="00C332CB" w:rsidRPr="00C332CB" w:rsidRDefault="00C332CB" w:rsidP="00C332CB">
      <w:pPr>
        <w:pStyle w:val="ListParagraph"/>
        <w:numPr>
          <w:ilvl w:val="1"/>
          <w:numId w:val="16"/>
        </w:numPr>
        <w:rPr>
          <w:rFonts w:ascii="Century Gothic" w:hAnsi="Century Gothic"/>
          <w:lang w:eastAsia="en-AU"/>
        </w:rPr>
      </w:pPr>
      <w:r w:rsidRPr="00C332CB">
        <w:rPr>
          <w:rFonts w:ascii="Century Gothic" w:hAnsi="Century Gothic"/>
          <w:lang w:eastAsia="en-AU"/>
        </w:rPr>
        <w:t xml:space="preserve">Trainers and Assessors/Lecturers </w:t>
      </w:r>
    </w:p>
    <w:p w14:paraId="69081132" w14:textId="77777777" w:rsidR="00C332CB" w:rsidRPr="00C332CB" w:rsidRDefault="00C332CB" w:rsidP="00C332CB">
      <w:pPr>
        <w:pStyle w:val="ListParagraph"/>
        <w:numPr>
          <w:ilvl w:val="1"/>
          <w:numId w:val="16"/>
        </w:numPr>
        <w:rPr>
          <w:rFonts w:ascii="Century Gothic" w:hAnsi="Century Gothic"/>
          <w:lang w:eastAsia="en-AU"/>
        </w:rPr>
      </w:pPr>
      <w:r w:rsidRPr="00C332CB">
        <w:rPr>
          <w:rFonts w:ascii="Century Gothic" w:hAnsi="Century Gothic"/>
          <w:lang w:eastAsia="en-AU"/>
        </w:rPr>
        <w:t>Teaching and Learning Specialists</w:t>
      </w:r>
    </w:p>
    <w:p w14:paraId="75889FF9" w14:textId="77777777" w:rsidR="00C332CB" w:rsidRPr="00C332CB" w:rsidRDefault="00C332CB" w:rsidP="00C332CB">
      <w:pPr>
        <w:pStyle w:val="ListParagraph"/>
        <w:numPr>
          <w:ilvl w:val="1"/>
          <w:numId w:val="16"/>
        </w:numPr>
        <w:rPr>
          <w:rFonts w:ascii="Century Gothic" w:hAnsi="Century Gothic"/>
          <w:lang w:eastAsia="en-AU"/>
        </w:rPr>
      </w:pPr>
      <w:r w:rsidRPr="00C332CB">
        <w:rPr>
          <w:rFonts w:ascii="Century Gothic" w:hAnsi="Century Gothic"/>
          <w:lang w:eastAsia="en-AU"/>
        </w:rPr>
        <w:t>Learning Designers</w:t>
      </w:r>
    </w:p>
    <w:p w14:paraId="156E1A7B" w14:textId="77777777" w:rsidR="00C332CB" w:rsidRPr="00C332CB" w:rsidRDefault="00C332CB" w:rsidP="00C332CB">
      <w:pPr>
        <w:pStyle w:val="ListParagraph"/>
        <w:numPr>
          <w:ilvl w:val="1"/>
          <w:numId w:val="16"/>
        </w:numPr>
        <w:rPr>
          <w:rFonts w:ascii="Century Gothic" w:hAnsi="Century Gothic"/>
          <w:lang w:eastAsia="en-AU"/>
        </w:rPr>
      </w:pPr>
      <w:r w:rsidRPr="00C332CB">
        <w:rPr>
          <w:rFonts w:ascii="Century Gothic" w:hAnsi="Century Gothic"/>
          <w:lang w:eastAsia="en-AU"/>
        </w:rPr>
        <w:t>Educator Capability</w:t>
      </w:r>
    </w:p>
    <w:p w14:paraId="3BFAA073" w14:textId="77777777" w:rsidR="00C332CB" w:rsidRPr="00C332CB" w:rsidRDefault="00C332CB" w:rsidP="00C332CB">
      <w:pPr>
        <w:pStyle w:val="ListParagraph"/>
        <w:numPr>
          <w:ilvl w:val="1"/>
          <w:numId w:val="16"/>
        </w:numPr>
        <w:rPr>
          <w:rFonts w:ascii="Century Gothic" w:hAnsi="Century Gothic"/>
          <w:lang w:eastAsia="en-AU"/>
        </w:rPr>
      </w:pPr>
      <w:r w:rsidRPr="00C332CB">
        <w:rPr>
          <w:rFonts w:ascii="Century Gothic" w:hAnsi="Century Gothic"/>
          <w:lang w:eastAsia="en-AU"/>
        </w:rPr>
        <w:t>Inclusion Advisors/Managers</w:t>
      </w:r>
    </w:p>
    <w:p w14:paraId="34436E6D" w14:textId="77777777" w:rsidR="00C332CB" w:rsidRPr="00C332CB" w:rsidRDefault="00C332CB" w:rsidP="00C332CB">
      <w:pPr>
        <w:pStyle w:val="ListParagraph"/>
        <w:numPr>
          <w:ilvl w:val="1"/>
          <w:numId w:val="16"/>
        </w:numPr>
        <w:rPr>
          <w:rFonts w:ascii="Century Gothic" w:hAnsi="Century Gothic"/>
          <w:lang w:eastAsia="en-AU"/>
        </w:rPr>
      </w:pPr>
      <w:r w:rsidRPr="00C332CB">
        <w:rPr>
          <w:rFonts w:ascii="Century Gothic" w:hAnsi="Century Gothic"/>
          <w:lang w:eastAsia="en-AU"/>
        </w:rPr>
        <w:t>Student Support</w:t>
      </w:r>
    </w:p>
    <w:p w14:paraId="6E95E0BD" w14:textId="77777777" w:rsidR="00EE1207" w:rsidRDefault="00EE1207" w:rsidP="00EE1207">
      <w:pPr>
        <w:pStyle w:val="Heading3"/>
        <w:rPr>
          <w:lang w:eastAsia="en-AU"/>
        </w:rPr>
      </w:pPr>
      <w:r>
        <w:rPr>
          <w:lang w:eastAsia="en-AU"/>
        </w:rPr>
        <w:t xml:space="preserve">How It Works </w:t>
      </w:r>
    </w:p>
    <w:p w14:paraId="3EB209C3" w14:textId="5C2ABCB2" w:rsidR="00EE1207" w:rsidRPr="00EE1207" w:rsidRDefault="00EE1207" w:rsidP="00EE1207">
      <w:pPr>
        <w:pStyle w:val="ListParagraph"/>
        <w:numPr>
          <w:ilvl w:val="0"/>
          <w:numId w:val="18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Monthly 1-hour online meetings (TAFE SA hosted)</w:t>
      </w:r>
    </w:p>
    <w:p w14:paraId="4F2D5714" w14:textId="77777777" w:rsidR="00EE1207" w:rsidRPr="00EE1207" w:rsidRDefault="00EE1207" w:rsidP="00EE1207">
      <w:pPr>
        <w:pStyle w:val="ListParagraph"/>
        <w:numPr>
          <w:ilvl w:val="0"/>
          <w:numId w:val="17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 xml:space="preserve">Collaborative, practical format: </w:t>
      </w:r>
    </w:p>
    <w:p w14:paraId="197280EC" w14:textId="77777777" w:rsidR="00EE1207" w:rsidRPr="00EE1207" w:rsidRDefault="00EE1207" w:rsidP="00EE1207">
      <w:pPr>
        <w:pStyle w:val="ListParagraph"/>
        <w:numPr>
          <w:ilvl w:val="0"/>
          <w:numId w:val="17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Primer activities</w:t>
      </w:r>
    </w:p>
    <w:p w14:paraId="58C88B5D" w14:textId="77777777" w:rsidR="00EE1207" w:rsidRPr="00EE1207" w:rsidRDefault="00EE1207" w:rsidP="00EE1207">
      <w:pPr>
        <w:pStyle w:val="ListParagraph"/>
        <w:numPr>
          <w:ilvl w:val="0"/>
          <w:numId w:val="17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Topic discussions</w:t>
      </w:r>
    </w:p>
    <w:p w14:paraId="20976061" w14:textId="77777777" w:rsidR="00EE1207" w:rsidRPr="00EE1207" w:rsidRDefault="00EE1207" w:rsidP="00EE1207">
      <w:pPr>
        <w:pStyle w:val="ListParagraph"/>
        <w:numPr>
          <w:ilvl w:val="0"/>
          <w:numId w:val="17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Practice challenges</w:t>
      </w:r>
    </w:p>
    <w:p w14:paraId="6A592ACC" w14:textId="77777777" w:rsidR="00EE1207" w:rsidRPr="00EE1207" w:rsidRDefault="00EE1207" w:rsidP="00EE1207">
      <w:pPr>
        <w:pStyle w:val="ListParagraph"/>
        <w:numPr>
          <w:ilvl w:val="0"/>
          <w:numId w:val="17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Co-design projects</w:t>
      </w:r>
    </w:p>
    <w:p w14:paraId="3339A95F" w14:textId="339191A7" w:rsidR="00EE1207" w:rsidRPr="00EE1207" w:rsidRDefault="00EE1207" w:rsidP="00EE1207">
      <w:pPr>
        <w:pStyle w:val="Heading3"/>
        <w:rPr>
          <w:lang w:eastAsia="en-AU"/>
        </w:rPr>
      </w:pPr>
      <w:r w:rsidRPr="00EE1207">
        <w:rPr>
          <w:lang w:eastAsia="en-AU"/>
        </w:rPr>
        <w:lastRenderedPageBreak/>
        <w:t>Foundations of the Work</w:t>
      </w:r>
    </w:p>
    <w:p w14:paraId="16C20AE5" w14:textId="0D0B0742" w:rsidR="00B74B3F" w:rsidRPr="004C63FA" w:rsidRDefault="00B74B3F" w:rsidP="00B74B3F">
      <w:pPr>
        <w:pStyle w:val="ListParagraph"/>
        <w:numPr>
          <w:ilvl w:val="0"/>
          <w:numId w:val="31"/>
        </w:numPr>
        <w:rPr>
          <w:rFonts w:ascii="Century Gothic" w:hAnsi="Century Gothic"/>
          <w:lang w:eastAsia="en-AU"/>
        </w:rPr>
      </w:pPr>
      <w:hyperlink r:id="rId10" w:history="1">
        <w:r w:rsidRPr="00B04F0E">
          <w:rPr>
            <w:rStyle w:val="Hyperlink"/>
            <w:rFonts w:ascii="Century Gothic" w:hAnsi="Century Gothic"/>
            <w:lang w:eastAsia="en-AU"/>
          </w:rPr>
          <w:t>ASQA Standards for RTOs 2025</w:t>
        </w:r>
      </w:hyperlink>
    </w:p>
    <w:p w14:paraId="2D28C04B" w14:textId="4F4D3A31" w:rsidR="00B74B3F" w:rsidRPr="004C63FA" w:rsidRDefault="00B74B3F" w:rsidP="00B74B3F">
      <w:pPr>
        <w:pStyle w:val="ListParagraph"/>
        <w:numPr>
          <w:ilvl w:val="0"/>
          <w:numId w:val="31"/>
        </w:numPr>
        <w:rPr>
          <w:rFonts w:ascii="Century Gothic" w:hAnsi="Century Gothic"/>
          <w:lang w:eastAsia="en-AU"/>
        </w:rPr>
      </w:pPr>
      <w:hyperlink r:id="rId11" w:anchor="std1.4" w:history="1">
        <w:r w:rsidRPr="00FF156F">
          <w:rPr>
            <w:rStyle w:val="Hyperlink"/>
            <w:rFonts w:ascii="Century Gothic" w:hAnsi="Century Gothic"/>
            <w:lang w:eastAsia="en-AU"/>
          </w:rPr>
          <w:t>Principles of Assessment &amp; Rules of Evidence</w:t>
        </w:r>
      </w:hyperlink>
    </w:p>
    <w:p w14:paraId="50721EBE" w14:textId="127D68A3" w:rsidR="00B74B3F" w:rsidRPr="004C63FA" w:rsidRDefault="00B74B3F" w:rsidP="00B74B3F">
      <w:pPr>
        <w:pStyle w:val="ListParagraph"/>
        <w:numPr>
          <w:ilvl w:val="0"/>
          <w:numId w:val="31"/>
        </w:numPr>
        <w:rPr>
          <w:rFonts w:ascii="Century Gothic" w:hAnsi="Century Gothic"/>
          <w:lang w:eastAsia="en-AU"/>
        </w:rPr>
      </w:pPr>
      <w:hyperlink r:id="rId12" w:history="1">
        <w:r w:rsidRPr="004C63FA">
          <w:rPr>
            <w:rStyle w:val="Hyperlink"/>
            <w:rFonts w:ascii="Century Gothic" w:hAnsi="Century Gothic"/>
            <w:lang w:eastAsia="en-AU"/>
          </w:rPr>
          <w:t>ASQA Practice Guide - Assessment</w:t>
        </w:r>
      </w:hyperlink>
    </w:p>
    <w:p w14:paraId="45123A49" w14:textId="1F480C93" w:rsidR="00B74B3F" w:rsidRPr="004C63FA" w:rsidRDefault="00B74B3F" w:rsidP="00B74B3F">
      <w:pPr>
        <w:pStyle w:val="ListParagraph"/>
        <w:numPr>
          <w:ilvl w:val="0"/>
          <w:numId w:val="31"/>
        </w:numPr>
        <w:rPr>
          <w:rFonts w:ascii="Century Gothic" w:hAnsi="Century Gothic"/>
          <w:lang w:eastAsia="en-AU"/>
        </w:rPr>
      </w:pPr>
      <w:hyperlink r:id="rId13" w:history="1">
        <w:r w:rsidRPr="004C63FA">
          <w:rPr>
            <w:rStyle w:val="Hyperlink"/>
            <w:rFonts w:ascii="Century Gothic" w:hAnsi="Century Gothic"/>
            <w:lang w:eastAsia="en-AU"/>
          </w:rPr>
          <w:t>CAST UDL Framework 3.0</w:t>
        </w:r>
      </w:hyperlink>
      <w:r w:rsidRPr="004C63FA">
        <w:rPr>
          <w:rFonts w:ascii="Century Gothic" w:hAnsi="Century Gothic"/>
          <w:lang w:eastAsia="en-AU"/>
        </w:rPr>
        <w:t xml:space="preserve"> </w:t>
      </w:r>
    </w:p>
    <w:p w14:paraId="6752E57F" w14:textId="65C9D38A" w:rsidR="00B74B3F" w:rsidRPr="004C63FA" w:rsidRDefault="00B74B3F" w:rsidP="00B74B3F">
      <w:pPr>
        <w:pStyle w:val="ListParagraph"/>
        <w:numPr>
          <w:ilvl w:val="0"/>
          <w:numId w:val="31"/>
        </w:numPr>
        <w:rPr>
          <w:rFonts w:ascii="Century Gothic" w:hAnsi="Century Gothic"/>
          <w:lang w:eastAsia="en-AU"/>
        </w:rPr>
      </w:pPr>
      <w:hyperlink r:id="rId14" w:history="1">
        <w:r w:rsidRPr="004C63FA">
          <w:rPr>
            <w:rStyle w:val="Hyperlink"/>
            <w:rFonts w:ascii="Century Gothic" w:hAnsi="Century Gothic"/>
            <w:lang w:eastAsia="en-AU"/>
          </w:rPr>
          <w:t>CAST - UDL on Campus</w:t>
        </w:r>
      </w:hyperlink>
      <w:r w:rsidRPr="004C63FA">
        <w:rPr>
          <w:rFonts w:ascii="Century Gothic" w:hAnsi="Century Gothic"/>
          <w:lang w:eastAsia="en-AU"/>
        </w:rPr>
        <w:t xml:space="preserve"> </w:t>
      </w:r>
    </w:p>
    <w:p w14:paraId="723B3750" w14:textId="5630826E" w:rsidR="00B74B3F" w:rsidRPr="004C63FA" w:rsidRDefault="00B74B3F" w:rsidP="00B74B3F">
      <w:pPr>
        <w:pStyle w:val="ListParagraph"/>
        <w:numPr>
          <w:ilvl w:val="0"/>
          <w:numId w:val="31"/>
        </w:numPr>
        <w:rPr>
          <w:rFonts w:ascii="Century Gothic" w:hAnsi="Century Gothic"/>
          <w:lang w:eastAsia="en-AU"/>
        </w:rPr>
      </w:pPr>
      <w:hyperlink r:id="rId15" w:history="1">
        <w:r w:rsidRPr="004C63FA">
          <w:rPr>
            <w:rStyle w:val="Hyperlink"/>
            <w:rFonts w:ascii="Century Gothic" w:hAnsi="Century Gothic"/>
            <w:lang w:eastAsia="en-AU"/>
          </w:rPr>
          <w:t>CAST National Centre on Accessible Materials – AEM</w:t>
        </w:r>
      </w:hyperlink>
    </w:p>
    <w:p w14:paraId="007C4CDA" w14:textId="77777777" w:rsidR="00E407B6" w:rsidRPr="00F05564" w:rsidRDefault="00E407B6" w:rsidP="00B74B3F">
      <w:pPr>
        <w:pStyle w:val="ListParagraph"/>
        <w:numPr>
          <w:ilvl w:val="0"/>
          <w:numId w:val="31"/>
        </w:numPr>
        <w:rPr>
          <w:rFonts w:ascii="Century Gothic" w:hAnsi="Century Gothic"/>
          <w:color w:val="074F6A" w:themeColor="accent4" w:themeShade="80"/>
          <w:lang w:eastAsia="en-AU"/>
        </w:rPr>
      </w:pPr>
      <w:hyperlink r:id="rId16" w:history="1">
        <w:r w:rsidRPr="00F05564">
          <w:rPr>
            <w:rFonts w:ascii="Century Gothic" w:hAnsi="Century Gothic"/>
            <w:color w:val="074F6A" w:themeColor="accent4" w:themeShade="80"/>
            <w:u w:val="single"/>
          </w:rPr>
          <w:t>Accessibility Basics - ADCET</w:t>
        </w:r>
      </w:hyperlink>
    </w:p>
    <w:p w14:paraId="3BE44CF2" w14:textId="5F2DF5C5" w:rsidR="00D365FF" w:rsidRPr="00F05564" w:rsidRDefault="00AB6820" w:rsidP="00D365FF">
      <w:pPr>
        <w:pStyle w:val="ListParagraph"/>
        <w:numPr>
          <w:ilvl w:val="0"/>
          <w:numId w:val="31"/>
        </w:numPr>
        <w:rPr>
          <w:rFonts w:ascii="Century Gothic" w:hAnsi="Century Gothic"/>
          <w:color w:val="074F6A" w:themeColor="accent4" w:themeShade="80"/>
          <w:lang w:eastAsia="en-AU"/>
        </w:rPr>
      </w:pPr>
      <w:hyperlink r:id="rId17" w:history="1">
        <w:r w:rsidRPr="00F05564">
          <w:rPr>
            <w:rStyle w:val="Hyperlink"/>
            <w:rFonts w:ascii="Century Gothic" w:hAnsi="Century Gothic"/>
            <w:color w:val="074F6A" w:themeColor="accent4" w:themeShade="80"/>
            <w:lang w:eastAsia="en-AU"/>
          </w:rPr>
          <w:t xml:space="preserve">W3C WCAG </w:t>
        </w:r>
      </w:hyperlink>
      <w:r w:rsidRPr="00F05564">
        <w:rPr>
          <w:rFonts w:ascii="Century Gothic" w:hAnsi="Century Gothic"/>
          <w:color w:val="074F6A" w:themeColor="accent4" w:themeShade="80"/>
          <w:lang w:eastAsia="en-AU"/>
        </w:rPr>
        <w:t xml:space="preserve">and </w:t>
      </w:r>
      <w:hyperlink r:id="rId18" w:history="1">
        <w:r w:rsidR="00D365FF" w:rsidRPr="00F05564">
          <w:rPr>
            <w:rStyle w:val="Hyperlink"/>
            <w:rFonts w:ascii="Century Gothic" w:hAnsi="Century Gothic"/>
            <w:color w:val="074F6A" w:themeColor="accent4" w:themeShade="80"/>
            <w:lang w:eastAsia="en-AU"/>
          </w:rPr>
          <w:t xml:space="preserve">WCAG in Plain English </w:t>
        </w:r>
      </w:hyperlink>
      <w:hyperlink r:id="rId19" w:history="1">
        <w:r w:rsidR="00D365FF" w:rsidRPr="00F05564">
          <w:rPr>
            <w:rStyle w:val="Hyperlink"/>
            <w:rFonts w:ascii="Century Gothic" w:hAnsi="Century Gothic"/>
            <w:color w:val="074F6A" w:themeColor="accent4" w:themeShade="80"/>
            <w:lang w:eastAsia="en-AU"/>
          </w:rPr>
          <w:t xml:space="preserve">– </w:t>
        </w:r>
      </w:hyperlink>
      <w:hyperlink r:id="rId20" w:history="1">
        <w:r w:rsidR="00F05564" w:rsidRPr="00F05564">
          <w:rPr>
            <w:rStyle w:val="Hyperlink"/>
            <w:rFonts w:ascii="Century Gothic" w:hAnsi="Century Gothic"/>
            <w:color w:val="074F6A" w:themeColor="accent4" w:themeShade="80"/>
            <w:lang w:eastAsia="en-AU"/>
          </w:rPr>
          <w:t>Aardvark</w:t>
        </w:r>
      </w:hyperlink>
      <w:r w:rsidR="00D365FF" w:rsidRPr="00F05564">
        <w:rPr>
          <w:rFonts w:ascii="Century Gothic" w:hAnsi="Century Gothic"/>
          <w:color w:val="074F6A" w:themeColor="accent4" w:themeShade="80"/>
          <w:lang w:eastAsia="en-AU"/>
        </w:rPr>
        <w:t xml:space="preserve"> </w:t>
      </w:r>
    </w:p>
    <w:p w14:paraId="53CCBCB2" w14:textId="608D6EAA" w:rsidR="00B74B3F" w:rsidRPr="00F05564" w:rsidRDefault="00C516B6" w:rsidP="00B74B3F">
      <w:pPr>
        <w:pStyle w:val="ListParagraph"/>
        <w:numPr>
          <w:ilvl w:val="0"/>
          <w:numId w:val="31"/>
        </w:numPr>
        <w:rPr>
          <w:rFonts w:ascii="Century Gothic" w:hAnsi="Century Gothic"/>
          <w:color w:val="074F6A" w:themeColor="accent4" w:themeShade="80"/>
          <w:lang w:eastAsia="en-AU"/>
        </w:rPr>
      </w:pPr>
      <w:hyperlink r:id="rId21" w:history="1">
        <w:r w:rsidRPr="00F05564">
          <w:rPr>
            <w:rFonts w:ascii="Century Gothic" w:hAnsi="Century Gothic"/>
            <w:color w:val="074F6A" w:themeColor="accent4" w:themeShade="80"/>
            <w:u w:val="single"/>
          </w:rPr>
          <w:t xml:space="preserve">Accessible Personas (UTS) </w:t>
        </w:r>
      </w:hyperlink>
      <w:r w:rsidR="00B74B3F" w:rsidRPr="00F05564">
        <w:rPr>
          <w:rFonts w:ascii="Century Gothic" w:hAnsi="Century Gothic"/>
          <w:color w:val="074F6A" w:themeColor="accent4" w:themeShade="80"/>
          <w:lang w:eastAsia="en-AU"/>
        </w:rPr>
        <w:t xml:space="preserve"> </w:t>
      </w:r>
    </w:p>
    <w:p w14:paraId="03DED0FA" w14:textId="77777777" w:rsidR="00EE1207" w:rsidRPr="00EE1207" w:rsidRDefault="00EE1207" w:rsidP="00EE1207">
      <w:pPr>
        <w:pStyle w:val="Heading2"/>
        <w:rPr>
          <w:lang w:eastAsia="en-AU"/>
        </w:rPr>
      </w:pPr>
      <w:r w:rsidRPr="00EE1207">
        <w:rPr>
          <w:lang w:eastAsia="en-AU"/>
        </w:rPr>
        <w:t>What is UDL-Driven, ASQA-Compliant Assessment?</w:t>
      </w:r>
    </w:p>
    <w:p w14:paraId="1603BC3F" w14:textId="77777777" w:rsidR="00EE1207" w:rsidRPr="00EE1207" w:rsidRDefault="00EE1207" w:rsidP="00EE1207">
      <w:p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Designing assessment that:</w:t>
      </w:r>
    </w:p>
    <w:p w14:paraId="44FA2DCC" w14:textId="77777777" w:rsidR="00EE1207" w:rsidRDefault="00EE1207" w:rsidP="00EE1207">
      <w:pPr>
        <w:pStyle w:val="ListParagraph"/>
        <w:numPr>
          <w:ilvl w:val="0"/>
          <w:numId w:val="21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Meets all regulatory requirements</w:t>
      </w:r>
    </w:p>
    <w:p w14:paraId="48B48B11" w14:textId="77777777" w:rsidR="00EE1207" w:rsidRDefault="00EE1207" w:rsidP="00EE1207">
      <w:pPr>
        <w:pStyle w:val="ListParagraph"/>
        <w:numPr>
          <w:ilvl w:val="0"/>
          <w:numId w:val="21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Allows multiple ways to demonstrate competency</w:t>
      </w:r>
    </w:p>
    <w:p w14:paraId="70128A00" w14:textId="77777777" w:rsidR="00EE1207" w:rsidRDefault="00EE1207" w:rsidP="00EE1207">
      <w:pPr>
        <w:pStyle w:val="ListParagraph"/>
        <w:numPr>
          <w:ilvl w:val="0"/>
          <w:numId w:val="21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Maintains integrity of units</w:t>
      </w:r>
    </w:p>
    <w:p w14:paraId="3D5DE372" w14:textId="77777777" w:rsidR="00EE1207" w:rsidRDefault="00EE1207" w:rsidP="00EE1207">
      <w:pPr>
        <w:pStyle w:val="ListParagraph"/>
        <w:numPr>
          <w:ilvl w:val="0"/>
          <w:numId w:val="21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Removes unnecessary barriers</w:t>
      </w:r>
    </w:p>
    <w:p w14:paraId="6E3E9BB9" w14:textId="58DBDB4F" w:rsidR="00EE1207" w:rsidRDefault="00EE1207" w:rsidP="00EE1207">
      <w:pPr>
        <w:pStyle w:val="ListParagraph"/>
        <w:numPr>
          <w:ilvl w:val="0"/>
          <w:numId w:val="21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 xml:space="preserve">Supports diverse learners (e.g. disability, EAL/D, different learning </w:t>
      </w:r>
      <w:r w:rsidR="006A04EE">
        <w:rPr>
          <w:rFonts w:ascii="Century Gothic" w:hAnsi="Century Gothic"/>
          <w:lang w:eastAsia="en-AU"/>
        </w:rPr>
        <w:t>needs/</w:t>
      </w:r>
      <w:r w:rsidRPr="00EE1207">
        <w:rPr>
          <w:rFonts w:ascii="Century Gothic" w:hAnsi="Century Gothic"/>
          <w:lang w:eastAsia="en-AU"/>
        </w:rPr>
        <w:t>preferences)</w:t>
      </w:r>
    </w:p>
    <w:p w14:paraId="0D26AFB5" w14:textId="721325A9" w:rsidR="00EE1207" w:rsidRPr="00EE1207" w:rsidRDefault="00EE1207" w:rsidP="006875D1">
      <w:p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Bottom line: Inclusive design ≠ reduce</w:t>
      </w:r>
      <w:r w:rsidR="006875D1">
        <w:rPr>
          <w:rFonts w:ascii="Century Gothic" w:hAnsi="Century Gothic"/>
          <w:lang w:eastAsia="en-AU"/>
        </w:rPr>
        <w:t>d</w:t>
      </w:r>
      <w:r w:rsidRPr="00EE1207">
        <w:rPr>
          <w:rFonts w:ascii="Century Gothic" w:hAnsi="Century Gothic"/>
          <w:lang w:eastAsia="en-AU"/>
        </w:rPr>
        <w:t xml:space="preserve"> standards </w:t>
      </w:r>
    </w:p>
    <w:p w14:paraId="22AE39D5" w14:textId="77777777" w:rsidR="006875D1" w:rsidRPr="00EE1207" w:rsidRDefault="006875D1" w:rsidP="006875D1">
      <w:pPr>
        <w:pStyle w:val="Heading2"/>
        <w:rPr>
          <w:lang w:eastAsia="en-AU"/>
        </w:rPr>
      </w:pPr>
      <w:r w:rsidRPr="00EE1207">
        <w:rPr>
          <w:lang w:eastAsia="en-AU"/>
        </w:rPr>
        <w:t>Challenges Identified</w:t>
      </w:r>
    </w:p>
    <w:p w14:paraId="3A3D9197" w14:textId="77777777" w:rsidR="00B715B2" w:rsidRPr="006E710A" w:rsidRDefault="00B715B2" w:rsidP="006E710A">
      <w:pPr>
        <w:pStyle w:val="ListParagraph"/>
        <w:numPr>
          <w:ilvl w:val="0"/>
          <w:numId w:val="38"/>
        </w:numPr>
        <w:rPr>
          <w:rFonts w:ascii="Century Gothic" w:eastAsia="Times New Roman" w:hAnsi="Century Gothic" w:cs="Times New Roman"/>
          <w:kern w:val="0"/>
          <w:lang w:eastAsia="en-AU"/>
        </w:rPr>
      </w:pPr>
      <w:r w:rsidRPr="006E710A">
        <w:rPr>
          <w:rFonts w:ascii="Century Gothic" w:hAnsi="Century Gothic"/>
          <w:lang w:eastAsia="en-AU"/>
        </w:rPr>
        <w:t>Unit requirements, inherent requirements, and reasonable adjustments</w:t>
      </w:r>
    </w:p>
    <w:p w14:paraId="67071243" w14:textId="77777777" w:rsidR="00B715B2" w:rsidRPr="006E710A" w:rsidRDefault="00B715B2" w:rsidP="006E710A">
      <w:pPr>
        <w:pStyle w:val="ListParagraph"/>
        <w:numPr>
          <w:ilvl w:val="0"/>
          <w:numId w:val="38"/>
        </w:numPr>
        <w:rPr>
          <w:rFonts w:ascii="Century Gothic" w:eastAsia="Times New Roman" w:hAnsi="Century Gothic" w:cs="Times New Roman"/>
          <w:kern w:val="0"/>
          <w:lang w:eastAsia="en-AU"/>
        </w:rPr>
      </w:pPr>
      <w:r w:rsidRPr="006E710A">
        <w:rPr>
          <w:rFonts w:ascii="Century Gothic" w:hAnsi="Century Gothic"/>
          <w:lang w:eastAsia="en-AU"/>
        </w:rPr>
        <w:t>Sector/organisational demand for consistency and time efficiency</w:t>
      </w:r>
    </w:p>
    <w:p w14:paraId="15548E53" w14:textId="77777777" w:rsidR="00B715B2" w:rsidRPr="006E710A" w:rsidRDefault="00B715B2" w:rsidP="006E710A">
      <w:pPr>
        <w:pStyle w:val="ListParagraph"/>
        <w:numPr>
          <w:ilvl w:val="0"/>
          <w:numId w:val="38"/>
        </w:numPr>
        <w:rPr>
          <w:rFonts w:ascii="Century Gothic" w:eastAsia="Times New Roman" w:hAnsi="Century Gothic" w:cs="Times New Roman"/>
          <w:kern w:val="0"/>
          <w:lang w:eastAsia="en-AU"/>
        </w:rPr>
      </w:pPr>
      <w:r w:rsidRPr="006E710A">
        <w:rPr>
          <w:rFonts w:ascii="Century Gothic" w:hAnsi="Century Gothic"/>
          <w:lang w:eastAsia="en-AU"/>
        </w:rPr>
        <w:t>Barriers created when translating assessment to online platforms</w:t>
      </w:r>
    </w:p>
    <w:p w14:paraId="67E4D4E6" w14:textId="77777777" w:rsidR="00B715B2" w:rsidRPr="006E710A" w:rsidRDefault="00B715B2" w:rsidP="006E710A">
      <w:pPr>
        <w:pStyle w:val="ListParagraph"/>
        <w:numPr>
          <w:ilvl w:val="0"/>
          <w:numId w:val="38"/>
        </w:numPr>
        <w:rPr>
          <w:rFonts w:ascii="Century Gothic" w:eastAsia="Times New Roman" w:hAnsi="Century Gothic" w:cs="Times New Roman"/>
          <w:kern w:val="0"/>
          <w:lang w:eastAsia="en-AU"/>
        </w:rPr>
      </w:pPr>
      <w:r w:rsidRPr="006E710A">
        <w:rPr>
          <w:rFonts w:ascii="Century Gothic" w:hAnsi="Century Gothic"/>
          <w:lang w:eastAsia="en-AU"/>
        </w:rPr>
        <w:t>Inaccessible templates</w:t>
      </w:r>
    </w:p>
    <w:p w14:paraId="50C87816" w14:textId="77777777" w:rsidR="00B715B2" w:rsidRPr="006E710A" w:rsidRDefault="00B715B2" w:rsidP="006E710A">
      <w:pPr>
        <w:pStyle w:val="ListParagraph"/>
        <w:numPr>
          <w:ilvl w:val="0"/>
          <w:numId w:val="38"/>
        </w:numPr>
        <w:rPr>
          <w:rFonts w:ascii="Century Gothic" w:eastAsia="Times New Roman" w:hAnsi="Century Gothic" w:cs="Times New Roman"/>
          <w:kern w:val="0"/>
          <w:lang w:eastAsia="en-AU"/>
        </w:rPr>
      </w:pPr>
      <w:r w:rsidRPr="006E710A">
        <w:rPr>
          <w:rFonts w:ascii="Century Gothic" w:hAnsi="Century Gothic"/>
          <w:lang w:eastAsia="en-AU"/>
        </w:rPr>
        <w:t>Varied skills, knowledge, and understanding of:</w:t>
      </w:r>
    </w:p>
    <w:p w14:paraId="35B3B97C" w14:textId="77777777" w:rsidR="00B715B2" w:rsidRPr="006E710A" w:rsidRDefault="00B715B2" w:rsidP="006E710A">
      <w:pPr>
        <w:pStyle w:val="ListParagraph"/>
        <w:numPr>
          <w:ilvl w:val="1"/>
          <w:numId w:val="38"/>
        </w:numPr>
        <w:rPr>
          <w:rFonts w:ascii="Century Gothic" w:eastAsia="Times New Roman" w:hAnsi="Century Gothic" w:cs="Times New Roman"/>
          <w:kern w:val="0"/>
          <w:lang w:eastAsia="en-AU"/>
        </w:rPr>
      </w:pPr>
      <w:r w:rsidRPr="006E710A">
        <w:rPr>
          <w:rFonts w:ascii="Century Gothic" w:hAnsi="Century Gothic"/>
          <w:lang w:eastAsia="en-AU"/>
        </w:rPr>
        <w:t>UDL</w:t>
      </w:r>
    </w:p>
    <w:p w14:paraId="4ADFAD8D" w14:textId="77777777" w:rsidR="00B715B2" w:rsidRPr="006E710A" w:rsidRDefault="00B715B2" w:rsidP="006E710A">
      <w:pPr>
        <w:pStyle w:val="ListParagraph"/>
        <w:numPr>
          <w:ilvl w:val="1"/>
          <w:numId w:val="38"/>
        </w:numPr>
        <w:rPr>
          <w:rFonts w:ascii="Century Gothic" w:eastAsia="Times New Roman" w:hAnsi="Century Gothic" w:cs="Times New Roman"/>
          <w:kern w:val="0"/>
          <w:lang w:eastAsia="en-AU"/>
        </w:rPr>
      </w:pPr>
      <w:r w:rsidRPr="006E710A">
        <w:rPr>
          <w:rFonts w:ascii="Century Gothic" w:hAnsi="Century Gothic"/>
          <w:lang w:eastAsia="en-AU"/>
        </w:rPr>
        <w:t>Accessibility and usability</w:t>
      </w:r>
    </w:p>
    <w:p w14:paraId="0211DC75" w14:textId="77777777" w:rsidR="00B715B2" w:rsidRPr="006E710A" w:rsidRDefault="00B715B2" w:rsidP="006E710A">
      <w:pPr>
        <w:pStyle w:val="ListParagraph"/>
        <w:numPr>
          <w:ilvl w:val="1"/>
          <w:numId w:val="38"/>
        </w:numPr>
        <w:rPr>
          <w:rFonts w:ascii="Century Gothic" w:eastAsia="Times New Roman" w:hAnsi="Century Gothic" w:cs="Times New Roman"/>
          <w:color w:val="EE3333"/>
          <w:kern w:val="0"/>
          <w:lang w:eastAsia="en-AU"/>
        </w:rPr>
      </w:pPr>
      <w:r w:rsidRPr="006E710A">
        <w:rPr>
          <w:rFonts w:ascii="Century Gothic" w:hAnsi="Century Gothic"/>
          <w:lang w:eastAsia="en-AU"/>
        </w:rPr>
        <w:t>Assessment design</w:t>
      </w:r>
    </w:p>
    <w:p w14:paraId="02432D01" w14:textId="77777777" w:rsidR="00B715B2" w:rsidRPr="006E710A" w:rsidRDefault="00B715B2" w:rsidP="006E710A">
      <w:pPr>
        <w:pStyle w:val="ListParagraph"/>
        <w:numPr>
          <w:ilvl w:val="0"/>
          <w:numId w:val="38"/>
        </w:numPr>
        <w:rPr>
          <w:rFonts w:ascii="Century Gothic" w:eastAsia="Times New Roman" w:hAnsi="Century Gothic" w:cs="Times New Roman"/>
          <w:kern w:val="0"/>
          <w:lang w:eastAsia="en-AU"/>
        </w:rPr>
      </w:pPr>
      <w:r w:rsidRPr="006E710A">
        <w:rPr>
          <w:rFonts w:ascii="Century Gothic" w:hAnsi="Century Gothic"/>
          <w:lang w:eastAsia="en-AU"/>
        </w:rPr>
        <w:t>Educator bias</w:t>
      </w:r>
    </w:p>
    <w:p w14:paraId="5529DA56" w14:textId="77777777" w:rsidR="00EE1207" w:rsidRPr="00EE1207" w:rsidRDefault="00EE1207" w:rsidP="00EE1207">
      <w:pPr>
        <w:pStyle w:val="Heading3"/>
        <w:rPr>
          <w:lang w:eastAsia="en-AU"/>
        </w:rPr>
      </w:pPr>
      <w:r w:rsidRPr="00EE1207">
        <w:rPr>
          <w:lang w:eastAsia="en-AU"/>
        </w:rPr>
        <w:t>What We’ve Learned</w:t>
      </w:r>
    </w:p>
    <w:p w14:paraId="2226FA51" w14:textId="77777777" w:rsidR="006E710A" w:rsidRPr="006E710A" w:rsidRDefault="006E710A" w:rsidP="006E710A">
      <w:pPr>
        <w:pStyle w:val="ListParagraph"/>
        <w:numPr>
          <w:ilvl w:val="0"/>
          <w:numId w:val="37"/>
        </w:numPr>
        <w:ind w:left="851" w:hanging="425"/>
        <w:rPr>
          <w:rFonts w:ascii="Century Gothic" w:eastAsia="Times New Roman" w:hAnsi="Century Gothic" w:cs="Times New Roman"/>
          <w:kern w:val="0"/>
          <w:lang w:eastAsia="en-AU"/>
        </w:rPr>
      </w:pPr>
      <w:r w:rsidRPr="006E710A">
        <w:rPr>
          <w:rFonts w:ascii="Century Gothic" w:hAnsi="Century Gothic"/>
          <w:lang w:eastAsia="en-AU"/>
        </w:rPr>
        <w:t>Need for both organisational and individual perspectives</w:t>
      </w:r>
    </w:p>
    <w:p w14:paraId="4C5DC90C" w14:textId="77777777" w:rsidR="006E710A" w:rsidRPr="006E710A" w:rsidRDefault="006E710A" w:rsidP="006E710A">
      <w:pPr>
        <w:pStyle w:val="ListParagraph"/>
        <w:numPr>
          <w:ilvl w:val="0"/>
          <w:numId w:val="37"/>
        </w:numPr>
        <w:ind w:left="851" w:hanging="425"/>
        <w:rPr>
          <w:rFonts w:ascii="Century Gothic" w:eastAsia="Times New Roman" w:hAnsi="Century Gothic" w:cs="Times New Roman"/>
          <w:kern w:val="0"/>
          <w:lang w:eastAsia="en-AU"/>
        </w:rPr>
      </w:pPr>
      <w:r w:rsidRPr="006E710A">
        <w:rPr>
          <w:rFonts w:ascii="Century Gothic" w:hAnsi="Century Gothic"/>
          <w:lang w:eastAsia="en-AU"/>
        </w:rPr>
        <w:t>UDL principles must be:</w:t>
      </w:r>
    </w:p>
    <w:p w14:paraId="44F6A01C" w14:textId="77777777" w:rsidR="006E710A" w:rsidRPr="006E710A" w:rsidRDefault="006E710A" w:rsidP="006E710A">
      <w:pPr>
        <w:pStyle w:val="ListParagraph"/>
        <w:numPr>
          <w:ilvl w:val="1"/>
          <w:numId w:val="37"/>
        </w:numPr>
        <w:rPr>
          <w:rFonts w:ascii="Century Gothic" w:eastAsia="Times New Roman" w:hAnsi="Century Gothic" w:cs="Times New Roman"/>
          <w:kern w:val="0"/>
          <w:lang w:eastAsia="en-AU"/>
        </w:rPr>
      </w:pPr>
      <w:r w:rsidRPr="006E710A">
        <w:rPr>
          <w:rFonts w:ascii="Century Gothic" w:hAnsi="Century Gothic"/>
          <w:lang w:eastAsia="en-AU"/>
        </w:rPr>
        <w:t>Explicitly mapped</w:t>
      </w:r>
    </w:p>
    <w:p w14:paraId="44692857" w14:textId="77777777" w:rsidR="006E710A" w:rsidRPr="006E710A" w:rsidRDefault="006E710A" w:rsidP="006E710A">
      <w:pPr>
        <w:pStyle w:val="ListParagraph"/>
        <w:numPr>
          <w:ilvl w:val="1"/>
          <w:numId w:val="37"/>
        </w:numPr>
        <w:rPr>
          <w:rFonts w:ascii="Century Gothic" w:eastAsia="Times New Roman" w:hAnsi="Century Gothic" w:cs="Times New Roman"/>
          <w:kern w:val="0"/>
          <w:lang w:eastAsia="en-AU"/>
        </w:rPr>
      </w:pPr>
      <w:r w:rsidRPr="006E710A">
        <w:rPr>
          <w:rFonts w:ascii="Century Gothic" w:hAnsi="Century Gothic"/>
          <w:lang w:eastAsia="en-AU"/>
        </w:rPr>
        <w:t>Clearly and universally explained</w:t>
      </w:r>
    </w:p>
    <w:p w14:paraId="113D671A" w14:textId="77777777" w:rsidR="006E710A" w:rsidRPr="006E710A" w:rsidRDefault="006E710A" w:rsidP="006E710A">
      <w:pPr>
        <w:pStyle w:val="ListParagraph"/>
        <w:numPr>
          <w:ilvl w:val="0"/>
          <w:numId w:val="37"/>
        </w:numPr>
        <w:ind w:left="851" w:hanging="425"/>
        <w:rPr>
          <w:rFonts w:ascii="Century Gothic" w:eastAsia="Times New Roman" w:hAnsi="Century Gothic" w:cs="Times New Roman"/>
          <w:kern w:val="0"/>
          <w:lang w:eastAsia="en-AU"/>
        </w:rPr>
      </w:pPr>
      <w:r w:rsidRPr="006E710A">
        <w:rPr>
          <w:rFonts w:ascii="Century Gothic" w:hAnsi="Century Gothic"/>
          <w:lang w:eastAsia="en-AU"/>
        </w:rPr>
        <w:t>Importance of consistent understanding and shared language</w:t>
      </w:r>
    </w:p>
    <w:p w14:paraId="7BA90D95" w14:textId="77777777" w:rsidR="006E710A" w:rsidRPr="006E710A" w:rsidRDefault="006E710A" w:rsidP="006E710A">
      <w:pPr>
        <w:pStyle w:val="ListParagraph"/>
        <w:numPr>
          <w:ilvl w:val="0"/>
          <w:numId w:val="37"/>
        </w:numPr>
        <w:ind w:left="851" w:hanging="425"/>
        <w:rPr>
          <w:rFonts w:ascii="Century Gothic" w:eastAsia="Times New Roman" w:hAnsi="Century Gothic" w:cs="Times New Roman"/>
          <w:kern w:val="0"/>
          <w:lang w:eastAsia="en-AU"/>
        </w:rPr>
      </w:pPr>
      <w:r w:rsidRPr="006E710A">
        <w:rPr>
          <w:rFonts w:ascii="Century Gothic" w:hAnsi="Century Gothic"/>
          <w:lang w:eastAsia="en-AU"/>
        </w:rPr>
        <w:t>Value of a “keep it simple” approach</w:t>
      </w:r>
    </w:p>
    <w:p w14:paraId="1F7B15BA" w14:textId="77777777" w:rsidR="006E710A" w:rsidRPr="006E710A" w:rsidRDefault="006E710A" w:rsidP="006E710A">
      <w:pPr>
        <w:pStyle w:val="ListParagraph"/>
        <w:numPr>
          <w:ilvl w:val="0"/>
          <w:numId w:val="37"/>
        </w:numPr>
        <w:ind w:left="851" w:hanging="425"/>
        <w:rPr>
          <w:rFonts w:ascii="Century Gothic" w:eastAsia="Times New Roman" w:hAnsi="Century Gothic" w:cs="Times New Roman"/>
          <w:kern w:val="0"/>
          <w:lang w:eastAsia="en-AU"/>
        </w:rPr>
      </w:pPr>
      <w:r w:rsidRPr="006E710A">
        <w:rPr>
          <w:rFonts w:ascii="Century Gothic" w:hAnsi="Century Gothic"/>
          <w:lang w:eastAsia="en-AU"/>
        </w:rPr>
        <w:t>Interpreting Units of Competency more broadly and flexibly</w:t>
      </w:r>
    </w:p>
    <w:p w14:paraId="2ED7C76F" w14:textId="4D143DC1" w:rsidR="006E710A" w:rsidRPr="006E710A" w:rsidRDefault="006E710A" w:rsidP="006E710A">
      <w:pPr>
        <w:pStyle w:val="ListParagraph"/>
        <w:numPr>
          <w:ilvl w:val="0"/>
          <w:numId w:val="37"/>
        </w:numPr>
        <w:rPr>
          <w:rFonts w:ascii="Century Gothic" w:hAnsi="Century Gothic"/>
          <w:lang w:eastAsia="en-AU"/>
        </w:rPr>
      </w:pPr>
      <w:r w:rsidRPr="006E710A">
        <w:rPr>
          <w:rFonts w:ascii="Century Gothic" w:hAnsi="Century Gothic"/>
          <w:lang w:eastAsia="en-AU"/>
        </w:rPr>
        <w:t>Importance of building capability in Accessibility – Usability -</w:t>
      </w:r>
      <w:r>
        <w:rPr>
          <w:rFonts w:ascii="Century Gothic" w:hAnsi="Century Gothic"/>
          <w:lang w:eastAsia="en-AU"/>
        </w:rPr>
        <w:t xml:space="preserve"> </w:t>
      </w:r>
      <w:r w:rsidRPr="006E710A">
        <w:rPr>
          <w:rFonts w:ascii="Century Gothic" w:hAnsi="Century Gothic"/>
          <w:lang w:eastAsia="en-AU"/>
        </w:rPr>
        <w:t>UDL</w:t>
      </w:r>
    </w:p>
    <w:p w14:paraId="3D3C29E4" w14:textId="270AB82E" w:rsidR="00EE1207" w:rsidRPr="00EE1207" w:rsidRDefault="00EE1207" w:rsidP="006E710A">
      <w:pPr>
        <w:pStyle w:val="Heading2"/>
        <w:rPr>
          <w:lang w:eastAsia="en-AU"/>
        </w:rPr>
      </w:pPr>
      <w:r w:rsidRPr="00EE1207">
        <w:rPr>
          <w:lang w:eastAsia="en-AU"/>
        </w:rPr>
        <w:lastRenderedPageBreak/>
        <w:t>Key Outputs (So Far)</w:t>
      </w:r>
    </w:p>
    <w:p w14:paraId="481FE7B8" w14:textId="2EC4909A" w:rsidR="00EE1207" w:rsidRPr="00EE1207" w:rsidRDefault="00EE1207" w:rsidP="00EE1207">
      <w:pPr>
        <w:pStyle w:val="ListParagraph"/>
        <w:numPr>
          <w:ilvl w:val="0"/>
          <w:numId w:val="30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 xml:space="preserve">UDL </w:t>
      </w:r>
      <w:r w:rsidR="000011F6">
        <w:rPr>
          <w:rFonts w:ascii="Century Gothic" w:hAnsi="Century Gothic"/>
          <w:lang w:eastAsia="en-AU"/>
        </w:rPr>
        <w:t xml:space="preserve">Driven </w:t>
      </w:r>
      <w:r w:rsidRPr="00EE1207">
        <w:rPr>
          <w:rFonts w:ascii="Century Gothic" w:hAnsi="Century Gothic"/>
          <w:lang w:eastAsia="en-AU"/>
        </w:rPr>
        <w:t>Assessment Guide</w:t>
      </w:r>
    </w:p>
    <w:p w14:paraId="0B095A29" w14:textId="77777777" w:rsidR="00EE1207" w:rsidRPr="00EE1207" w:rsidRDefault="00EE1207" w:rsidP="00EE1207">
      <w:pPr>
        <w:pStyle w:val="ListParagraph"/>
        <w:numPr>
          <w:ilvl w:val="0"/>
          <w:numId w:val="30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Quick Reference Guide</w:t>
      </w:r>
    </w:p>
    <w:p w14:paraId="738B3EAA" w14:textId="35AE129F" w:rsidR="00EE1207" w:rsidRPr="00EE1207" w:rsidRDefault="006A04EE" w:rsidP="00EE1207">
      <w:pPr>
        <w:pStyle w:val="ListParagraph"/>
        <w:numPr>
          <w:ilvl w:val="0"/>
          <w:numId w:val="30"/>
        </w:numPr>
        <w:rPr>
          <w:rFonts w:ascii="Century Gothic" w:hAnsi="Century Gothic"/>
          <w:lang w:eastAsia="en-AU"/>
        </w:rPr>
      </w:pPr>
      <w:r>
        <w:rPr>
          <w:rFonts w:ascii="Century Gothic" w:hAnsi="Century Gothic"/>
          <w:lang w:eastAsia="en-AU"/>
        </w:rPr>
        <w:t xml:space="preserve">Range of </w:t>
      </w:r>
      <w:r w:rsidR="00EE1207" w:rsidRPr="00EE1207">
        <w:rPr>
          <w:rFonts w:ascii="Century Gothic" w:hAnsi="Century Gothic"/>
          <w:lang w:eastAsia="en-AU"/>
        </w:rPr>
        <w:t xml:space="preserve">Checklists </w:t>
      </w:r>
    </w:p>
    <w:p w14:paraId="76D042E8" w14:textId="77777777" w:rsidR="00EE1207" w:rsidRDefault="00EE1207" w:rsidP="00EE1207">
      <w:pPr>
        <w:pStyle w:val="ListParagraph"/>
        <w:numPr>
          <w:ilvl w:val="0"/>
          <w:numId w:val="23"/>
        </w:numPr>
        <w:rPr>
          <w:rFonts w:ascii="Century Gothic" w:hAnsi="Century Gothic"/>
          <w:lang w:eastAsia="en-AU"/>
        </w:rPr>
      </w:pPr>
      <w:r>
        <w:rPr>
          <w:rFonts w:ascii="Century Gothic" w:hAnsi="Century Gothic"/>
          <w:lang w:eastAsia="en-AU"/>
        </w:rPr>
        <w:t xml:space="preserve">Educator Capability </w:t>
      </w:r>
    </w:p>
    <w:p w14:paraId="3FF000B6" w14:textId="5EBD954B" w:rsidR="00EE1207" w:rsidRDefault="006A04EE" w:rsidP="00EE1207">
      <w:pPr>
        <w:pStyle w:val="ListParagraph"/>
        <w:numPr>
          <w:ilvl w:val="0"/>
          <w:numId w:val="23"/>
        </w:numPr>
        <w:rPr>
          <w:rFonts w:ascii="Century Gothic" w:hAnsi="Century Gothic"/>
          <w:lang w:eastAsia="en-AU"/>
        </w:rPr>
      </w:pPr>
      <w:r>
        <w:rPr>
          <w:rFonts w:ascii="Century Gothic" w:hAnsi="Century Gothic"/>
          <w:lang w:eastAsia="en-AU"/>
        </w:rPr>
        <w:t xml:space="preserve">Assessment </w:t>
      </w:r>
      <w:r w:rsidR="00EE1207" w:rsidRPr="00EE1207">
        <w:rPr>
          <w:rFonts w:ascii="Century Gothic" w:hAnsi="Century Gothic"/>
          <w:lang w:eastAsia="en-AU"/>
        </w:rPr>
        <w:t>Design</w:t>
      </w:r>
    </w:p>
    <w:p w14:paraId="24ECCA8D" w14:textId="00D322FB" w:rsidR="00EE1207" w:rsidRDefault="00EE1207" w:rsidP="00EE1207">
      <w:pPr>
        <w:pStyle w:val="ListParagraph"/>
        <w:numPr>
          <w:ilvl w:val="0"/>
          <w:numId w:val="23"/>
        </w:numPr>
        <w:rPr>
          <w:rFonts w:ascii="Century Gothic" w:hAnsi="Century Gothic"/>
          <w:lang w:eastAsia="en-AU"/>
        </w:rPr>
      </w:pPr>
      <w:r>
        <w:rPr>
          <w:rFonts w:ascii="Century Gothic" w:hAnsi="Century Gothic"/>
          <w:lang w:eastAsia="en-AU"/>
        </w:rPr>
        <w:t>Review and Redesign</w:t>
      </w:r>
      <w:r w:rsidR="000011F6">
        <w:rPr>
          <w:rFonts w:ascii="Century Gothic" w:hAnsi="Century Gothic"/>
          <w:lang w:eastAsia="en-AU"/>
        </w:rPr>
        <w:t xml:space="preserve"> Existing Assessments</w:t>
      </w:r>
    </w:p>
    <w:p w14:paraId="43315F6E" w14:textId="00D1EF00" w:rsidR="00EE1207" w:rsidRPr="00EE1207" w:rsidRDefault="00EE1207" w:rsidP="00EE1207">
      <w:pPr>
        <w:pStyle w:val="ListParagraph"/>
        <w:numPr>
          <w:ilvl w:val="0"/>
          <w:numId w:val="23"/>
        </w:numPr>
        <w:rPr>
          <w:rFonts w:ascii="Century Gothic" w:hAnsi="Century Gothic"/>
          <w:lang w:eastAsia="en-AU"/>
        </w:rPr>
      </w:pPr>
      <w:r>
        <w:rPr>
          <w:rFonts w:ascii="Century Gothic" w:hAnsi="Century Gothic"/>
          <w:lang w:eastAsia="en-AU"/>
        </w:rPr>
        <w:t>Translating Assessment Online</w:t>
      </w:r>
    </w:p>
    <w:p w14:paraId="75581C5B" w14:textId="77777777" w:rsidR="00EE1207" w:rsidRPr="00EE1207" w:rsidRDefault="00EE1207" w:rsidP="00EE1207">
      <w:pPr>
        <w:pStyle w:val="ListParagraph"/>
        <w:numPr>
          <w:ilvl w:val="0"/>
          <w:numId w:val="23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Delivery</w:t>
      </w:r>
    </w:p>
    <w:p w14:paraId="5044D1E2" w14:textId="77777777" w:rsidR="00EE1207" w:rsidRPr="00EE1207" w:rsidRDefault="00EE1207" w:rsidP="00EE1207">
      <w:pPr>
        <w:pStyle w:val="ListParagraph"/>
        <w:numPr>
          <w:ilvl w:val="0"/>
          <w:numId w:val="23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Validation &amp; moderation</w:t>
      </w:r>
    </w:p>
    <w:p w14:paraId="7B34AAA2" w14:textId="77777777" w:rsidR="00EE1207" w:rsidRPr="00EE1207" w:rsidRDefault="00EE1207" w:rsidP="00EE1207">
      <w:pPr>
        <w:pStyle w:val="ListParagraph"/>
        <w:numPr>
          <w:ilvl w:val="0"/>
          <w:numId w:val="23"/>
        </w:numPr>
        <w:ind w:left="851" w:hanging="425"/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Student Support Information Sheet</w:t>
      </w:r>
    </w:p>
    <w:p w14:paraId="71A66AEF" w14:textId="77E0ECE5" w:rsidR="00EE1207" w:rsidRPr="00EE1207" w:rsidRDefault="00EE1207" w:rsidP="00EE1207">
      <w:p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These resources aim to support implementation, not just theory</w:t>
      </w:r>
      <w:r w:rsidR="00D20234">
        <w:rPr>
          <w:rFonts w:ascii="Century Gothic" w:hAnsi="Century Gothic"/>
          <w:lang w:eastAsia="en-AU"/>
        </w:rPr>
        <w:t>.</w:t>
      </w:r>
    </w:p>
    <w:p w14:paraId="18614B76" w14:textId="77777777" w:rsidR="00EE1207" w:rsidRPr="00EE1207" w:rsidRDefault="00EE1207" w:rsidP="00EE1207">
      <w:pPr>
        <w:pStyle w:val="Heading2"/>
        <w:rPr>
          <w:lang w:eastAsia="en-AU"/>
        </w:rPr>
      </w:pPr>
      <w:r w:rsidRPr="00EE1207">
        <w:rPr>
          <w:lang w:eastAsia="en-AU"/>
        </w:rPr>
        <w:t>Benefits &amp; Impact</w:t>
      </w:r>
    </w:p>
    <w:p w14:paraId="6798B26D" w14:textId="77777777" w:rsidR="00EE1207" w:rsidRPr="00EE1207" w:rsidRDefault="00EE1207" w:rsidP="00EE1207">
      <w:pPr>
        <w:pStyle w:val="ListParagraph"/>
        <w:numPr>
          <w:ilvl w:val="0"/>
          <w:numId w:val="24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Stronger collegial collaboration</w:t>
      </w:r>
    </w:p>
    <w:p w14:paraId="6801E127" w14:textId="77777777" w:rsidR="00EE1207" w:rsidRPr="00EE1207" w:rsidRDefault="00EE1207" w:rsidP="00EE1207">
      <w:pPr>
        <w:pStyle w:val="ListParagraph"/>
        <w:numPr>
          <w:ilvl w:val="0"/>
          <w:numId w:val="24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Deeper understanding of UDL in assessment</w:t>
      </w:r>
    </w:p>
    <w:p w14:paraId="720DBC35" w14:textId="77777777" w:rsidR="00EE1207" w:rsidRPr="00EE1207" w:rsidRDefault="00EE1207" w:rsidP="00EE1207">
      <w:pPr>
        <w:pStyle w:val="ListParagraph"/>
        <w:numPr>
          <w:ilvl w:val="0"/>
          <w:numId w:val="24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 xml:space="preserve">Evidence that: </w:t>
      </w:r>
    </w:p>
    <w:p w14:paraId="25B4908D" w14:textId="13FA4327" w:rsidR="00EE1207" w:rsidRPr="00EE1207" w:rsidRDefault="00EE1207" w:rsidP="00EE1207">
      <w:pPr>
        <w:pStyle w:val="ListParagraph"/>
        <w:numPr>
          <w:ilvl w:val="1"/>
          <w:numId w:val="24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UDL and ASQA are compatible</w:t>
      </w:r>
    </w:p>
    <w:p w14:paraId="09F68024" w14:textId="77777777" w:rsidR="00EE1207" w:rsidRDefault="00EE1207" w:rsidP="00EE1207">
      <w:pPr>
        <w:pStyle w:val="ListParagraph"/>
        <w:numPr>
          <w:ilvl w:val="1"/>
          <w:numId w:val="24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Inclusive assessment is achievable in VET</w:t>
      </w:r>
    </w:p>
    <w:p w14:paraId="59098A24" w14:textId="552866A4" w:rsidR="00EE1207" w:rsidRPr="00EE1207" w:rsidRDefault="00EE1207" w:rsidP="00EE1207">
      <w:pPr>
        <w:pStyle w:val="ListParagraph"/>
        <w:numPr>
          <w:ilvl w:val="0"/>
          <w:numId w:val="24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Sector-led solutions (“by VET, for VET”)</w:t>
      </w:r>
    </w:p>
    <w:p w14:paraId="26BA9471" w14:textId="67B6E1CB" w:rsidR="00EE1207" w:rsidRPr="00EE1207" w:rsidRDefault="00EE1207" w:rsidP="00EE1207">
      <w:p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These are active areas of ongoing work</w:t>
      </w:r>
    </w:p>
    <w:p w14:paraId="5EDD6F37" w14:textId="77777777" w:rsidR="00EE1207" w:rsidRPr="00EE1207" w:rsidRDefault="00EE1207" w:rsidP="00EE1207">
      <w:pPr>
        <w:pStyle w:val="Heading2"/>
        <w:rPr>
          <w:lang w:eastAsia="en-AU"/>
        </w:rPr>
      </w:pPr>
      <w:r w:rsidRPr="00EE1207">
        <w:rPr>
          <w:lang w:eastAsia="en-AU"/>
        </w:rPr>
        <w:t>Where to Next?</w:t>
      </w:r>
    </w:p>
    <w:p w14:paraId="70008BB6" w14:textId="77777777" w:rsidR="00EE1207" w:rsidRPr="00EE1207" w:rsidRDefault="00EE1207" w:rsidP="00EE1207">
      <w:pPr>
        <w:pStyle w:val="ListParagraph"/>
        <w:numPr>
          <w:ilvl w:val="0"/>
          <w:numId w:val="29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Expand and refine resources</w:t>
      </w:r>
    </w:p>
    <w:p w14:paraId="5FFCB32F" w14:textId="77777777" w:rsidR="00EE1207" w:rsidRPr="00EE1207" w:rsidRDefault="00EE1207" w:rsidP="00EE1207">
      <w:pPr>
        <w:pStyle w:val="ListParagraph"/>
        <w:numPr>
          <w:ilvl w:val="0"/>
          <w:numId w:val="29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Establish a central repository (“home” for tools)</w:t>
      </w:r>
    </w:p>
    <w:p w14:paraId="7C730BD4" w14:textId="77777777" w:rsidR="00EE1207" w:rsidRPr="00EE1207" w:rsidRDefault="00EE1207" w:rsidP="00EE1207">
      <w:pPr>
        <w:pStyle w:val="ListParagraph"/>
        <w:numPr>
          <w:ilvl w:val="0"/>
          <w:numId w:val="29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Strengthen quality assurance processes</w:t>
      </w:r>
    </w:p>
    <w:p w14:paraId="6499CA96" w14:textId="77777777" w:rsidR="00EE1207" w:rsidRPr="00EE1207" w:rsidRDefault="00EE1207" w:rsidP="00EE1207">
      <w:pPr>
        <w:pStyle w:val="ListParagraph"/>
        <w:numPr>
          <w:ilvl w:val="0"/>
          <w:numId w:val="29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Explore AI alignment opportunities</w:t>
      </w:r>
    </w:p>
    <w:p w14:paraId="7AFDBF05" w14:textId="77777777" w:rsidR="00EE1207" w:rsidRPr="00EE1207" w:rsidRDefault="00EE1207" w:rsidP="00EE1207">
      <w:pPr>
        <w:pStyle w:val="ListParagraph"/>
        <w:numPr>
          <w:ilvl w:val="0"/>
          <w:numId w:val="29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Broader sector impact</w:t>
      </w:r>
    </w:p>
    <w:p w14:paraId="33769554" w14:textId="24B7A0AE" w:rsidR="00EE1207" w:rsidRPr="00EE1207" w:rsidRDefault="00EE1207" w:rsidP="00EE1207">
      <w:pPr>
        <w:pStyle w:val="Heading2"/>
        <w:rPr>
          <w:lang w:eastAsia="en-AU"/>
        </w:rPr>
      </w:pPr>
      <w:r w:rsidRPr="00EE1207">
        <w:rPr>
          <w:lang w:eastAsia="en-AU"/>
        </w:rPr>
        <w:t>Get Involved</w:t>
      </w:r>
    </w:p>
    <w:p w14:paraId="674B8FEE" w14:textId="77777777" w:rsidR="00EE1207" w:rsidRPr="00EE1207" w:rsidRDefault="00EE1207" w:rsidP="00EE1207">
      <w:pPr>
        <w:pStyle w:val="ListParagraph"/>
        <w:numPr>
          <w:ilvl w:val="0"/>
          <w:numId w:val="27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Join the UDL VET Assessment CoP!</w:t>
      </w:r>
    </w:p>
    <w:p w14:paraId="58DD8430" w14:textId="77777777" w:rsidR="00EE1207" w:rsidRPr="00EE1207" w:rsidRDefault="00EE1207" w:rsidP="00EE1207">
      <w:pPr>
        <w:pStyle w:val="ListParagraph"/>
        <w:numPr>
          <w:ilvl w:val="1"/>
          <w:numId w:val="27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Monthly collaboration</w:t>
      </w:r>
    </w:p>
    <w:p w14:paraId="45250067" w14:textId="77777777" w:rsidR="00EE1207" w:rsidRPr="00EE1207" w:rsidRDefault="00EE1207" w:rsidP="00EE1207">
      <w:pPr>
        <w:pStyle w:val="ListParagraph"/>
        <w:numPr>
          <w:ilvl w:val="1"/>
          <w:numId w:val="27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Resource sharing</w:t>
      </w:r>
    </w:p>
    <w:p w14:paraId="378D3687" w14:textId="77777777" w:rsidR="00EE1207" w:rsidRPr="00EE1207" w:rsidRDefault="00EE1207" w:rsidP="00EE1207">
      <w:pPr>
        <w:pStyle w:val="ListParagraph"/>
        <w:numPr>
          <w:ilvl w:val="1"/>
          <w:numId w:val="27"/>
        </w:numPr>
        <w:rPr>
          <w:rFonts w:ascii="Century Gothic" w:hAnsi="Century Gothic"/>
          <w:lang w:eastAsia="en-AU"/>
        </w:rPr>
      </w:pPr>
      <w:r w:rsidRPr="00EE1207">
        <w:rPr>
          <w:rFonts w:ascii="Century Gothic" w:hAnsi="Century Gothic"/>
          <w:lang w:eastAsia="en-AU"/>
        </w:rPr>
        <w:t>Practical co-design opportunities</w:t>
      </w:r>
    </w:p>
    <w:p w14:paraId="0A006186" w14:textId="126568F7" w:rsidR="00EE1207" w:rsidRPr="00901788" w:rsidRDefault="00EE1207">
      <w:pPr>
        <w:rPr>
          <w:rFonts w:ascii="Century Gothic" w:hAnsi="Century Gothic"/>
        </w:rPr>
      </w:pPr>
      <w:r w:rsidRPr="00EE1207">
        <w:rPr>
          <w:rFonts w:ascii="Century Gothic" w:hAnsi="Century Gothic"/>
        </w:rPr>
        <w:t xml:space="preserve">Contact: Trina Bianchini </w:t>
      </w:r>
      <w:hyperlink r:id="rId22" w:history="1">
        <w:r w:rsidRPr="00EE1207">
          <w:rPr>
            <w:rStyle w:val="Hyperlink"/>
            <w:rFonts w:ascii="Century Gothic" w:hAnsi="Century Gothic"/>
          </w:rPr>
          <w:t>trina.bianchini@tafesa.edu.au</w:t>
        </w:r>
      </w:hyperlink>
    </w:p>
    <w:sectPr w:rsidR="00EE1207" w:rsidRPr="00901788" w:rsidSect="001E5038">
      <w:footerReference w:type="default" r:id="rId23"/>
      <w:pgSz w:w="11906" w:h="16838"/>
      <w:pgMar w:top="993" w:right="70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E1264" w14:textId="77777777" w:rsidR="002F4576" w:rsidRDefault="002F4576" w:rsidP="00EE1207">
      <w:pPr>
        <w:spacing w:after="0" w:line="240" w:lineRule="auto"/>
      </w:pPr>
      <w:r>
        <w:separator/>
      </w:r>
    </w:p>
  </w:endnote>
  <w:endnote w:type="continuationSeparator" w:id="0">
    <w:p w14:paraId="777FF7E9" w14:textId="77777777" w:rsidR="002F4576" w:rsidRDefault="002F4576" w:rsidP="00EE1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233403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7140AAB" w14:textId="632AFE11" w:rsidR="00EE1207" w:rsidRDefault="00EE1207" w:rsidP="00EE1207">
            <w:pPr>
              <w:pStyle w:val="Footer"/>
              <w:pBdr>
                <w:top w:val="single" w:sz="4" w:space="1" w:color="auto"/>
              </w:pBdr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B2AD98A" w14:textId="77777777" w:rsidR="00EE1207" w:rsidRDefault="00EE12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A140C" w14:textId="77777777" w:rsidR="002F4576" w:rsidRDefault="002F4576" w:rsidP="00EE1207">
      <w:pPr>
        <w:spacing w:after="0" w:line="240" w:lineRule="auto"/>
      </w:pPr>
      <w:r>
        <w:separator/>
      </w:r>
    </w:p>
  </w:footnote>
  <w:footnote w:type="continuationSeparator" w:id="0">
    <w:p w14:paraId="36A315A2" w14:textId="77777777" w:rsidR="002F4576" w:rsidRDefault="002F4576" w:rsidP="00EE12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C0EF6"/>
    <w:multiLevelType w:val="hybridMultilevel"/>
    <w:tmpl w:val="420A04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8449C"/>
    <w:multiLevelType w:val="multilevel"/>
    <w:tmpl w:val="FF8C5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A1046"/>
    <w:multiLevelType w:val="hybridMultilevel"/>
    <w:tmpl w:val="0D8295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347FC"/>
    <w:multiLevelType w:val="hybridMultilevel"/>
    <w:tmpl w:val="930243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F70AA"/>
    <w:multiLevelType w:val="hybridMultilevel"/>
    <w:tmpl w:val="58E24200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12DC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C61DBF"/>
    <w:multiLevelType w:val="hybridMultilevel"/>
    <w:tmpl w:val="AF3866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6903F0"/>
    <w:multiLevelType w:val="hybridMultilevel"/>
    <w:tmpl w:val="654A62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834396"/>
    <w:multiLevelType w:val="hybridMultilevel"/>
    <w:tmpl w:val="2392E3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57E59"/>
    <w:multiLevelType w:val="hybridMultilevel"/>
    <w:tmpl w:val="C1881AAC"/>
    <w:lvl w:ilvl="0" w:tplc="A7CCBE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0CC0D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8847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14E7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7671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840C9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DCF3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1425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46B0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1E205D3"/>
    <w:multiLevelType w:val="hybridMultilevel"/>
    <w:tmpl w:val="688ACC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16C9A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157AF2"/>
    <w:multiLevelType w:val="multilevel"/>
    <w:tmpl w:val="B72CA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335FEC"/>
    <w:multiLevelType w:val="hybridMultilevel"/>
    <w:tmpl w:val="C276D9E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09583F"/>
    <w:multiLevelType w:val="multilevel"/>
    <w:tmpl w:val="55365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45409C"/>
    <w:multiLevelType w:val="multilevel"/>
    <w:tmpl w:val="CB2E1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B231A1"/>
    <w:multiLevelType w:val="hybridMultilevel"/>
    <w:tmpl w:val="80223740"/>
    <w:lvl w:ilvl="0" w:tplc="89422C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7E447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olor w:val="auto"/>
        <w:sz w:val="24"/>
        <w:szCs w:val="24"/>
      </w:rPr>
    </w:lvl>
    <w:lvl w:ilvl="2" w:tplc="20B042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66A1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ACF4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1EC8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C6FD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B8C9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CCEA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AC02A54"/>
    <w:multiLevelType w:val="multilevel"/>
    <w:tmpl w:val="393AB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3D52BF"/>
    <w:multiLevelType w:val="hybridMultilevel"/>
    <w:tmpl w:val="4B50BA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0C4D77"/>
    <w:multiLevelType w:val="multilevel"/>
    <w:tmpl w:val="078A7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D77E1A"/>
    <w:multiLevelType w:val="hybridMultilevel"/>
    <w:tmpl w:val="2398C7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CB6596"/>
    <w:multiLevelType w:val="hybridMultilevel"/>
    <w:tmpl w:val="CA0470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0F271F"/>
    <w:multiLevelType w:val="multilevel"/>
    <w:tmpl w:val="06707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8B1240"/>
    <w:multiLevelType w:val="multilevel"/>
    <w:tmpl w:val="CCC66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377562"/>
    <w:multiLevelType w:val="multilevel"/>
    <w:tmpl w:val="05946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E13680"/>
    <w:multiLevelType w:val="hybridMultilevel"/>
    <w:tmpl w:val="68FAAF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F87B5D"/>
    <w:multiLevelType w:val="hybridMultilevel"/>
    <w:tmpl w:val="5B9CC344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FD14643"/>
    <w:multiLevelType w:val="hybridMultilevel"/>
    <w:tmpl w:val="6DB061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C5A0E"/>
    <w:multiLevelType w:val="hybridMultilevel"/>
    <w:tmpl w:val="20744E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71678E"/>
    <w:multiLevelType w:val="multilevel"/>
    <w:tmpl w:val="1ACC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7455B9"/>
    <w:multiLevelType w:val="multilevel"/>
    <w:tmpl w:val="C5981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60769F"/>
    <w:multiLevelType w:val="multilevel"/>
    <w:tmpl w:val="0376F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69C7528"/>
    <w:multiLevelType w:val="hybridMultilevel"/>
    <w:tmpl w:val="B284E3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564DA6"/>
    <w:multiLevelType w:val="multilevel"/>
    <w:tmpl w:val="1F6E4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EC106E"/>
    <w:multiLevelType w:val="hybridMultilevel"/>
    <w:tmpl w:val="F9A6DE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876AE0"/>
    <w:multiLevelType w:val="hybridMultilevel"/>
    <w:tmpl w:val="9C0639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592171"/>
    <w:multiLevelType w:val="hybridMultilevel"/>
    <w:tmpl w:val="54A806EC"/>
    <w:lvl w:ilvl="0" w:tplc="E7F41F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320CA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008B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E62F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10DD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44E0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96B5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E208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86F3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646F3A16"/>
    <w:multiLevelType w:val="hybridMultilevel"/>
    <w:tmpl w:val="15C81B7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CE74F0"/>
    <w:multiLevelType w:val="hybridMultilevel"/>
    <w:tmpl w:val="FCC4A46C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4F4E8A"/>
    <w:multiLevelType w:val="hybridMultilevel"/>
    <w:tmpl w:val="9C1C4C0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848282">
    <w:abstractNumId w:val="1"/>
  </w:num>
  <w:num w:numId="2" w16cid:durableId="1801728485">
    <w:abstractNumId w:val="28"/>
  </w:num>
  <w:num w:numId="3" w16cid:durableId="856311921">
    <w:abstractNumId w:val="27"/>
  </w:num>
  <w:num w:numId="4" w16cid:durableId="2102682117">
    <w:abstractNumId w:val="29"/>
  </w:num>
  <w:num w:numId="5" w16cid:durableId="60251473">
    <w:abstractNumId w:val="13"/>
  </w:num>
  <w:num w:numId="6" w16cid:durableId="237250864">
    <w:abstractNumId w:val="12"/>
  </w:num>
  <w:num w:numId="7" w16cid:durableId="627124384">
    <w:abstractNumId w:val="21"/>
  </w:num>
  <w:num w:numId="8" w16cid:durableId="792482412">
    <w:abstractNumId w:val="17"/>
  </w:num>
  <w:num w:numId="9" w16cid:durableId="1416366482">
    <w:abstractNumId w:val="20"/>
  </w:num>
  <w:num w:numId="10" w16cid:durableId="607547280">
    <w:abstractNumId w:val="22"/>
  </w:num>
  <w:num w:numId="11" w16cid:durableId="2012562822">
    <w:abstractNumId w:val="10"/>
  </w:num>
  <w:num w:numId="12" w16cid:durableId="1940870514">
    <w:abstractNumId w:val="31"/>
  </w:num>
  <w:num w:numId="13" w16cid:durableId="1571621209">
    <w:abstractNumId w:val="15"/>
  </w:num>
  <w:num w:numId="14" w16cid:durableId="923611167">
    <w:abstractNumId w:val="19"/>
  </w:num>
  <w:num w:numId="15" w16cid:durableId="1947695020">
    <w:abstractNumId w:val="32"/>
  </w:num>
  <w:num w:numId="16" w16cid:durableId="517233938">
    <w:abstractNumId w:val="16"/>
  </w:num>
  <w:num w:numId="17" w16cid:durableId="2127499395">
    <w:abstractNumId w:val="5"/>
  </w:num>
  <w:num w:numId="18" w16cid:durableId="695542282">
    <w:abstractNumId w:val="0"/>
  </w:num>
  <w:num w:numId="19" w16cid:durableId="296956742">
    <w:abstractNumId w:val="25"/>
  </w:num>
  <w:num w:numId="20" w16cid:durableId="682780373">
    <w:abstractNumId w:val="26"/>
  </w:num>
  <w:num w:numId="21" w16cid:durableId="312612098">
    <w:abstractNumId w:val="6"/>
  </w:num>
  <w:num w:numId="22" w16cid:durableId="934096762">
    <w:abstractNumId w:val="7"/>
  </w:num>
  <w:num w:numId="23" w16cid:durableId="1197502259">
    <w:abstractNumId w:val="24"/>
  </w:num>
  <w:num w:numId="24" w16cid:durableId="788671229">
    <w:abstractNumId w:val="30"/>
  </w:num>
  <w:num w:numId="25" w16cid:durableId="687372122">
    <w:abstractNumId w:val="37"/>
  </w:num>
  <w:num w:numId="26" w16cid:durableId="6639680">
    <w:abstractNumId w:val="35"/>
  </w:num>
  <w:num w:numId="27" w16cid:durableId="58678413">
    <w:abstractNumId w:val="33"/>
  </w:num>
  <w:num w:numId="28" w16cid:durableId="1516307540">
    <w:abstractNumId w:val="3"/>
  </w:num>
  <w:num w:numId="29" w16cid:durableId="1834107714">
    <w:abstractNumId w:val="2"/>
  </w:num>
  <w:num w:numId="30" w16cid:durableId="1207913788">
    <w:abstractNumId w:val="23"/>
  </w:num>
  <w:num w:numId="31" w16cid:durableId="1633629081">
    <w:abstractNumId w:val="18"/>
  </w:num>
  <w:num w:numId="32" w16cid:durableId="615022262">
    <w:abstractNumId w:val="8"/>
  </w:num>
  <w:num w:numId="33" w16cid:durableId="653295424">
    <w:abstractNumId w:val="34"/>
  </w:num>
  <w:num w:numId="34" w16cid:durableId="1869098253">
    <w:abstractNumId w:val="4"/>
  </w:num>
  <w:num w:numId="35" w16cid:durableId="2056812402">
    <w:abstractNumId w:val="14"/>
  </w:num>
  <w:num w:numId="36" w16cid:durableId="1242060941">
    <w:abstractNumId w:val="36"/>
  </w:num>
  <w:num w:numId="37" w16cid:durableId="700471564">
    <w:abstractNumId w:val="11"/>
  </w:num>
  <w:num w:numId="38" w16cid:durableId="15126402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207"/>
    <w:rsid w:val="000011F6"/>
    <w:rsid w:val="00054F67"/>
    <w:rsid w:val="00080FEF"/>
    <w:rsid w:val="001205C1"/>
    <w:rsid w:val="001B24D3"/>
    <w:rsid w:val="001E5038"/>
    <w:rsid w:val="002F4576"/>
    <w:rsid w:val="003662B0"/>
    <w:rsid w:val="003D68C2"/>
    <w:rsid w:val="004C63FA"/>
    <w:rsid w:val="004D154D"/>
    <w:rsid w:val="00517A0F"/>
    <w:rsid w:val="005E1E4B"/>
    <w:rsid w:val="00631515"/>
    <w:rsid w:val="00633749"/>
    <w:rsid w:val="006875D1"/>
    <w:rsid w:val="006A04EE"/>
    <w:rsid w:val="006D668D"/>
    <w:rsid w:val="006E710A"/>
    <w:rsid w:val="00763493"/>
    <w:rsid w:val="00796E9B"/>
    <w:rsid w:val="00901788"/>
    <w:rsid w:val="00A03E95"/>
    <w:rsid w:val="00A40EE7"/>
    <w:rsid w:val="00A611ED"/>
    <w:rsid w:val="00A81947"/>
    <w:rsid w:val="00AB6820"/>
    <w:rsid w:val="00AE735A"/>
    <w:rsid w:val="00B04F0E"/>
    <w:rsid w:val="00B2020A"/>
    <w:rsid w:val="00B715B2"/>
    <w:rsid w:val="00B74B3F"/>
    <w:rsid w:val="00C332CB"/>
    <w:rsid w:val="00C3587B"/>
    <w:rsid w:val="00C516B6"/>
    <w:rsid w:val="00C86E89"/>
    <w:rsid w:val="00D20234"/>
    <w:rsid w:val="00D365FF"/>
    <w:rsid w:val="00D61347"/>
    <w:rsid w:val="00D96F61"/>
    <w:rsid w:val="00E17D21"/>
    <w:rsid w:val="00E407B6"/>
    <w:rsid w:val="00EE1207"/>
    <w:rsid w:val="00F05564"/>
    <w:rsid w:val="00F62BA8"/>
    <w:rsid w:val="00FF1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10562"/>
  <w15:chartTrackingRefBased/>
  <w15:docId w15:val="{AF735D79-AB66-473F-85CC-E88FC4EA1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12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12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12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12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12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12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12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12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12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12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E12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E12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12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12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12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12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12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12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12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12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12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12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12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12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12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12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2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2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120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E1207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E12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1207"/>
  </w:style>
  <w:style w:type="paragraph" w:styleId="Footer">
    <w:name w:val="footer"/>
    <w:basedOn w:val="Normal"/>
    <w:link w:val="FooterChar"/>
    <w:uiPriority w:val="99"/>
    <w:unhideWhenUsed/>
    <w:rsid w:val="00EE12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207"/>
  </w:style>
  <w:style w:type="character" w:styleId="UnresolvedMention">
    <w:name w:val="Unresolved Mention"/>
    <w:basedOn w:val="DefaultParagraphFont"/>
    <w:uiPriority w:val="99"/>
    <w:semiHidden/>
    <w:unhideWhenUsed/>
    <w:rsid w:val="00EE1207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4D154D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D154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D154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4D154D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udlguidelines.cast.org/" TargetMode="External"/><Relationship Id="rId18" Type="http://schemas.openxmlformats.org/officeDocument/2006/relationships/hyperlink" Target="https://aaardvarkaccessibility.com/wcag-plain-english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ducationexpress.uts.edu.au/collections/accessible-personas/resources/overview-of-accessible-personas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asqa.gov.au/for-providers/standards-for-RTOs/practice-guides/quality-area-1-training-and-assessment/assessment-practice-guide" TargetMode="External"/><Relationship Id="rId17" Type="http://schemas.openxmlformats.org/officeDocument/2006/relationships/hyperlink" Target="https://www.w3.org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dcet.edu.au/inclusive-teaching/accessible-content/accessibility-basics" TargetMode="External"/><Relationship Id="rId20" Type="http://schemas.openxmlformats.org/officeDocument/2006/relationships/hyperlink" Target="https://aaardvarkaccessibility.com/wcag-plain-english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egacy.asqa.gov.au/how-we-regulate/revised-standards-rtos/practice-guides/practice-guide-assessment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aem.cast.org/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asqa.gov.au/for-providers/standards-for-RTOs" TargetMode="External"/><Relationship Id="rId19" Type="http://schemas.openxmlformats.org/officeDocument/2006/relationships/hyperlink" Target="https://aaardvarkaccessibility.com/wcag-plain-english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udloncampus.cast.org/home" TargetMode="External"/><Relationship Id="rId22" Type="http://schemas.openxmlformats.org/officeDocument/2006/relationships/hyperlink" Target="mailto:trina.bianchini@tafesa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2681ae-e6e2-4ee6-90fd-f2c0d11c7b09" xsi:nil="true"/>
    <lcf76f155ced4ddcb4097134ff3c332f xmlns="43435717-49c9-4489-9470-c7c98d62699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5E3D60D9E6E04A88E6C46A8F8E80F5" ma:contentTypeVersion="16" ma:contentTypeDescription="Create a new document." ma:contentTypeScope="" ma:versionID="f5aed76395544bcc02cc0faeb05a01bc">
  <xsd:schema xmlns:xsd="http://www.w3.org/2001/XMLSchema" xmlns:xs="http://www.w3.org/2001/XMLSchema" xmlns:p="http://schemas.microsoft.com/office/2006/metadata/properties" xmlns:ns2="43435717-49c9-4489-9470-c7c98d62699d" xmlns:ns3="242681ae-e6e2-4ee6-90fd-f2c0d11c7b09" targetNamespace="http://schemas.microsoft.com/office/2006/metadata/properties" ma:root="true" ma:fieldsID="48b7b69460e2f77a1f5861a96316e079" ns2:_="" ns3:_="">
    <xsd:import namespace="43435717-49c9-4489-9470-c7c98d62699d"/>
    <xsd:import namespace="242681ae-e6e2-4ee6-90fd-f2c0d11c7b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35717-49c9-4489-9470-c7c98d6269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be76f96-e7f0-4e7c-b4d8-bf0f4c547e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681ae-e6e2-4ee6-90fd-f2c0d11c7b0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d00c8ac-6135-4edf-90aa-1e6137a64d6d}" ma:internalName="TaxCatchAll" ma:showField="CatchAllData" ma:web="242681ae-e6e2-4ee6-90fd-f2c0d11c7b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E313AA-3672-40F4-9DD6-54D5AD1F0711}">
  <ds:schemaRefs>
    <ds:schemaRef ds:uri="http://schemas.microsoft.com/office/2006/metadata/properties"/>
    <ds:schemaRef ds:uri="http://schemas.microsoft.com/office/infopath/2007/PartnerControls"/>
    <ds:schemaRef ds:uri="242681ae-e6e2-4ee6-90fd-f2c0d11c7b09"/>
    <ds:schemaRef ds:uri="43435717-49c9-4489-9470-c7c98d62699d"/>
  </ds:schemaRefs>
</ds:datastoreItem>
</file>

<file path=customXml/itemProps2.xml><?xml version="1.0" encoding="utf-8"?>
<ds:datastoreItem xmlns:ds="http://schemas.openxmlformats.org/officeDocument/2006/customXml" ds:itemID="{76102983-E0E1-44A6-9ED6-2EDEB77C2F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437737-D5FD-43BD-85A0-B2074191E1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435717-49c9-4489-9470-c7c98d62699d"/>
    <ds:schemaRef ds:uri="242681ae-e6e2-4ee6-90fd-f2c0d11c7b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654</Words>
  <Characters>4226</Characters>
  <Application>Microsoft Office Word</Application>
  <DocSecurity>0</DocSecurity>
  <Lines>132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Cousins</dc:creator>
  <cp:keywords/>
  <dc:description/>
  <cp:lastModifiedBy>Kylie Geard</cp:lastModifiedBy>
  <cp:revision>7</cp:revision>
  <dcterms:created xsi:type="dcterms:W3CDTF">2026-05-27T06:46:00Z</dcterms:created>
  <dcterms:modified xsi:type="dcterms:W3CDTF">2026-07-25T07:54:00Z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0x010100595E3D60D9E6E04A88E6C46A8F8E80F5</vt:lpwstr>
  </property>
  <property fmtid="{D5CDD505-2E9C-101B-9397-08002B2CF9AE}" pid="3" name="MediaServiceImageTags">
    <vt:lpwstr/>
  </property>
</Properties>
</file>