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9E748" w14:textId="77777777" w:rsidR="005074EB" w:rsidRPr="001D39F6" w:rsidRDefault="00286A45" w:rsidP="001F6875">
      <w:pPr>
        <w:pStyle w:val="Title"/>
        <w:rPr>
          <w:rFonts w:ascii="Arial" w:hAnsi="Arial" w:cs="Arial"/>
        </w:rPr>
      </w:pPr>
      <w:r w:rsidRPr="001D39F6">
        <w:rPr>
          <w:rFonts w:ascii="Arial" w:hAnsi="Arial" w:cs="Arial"/>
        </w:rPr>
        <w:t>UDL Beyond the Course</w:t>
      </w:r>
    </w:p>
    <w:p w14:paraId="74AA718C" w14:textId="77777777" w:rsidR="005074EB" w:rsidRPr="00343705" w:rsidRDefault="00286A45" w:rsidP="001F6875">
      <w:pPr>
        <w:pStyle w:val="Subtitle"/>
        <w:rPr>
          <w:rFonts w:ascii="Arial" w:hAnsi="Arial" w:cs="Arial"/>
          <w:color w:val="244061" w:themeColor="accent1" w:themeShade="80"/>
        </w:rPr>
      </w:pPr>
      <w:r w:rsidRPr="00343705">
        <w:rPr>
          <w:rFonts w:ascii="Arial" w:hAnsi="Arial" w:cs="Arial"/>
          <w:color w:val="244061" w:themeColor="accent1" w:themeShade="80"/>
        </w:rPr>
        <w:t>Designing Program Structures for Access and Inclusion</w:t>
      </w:r>
    </w:p>
    <w:p w14:paraId="3C798722" w14:textId="04151578" w:rsidR="005074EB" w:rsidRPr="001D39F6" w:rsidRDefault="00286A45" w:rsidP="001F6875">
      <w:pPr>
        <w:rPr>
          <w:rFonts w:cs="Arial"/>
        </w:rPr>
      </w:pPr>
      <w:r w:rsidRPr="001D39F6">
        <w:rPr>
          <w:rFonts w:cs="Arial"/>
        </w:rPr>
        <w:t>Dr Rachel Kasturi and Dr Freddy Ha</w:t>
      </w:r>
      <w:r w:rsidR="001D39F6">
        <w:rPr>
          <w:rFonts w:cs="Arial"/>
        </w:rPr>
        <w:t>, Curriculum and Educational Design Team, Pro-Vice Chancellor Education, University of New South Wales</w:t>
      </w:r>
    </w:p>
    <w:p w14:paraId="71E46586" w14:textId="2EB1064E" w:rsidR="005074EB" w:rsidRPr="001D39F6" w:rsidRDefault="00286A45" w:rsidP="001D39F6">
      <w:pPr>
        <w:pStyle w:val="Heading1"/>
        <w:rPr>
          <w:rFonts w:ascii="Arial" w:hAnsi="Arial" w:cs="Arial"/>
        </w:rPr>
      </w:pPr>
      <w:r w:rsidRPr="001D39F6">
        <w:rPr>
          <w:rFonts w:ascii="Arial" w:hAnsi="Arial" w:cs="Arial"/>
        </w:rPr>
        <w:t>Overview and agenda</w:t>
      </w:r>
    </w:p>
    <w:p w14:paraId="6217B446" w14:textId="34C66A16" w:rsidR="005074EB" w:rsidRPr="001D39F6" w:rsidRDefault="00286A45">
      <w:pPr>
        <w:rPr>
          <w:rFonts w:cs="Arial"/>
          <w:sz w:val="22"/>
        </w:rPr>
      </w:pPr>
      <w:r w:rsidRPr="001D39F6">
        <w:rPr>
          <w:rFonts w:cs="Arial"/>
          <w:sz w:val="22"/>
        </w:rPr>
        <w:t>Th</w:t>
      </w:r>
      <w:r w:rsidR="00BE4401">
        <w:rPr>
          <w:rFonts w:cs="Arial"/>
          <w:sz w:val="22"/>
        </w:rPr>
        <w:t>is</w:t>
      </w:r>
      <w:r w:rsidRPr="001D39F6">
        <w:rPr>
          <w:rFonts w:cs="Arial"/>
          <w:sz w:val="22"/>
        </w:rPr>
        <w:t xml:space="preserve"> presentation focuses on Universal Design for Learning (UDL) beyond individual courses. It considers how program-level structures can be designed for access and inclusion, particularly in the context of </w:t>
      </w:r>
      <w:r w:rsidR="00CB7502" w:rsidRPr="001D39F6">
        <w:rPr>
          <w:rFonts w:cs="Arial"/>
          <w:sz w:val="22"/>
        </w:rPr>
        <w:t xml:space="preserve">institutional </w:t>
      </w:r>
      <w:r w:rsidRPr="001D39F6">
        <w:rPr>
          <w:rFonts w:cs="Arial"/>
          <w:sz w:val="22"/>
        </w:rPr>
        <w:t>curriculum transformation and pedagogical principles.</w:t>
      </w:r>
    </w:p>
    <w:p w14:paraId="3BE3051E" w14:textId="77777777" w:rsidR="008D543E" w:rsidRPr="001D39F6" w:rsidRDefault="008D543E" w:rsidP="008D543E">
      <w:pPr>
        <w:pStyle w:val="ListParagraph"/>
        <w:numPr>
          <w:ilvl w:val="0"/>
          <w:numId w:val="10"/>
        </w:numPr>
        <w:rPr>
          <w:rFonts w:cs="Arial"/>
          <w:sz w:val="22"/>
        </w:rPr>
      </w:pPr>
      <w:r w:rsidRPr="001D39F6">
        <w:rPr>
          <w:rFonts w:cs="Arial"/>
          <w:sz w:val="22"/>
        </w:rPr>
        <w:t>Curriculum Transformation</w:t>
      </w:r>
    </w:p>
    <w:p w14:paraId="0463E52D" w14:textId="77777777" w:rsidR="008D543E" w:rsidRPr="001D39F6" w:rsidRDefault="008D543E" w:rsidP="008D543E">
      <w:pPr>
        <w:pStyle w:val="ListParagraph"/>
        <w:numPr>
          <w:ilvl w:val="1"/>
          <w:numId w:val="10"/>
        </w:numPr>
        <w:rPr>
          <w:rFonts w:cs="Arial"/>
          <w:sz w:val="22"/>
        </w:rPr>
      </w:pPr>
      <w:r w:rsidRPr="001D39F6">
        <w:rPr>
          <w:rFonts w:cs="Arial"/>
          <w:sz w:val="22"/>
        </w:rPr>
        <w:t>How institutional curriculum change creates a context for reviewing program and course design.</w:t>
      </w:r>
    </w:p>
    <w:p w14:paraId="23FDD880" w14:textId="77777777" w:rsidR="008D543E" w:rsidRPr="001D39F6" w:rsidRDefault="008D543E" w:rsidP="008D543E">
      <w:pPr>
        <w:pStyle w:val="ListParagraph"/>
        <w:numPr>
          <w:ilvl w:val="0"/>
          <w:numId w:val="10"/>
        </w:numPr>
        <w:rPr>
          <w:rFonts w:cs="Arial"/>
          <w:sz w:val="22"/>
        </w:rPr>
      </w:pPr>
      <w:r w:rsidRPr="001D39F6">
        <w:rPr>
          <w:rFonts w:cs="Arial"/>
          <w:sz w:val="22"/>
        </w:rPr>
        <w:t>Pedagogical Principles</w:t>
      </w:r>
    </w:p>
    <w:p w14:paraId="5304CFB9" w14:textId="77777777" w:rsidR="008D543E" w:rsidRPr="001D39F6" w:rsidRDefault="008D543E" w:rsidP="008D543E">
      <w:pPr>
        <w:pStyle w:val="ListParagraph"/>
        <w:numPr>
          <w:ilvl w:val="1"/>
          <w:numId w:val="10"/>
        </w:numPr>
        <w:rPr>
          <w:rFonts w:cs="Arial"/>
          <w:sz w:val="22"/>
        </w:rPr>
      </w:pPr>
      <w:r w:rsidRPr="001D39F6">
        <w:rPr>
          <w:rFonts w:cs="Arial"/>
          <w:sz w:val="22"/>
        </w:rPr>
        <w:t>How shared principles can guide teaching, learning, assessment, and student-</w:t>
      </w:r>
      <w:proofErr w:type="spellStart"/>
      <w:r w:rsidRPr="001D39F6">
        <w:rPr>
          <w:rFonts w:cs="Arial"/>
          <w:sz w:val="22"/>
        </w:rPr>
        <w:t>centred</w:t>
      </w:r>
      <w:proofErr w:type="spellEnd"/>
      <w:r w:rsidRPr="001D39F6">
        <w:rPr>
          <w:rFonts w:cs="Arial"/>
          <w:sz w:val="22"/>
        </w:rPr>
        <w:t xml:space="preserve"> curriculum design.</w:t>
      </w:r>
    </w:p>
    <w:p w14:paraId="1697E0E4" w14:textId="77777777" w:rsidR="008D543E" w:rsidRPr="001D39F6" w:rsidRDefault="008D543E" w:rsidP="008D543E">
      <w:pPr>
        <w:pStyle w:val="ListParagraph"/>
        <w:numPr>
          <w:ilvl w:val="0"/>
          <w:numId w:val="10"/>
        </w:numPr>
        <w:rPr>
          <w:rFonts w:cs="Arial"/>
          <w:sz w:val="22"/>
        </w:rPr>
      </w:pPr>
      <w:r w:rsidRPr="001D39F6">
        <w:rPr>
          <w:rFonts w:cs="Arial"/>
          <w:sz w:val="22"/>
        </w:rPr>
        <w:t>Scaling UDL for Programs</w:t>
      </w:r>
    </w:p>
    <w:p w14:paraId="4342397F" w14:textId="057D551F" w:rsidR="005074EB" w:rsidRPr="001D39F6" w:rsidRDefault="008D543E" w:rsidP="008D543E">
      <w:pPr>
        <w:pStyle w:val="ListParagraph"/>
        <w:numPr>
          <w:ilvl w:val="1"/>
          <w:numId w:val="10"/>
        </w:numPr>
        <w:rPr>
          <w:rFonts w:cs="Arial"/>
          <w:sz w:val="22"/>
        </w:rPr>
      </w:pPr>
      <w:r w:rsidRPr="001D39F6">
        <w:rPr>
          <w:rFonts w:cs="Arial"/>
          <w:sz w:val="22"/>
        </w:rPr>
        <w:t>How UDL can be approached at program level without reducing it to a compliance checklist or one-size-fits-all model.</w:t>
      </w:r>
    </w:p>
    <w:p w14:paraId="5EA482F8" w14:textId="6711E211" w:rsidR="005074EB" w:rsidRPr="001D39F6" w:rsidRDefault="00286A45">
      <w:pPr>
        <w:pStyle w:val="Heading1"/>
        <w:rPr>
          <w:rFonts w:ascii="Arial" w:hAnsi="Arial" w:cs="Arial"/>
        </w:rPr>
      </w:pPr>
      <w:r w:rsidRPr="001D39F6">
        <w:rPr>
          <w:rFonts w:ascii="Arial" w:hAnsi="Arial" w:cs="Arial"/>
        </w:rPr>
        <w:t>Institutional context</w:t>
      </w:r>
    </w:p>
    <w:p w14:paraId="68414905" w14:textId="77777777" w:rsidR="005074EB" w:rsidRPr="001D39F6" w:rsidRDefault="00286A45">
      <w:pPr>
        <w:pStyle w:val="Heading2"/>
        <w:rPr>
          <w:rFonts w:ascii="Arial" w:hAnsi="Arial" w:cs="Arial"/>
        </w:rPr>
      </w:pPr>
      <w:r w:rsidRPr="001D39F6">
        <w:rPr>
          <w:rFonts w:ascii="Arial" w:hAnsi="Arial" w:cs="Arial"/>
        </w:rPr>
        <w:t>UNSW Strategy: Progress for All</w:t>
      </w:r>
    </w:p>
    <w:p w14:paraId="2B9B385B" w14:textId="40743DD6" w:rsidR="005074EB" w:rsidRPr="001D39F6" w:rsidRDefault="008D543E">
      <w:pPr>
        <w:rPr>
          <w:rFonts w:cs="Arial"/>
          <w:sz w:val="22"/>
        </w:rPr>
      </w:pPr>
      <w:r w:rsidRPr="001D39F6">
        <w:rPr>
          <w:rFonts w:cs="Arial"/>
          <w:sz w:val="22"/>
        </w:rPr>
        <w:t xml:space="preserve">Pillar One of </w:t>
      </w:r>
      <w:r w:rsidR="00CB7502">
        <w:rPr>
          <w:rFonts w:cs="Arial"/>
          <w:sz w:val="22"/>
        </w:rPr>
        <w:t>UNSW’s</w:t>
      </w:r>
      <w:r w:rsidRPr="001D39F6">
        <w:rPr>
          <w:rFonts w:cs="Arial"/>
          <w:sz w:val="22"/>
        </w:rPr>
        <w:t xml:space="preserve"> </w:t>
      </w:r>
      <w:proofErr w:type="gramStart"/>
      <w:r w:rsidRPr="001D39F6">
        <w:rPr>
          <w:rFonts w:cs="Arial"/>
          <w:sz w:val="22"/>
        </w:rPr>
        <w:t>strategy</w:t>
      </w:r>
      <w:proofErr w:type="gramEnd"/>
      <w:r w:rsidRPr="001D39F6">
        <w:rPr>
          <w:rFonts w:cs="Arial"/>
          <w:sz w:val="22"/>
        </w:rPr>
        <w:t xml:space="preserve"> is framed through accessible education: “Through accessible education, empower current and future generations.”</w:t>
      </w:r>
    </w:p>
    <w:p w14:paraId="7CCDD857" w14:textId="117032A9" w:rsidR="005074EB" w:rsidRPr="001D39F6" w:rsidRDefault="00286A45">
      <w:pPr>
        <w:pStyle w:val="Heading2"/>
        <w:rPr>
          <w:rFonts w:ascii="Arial" w:hAnsi="Arial" w:cs="Arial"/>
        </w:rPr>
      </w:pPr>
      <w:r w:rsidRPr="001D39F6">
        <w:rPr>
          <w:rFonts w:ascii="Arial" w:hAnsi="Arial" w:cs="Arial"/>
        </w:rPr>
        <w:t>Curriculum Transformation</w:t>
      </w:r>
      <w:r w:rsidR="00B868EA">
        <w:rPr>
          <w:rFonts w:ascii="Arial" w:hAnsi="Arial" w:cs="Arial"/>
        </w:rPr>
        <w:t xml:space="preserve"> and Pedagogical Principles</w:t>
      </w:r>
    </w:p>
    <w:p w14:paraId="0BB5D3C7" w14:textId="2FAF392F" w:rsidR="005074EB" w:rsidRPr="00B868EA" w:rsidRDefault="008D543E">
      <w:pPr>
        <w:rPr>
          <w:rFonts w:cs="Arial"/>
        </w:rPr>
      </w:pPr>
      <w:r w:rsidRPr="001D39F6">
        <w:rPr>
          <w:rFonts w:cs="Arial"/>
          <w:sz w:val="22"/>
        </w:rPr>
        <w:t xml:space="preserve">UNSW is transitioning to a Flex-Semester calendar by 2028. The curriculum transformation work is described as laying the foundations for transition to the Flex-Semester calendar. </w:t>
      </w:r>
      <w:r w:rsidR="00B868EA">
        <w:rPr>
          <w:rFonts w:cs="Arial"/>
          <w:sz w:val="22"/>
        </w:rPr>
        <w:t>As part of curriculum transformation, t</w:t>
      </w:r>
      <w:r w:rsidRPr="001D39F6">
        <w:rPr>
          <w:rFonts w:cs="Arial"/>
          <w:sz w:val="22"/>
        </w:rPr>
        <w:t>he pedagogical principles are intended to:</w:t>
      </w:r>
    </w:p>
    <w:p w14:paraId="598A4232" w14:textId="77777777" w:rsidR="005074EB" w:rsidRPr="001D39F6" w:rsidRDefault="00286A45">
      <w:pPr>
        <w:pStyle w:val="ListBullet"/>
        <w:rPr>
          <w:rFonts w:cs="Arial"/>
          <w:sz w:val="22"/>
        </w:rPr>
      </w:pPr>
      <w:r w:rsidRPr="001D39F6">
        <w:rPr>
          <w:rFonts w:cs="Arial"/>
          <w:sz w:val="22"/>
        </w:rPr>
        <w:t>articulate a clear and consistent educational philosophy to underpin teaching and support student learning</w:t>
      </w:r>
    </w:p>
    <w:p w14:paraId="19047148" w14:textId="77777777" w:rsidR="005074EB" w:rsidRPr="001D39F6" w:rsidRDefault="00286A45">
      <w:pPr>
        <w:pStyle w:val="ListBullet"/>
        <w:rPr>
          <w:rFonts w:cs="Arial"/>
          <w:sz w:val="22"/>
        </w:rPr>
      </w:pPr>
      <w:r w:rsidRPr="001D39F6">
        <w:rPr>
          <w:rFonts w:cs="Arial"/>
          <w:sz w:val="22"/>
        </w:rPr>
        <w:t>guide curriculum design and development</w:t>
      </w:r>
    </w:p>
    <w:p w14:paraId="5A7A9D70" w14:textId="77777777" w:rsidR="005074EB" w:rsidRPr="001D39F6" w:rsidRDefault="00286A45">
      <w:pPr>
        <w:pStyle w:val="ListBullet"/>
        <w:rPr>
          <w:rFonts w:cs="Arial"/>
          <w:sz w:val="22"/>
        </w:rPr>
      </w:pPr>
      <w:r w:rsidRPr="001D39F6">
        <w:rPr>
          <w:rFonts w:cs="Arial"/>
          <w:sz w:val="22"/>
        </w:rPr>
        <w:t>support student-centred teaching</w:t>
      </w:r>
    </w:p>
    <w:p w14:paraId="2CF6BA10" w14:textId="77777777" w:rsidR="005074EB" w:rsidRPr="001D39F6" w:rsidRDefault="00286A45">
      <w:pPr>
        <w:pStyle w:val="ListBullet"/>
        <w:rPr>
          <w:rFonts w:cs="Arial"/>
          <w:sz w:val="22"/>
        </w:rPr>
      </w:pPr>
      <w:r w:rsidRPr="001D39F6">
        <w:rPr>
          <w:rFonts w:cs="Arial"/>
          <w:sz w:val="22"/>
        </w:rPr>
        <w:t>encourage evidence-based teaching</w:t>
      </w:r>
    </w:p>
    <w:p w14:paraId="104CD2A1" w14:textId="77777777" w:rsidR="005074EB" w:rsidRPr="001D39F6" w:rsidRDefault="00286A45">
      <w:pPr>
        <w:pStyle w:val="Heading2"/>
        <w:rPr>
          <w:rFonts w:ascii="Arial" w:hAnsi="Arial" w:cs="Arial"/>
        </w:rPr>
      </w:pPr>
      <w:r w:rsidRPr="001D39F6">
        <w:rPr>
          <w:rFonts w:ascii="Arial" w:hAnsi="Arial" w:cs="Arial"/>
        </w:rPr>
        <w:t>Foundational Pedagogical Principles</w:t>
      </w:r>
    </w:p>
    <w:p w14:paraId="6E3923A8" w14:textId="77777777" w:rsidR="005074EB" w:rsidRPr="001D39F6" w:rsidRDefault="00286A45">
      <w:pPr>
        <w:rPr>
          <w:rFonts w:cs="Arial"/>
          <w:sz w:val="22"/>
        </w:rPr>
      </w:pPr>
      <w:r w:rsidRPr="001D39F6">
        <w:rPr>
          <w:rFonts w:cs="Arial"/>
          <w:sz w:val="22"/>
        </w:rPr>
        <w:t>The presentation highlights two foundational pedagogical principles for transforming education for UNSW’s future:</w:t>
      </w:r>
    </w:p>
    <w:p w14:paraId="2119D493" w14:textId="77777777" w:rsidR="005074EB" w:rsidRPr="001D39F6" w:rsidRDefault="00286A45">
      <w:pPr>
        <w:pStyle w:val="ListBullet"/>
        <w:rPr>
          <w:rFonts w:cs="Arial"/>
          <w:sz w:val="22"/>
        </w:rPr>
      </w:pPr>
      <w:r w:rsidRPr="001D39F6">
        <w:rPr>
          <w:rFonts w:cs="Arial"/>
          <w:sz w:val="22"/>
        </w:rPr>
        <w:t>Universal Design for Learning</w:t>
      </w:r>
    </w:p>
    <w:p w14:paraId="76FCDEA5" w14:textId="77777777" w:rsidR="005074EB" w:rsidRPr="001D39F6" w:rsidRDefault="00286A45">
      <w:pPr>
        <w:pStyle w:val="ListBullet"/>
        <w:rPr>
          <w:rFonts w:cs="Arial"/>
          <w:sz w:val="22"/>
        </w:rPr>
      </w:pPr>
      <w:r w:rsidRPr="001D39F6">
        <w:rPr>
          <w:rFonts w:cs="Arial"/>
          <w:sz w:val="22"/>
        </w:rPr>
        <w:t>Prioritising the cultural and emotional dimensions of learning</w:t>
      </w:r>
    </w:p>
    <w:p w14:paraId="5DF65893" w14:textId="0FF86F6D" w:rsidR="005074EB" w:rsidRPr="001D39F6" w:rsidRDefault="00B868EA">
      <w:pPr>
        <w:rPr>
          <w:rFonts w:cs="Arial"/>
          <w:sz w:val="22"/>
        </w:rPr>
      </w:pPr>
      <w:r>
        <w:rPr>
          <w:rFonts w:cs="Arial"/>
          <w:sz w:val="22"/>
        </w:rPr>
        <w:t>We aim for these principles to apply</w:t>
      </w:r>
      <w:r w:rsidRPr="001D39F6">
        <w:rPr>
          <w:rFonts w:cs="Arial"/>
          <w:sz w:val="22"/>
        </w:rPr>
        <w:t xml:space="preserve"> to all programs and all courses.</w:t>
      </w:r>
    </w:p>
    <w:p w14:paraId="4EB0EA53" w14:textId="77777777" w:rsidR="005074EB" w:rsidRPr="001D39F6" w:rsidRDefault="00286A45">
      <w:pPr>
        <w:pStyle w:val="Heading2"/>
        <w:rPr>
          <w:rFonts w:ascii="Arial" w:hAnsi="Arial" w:cs="Arial"/>
        </w:rPr>
      </w:pPr>
      <w:r w:rsidRPr="001D39F6">
        <w:rPr>
          <w:rFonts w:ascii="Arial" w:hAnsi="Arial" w:cs="Arial"/>
        </w:rPr>
        <w:lastRenderedPageBreak/>
        <w:t>Commitment, not compliance</w:t>
      </w:r>
    </w:p>
    <w:p w14:paraId="13D964FA" w14:textId="0B557B29" w:rsidR="005074EB" w:rsidRPr="006465E5" w:rsidRDefault="00286A45">
      <w:pPr>
        <w:rPr>
          <w:rFonts w:cs="Arial"/>
          <w:sz w:val="22"/>
        </w:rPr>
      </w:pPr>
      <w:r w:rsidRPr="001D39F6">
        <w:rPr>
          <w:rFonts w:cs="Arial"/>
          <w:sz w:val="22"/>
        </w:rPr>
        <w:t xml:space="preserve">The </w:t>
      </w:r>
      <w:r w:rsidR="008D543E" w:rsidRPr="001D39F6">
        <w:rPr>
          <w:rFonts w:cs="Arial"/>
          <w:sz w:val="22"/>
        </w:rPr>
        <w:t xml:space="preserve">pedagogical </w:t>
      </w:r>
      <w:r w:rsidRPr="001D39F6">
        <w:rPr>
          <w:rFonts w:cs="Arial"/>
          <w:sz w:val="22"/>
        </w:rPr>
        <w:t xml:space="preserve">principles are </w:t>
      </w:r>
      <w:r w:rsidR="008D543E" w:rsidRPr="001D39F6">
        <w:rPr>
          <w:rFonts w:cs="Arial"/>
          <w:sz w:val="22"/>
        </w:rPr>
        <w:t xml:space="preserve">not a compliance checklist but rather a </w:t>
      </w:r>
      <w:r w:rsidRPr="001D39F6">
        <w:rPr>
          <w:rFonts w:cs="Arial"/>
          <w:sz w:val="22"/>
        </w:rPr>
        <w:t xml:space="preserve">university-wide commitment to education that is relevant and responsive to students and society. </w:t>
      </w:r>
    </w:p>
    <w:p w14:paraId="16038531" w14:textId="4A545ED3" w:rsidR="005074EB" w:rsidRPr="001D39F6" w:rsidRDefault="008D543E">
      <w:pPr>
        <w:pStyle w:val="Heading1"/>
        <w:rPr>
          <w:rFonts w:ascii="Arial" w:hAnsi="Arial" w:cs="Arial"/>
        </w:rPr>
      </w:pPr>
      <w:r w:rsidRPr="001D39F6">
        <w:rPr>
          <w:rFonts w:ascii="Arial" w:hAnsi="Arial" w:cs="Arial"/>
        </w:rPr>
        <w:t>Scaling UDL: where policy, implementation, and evidence collide</w:t>
      </w:r>
    </w:p>
    <w:p w14:paraId="20196F63" w14:textId="2BA00DEF" w:rsidR="005074EB" w:rsidRPr="001D39F6" w:rsidRDefault="00286A45">
      <w:pPr>
        <w:rPr>
          <w:rFonts w:cs="Arial"/>
          <w:sz w:val="22"/>
        </w:rPr>
      </w:pPr>
      <w:r w:rsidRPr="001D39F6">
        <w:rPr>
          <w:rFonts w:cs="Arial"/>
          <w:sz w:val="22"/>
        </w:rPr>
        <w:t xml:space="preserve">Hollingshead, Lowrey, and Howery (2026) frame UDL scaling as important but not simple. The </w:t>
      </w:r>
      <w:r w:rsidR="00B868EA">
        <w:rPr>
          <w:rFonts w:cs="Arial"/>
          <w:sz w:val="22"/>
        </w:rPr>
        <w:t>authors caution</w:t>
      </w:r>
      <w:r w:rsidRPr="001D39F6">
        <w:rPr>
          <w:rFonts w:cs="Arial"/>
          <w:sz w:val="22"/>
        </w:rPr>
        <w:t xml:space="preserve"> that UDL is not simply the familiar “3 principles, 9 guidelines, and 31 checkpoints.” The framework also involves learner variability, barriers to curricula, intentional and iterative design, expert learning, and contextualised implementation.</w:t>
      </w:r>
    </w:p>
    <w:p w14:paraId="0AD2E07E" w14:textId="77777777" w:rsidR="005074EB" w:rsidRPr="001D39F6" w:rsidRDefault="00286A45">
      <w:pPr>
        <w:rPr>
          <w:rFonts w:cs="Arial"/>
          <w:sz w:val="22"/>
        </w:rPr>
      </w:pPr>
      <w:r w:rsidRPr="001D39F6">
        <w:rPr>
          <w:rFonts w:cs="Arial"/>
          <w:sz w:val="22"/>
        </w:rPr>
        <w:t>Key research cautions for institutional scaling are:</w:t>
      </w:r>
    </w:p>
    <w:p w14:paraId="56FAE5BD" w14:textId="29968DD8" w:rsidR="005074EB" w:rsidRPr="001D39F6" w:rsidRDefault="00286A45">
      <w:pPr>
        <w:pStyle w:val="ListBullet"/>
        <w:rPr>
          <w:rFonts w:cs="Arial"/>
          <w:sz w:val="22"/>
        </w:rPr>
      </w:pPr>
      <w:r w:rsidRPr="001D39F6">
        <w:rPr>
          <w:rFonts w:cs="Arial"/>
          <w:sz w:val="22"/>
        </w:rPr>
        <w:t>Policy and institutional commitment can run ahead of implementation knowledge</w:t>
      </w:r>
    </w:p>
    <w:p w14:paraId="724C64B1" w14:textId="29793297" w:rsidR="005074EB" w:rsidRPr="001D39F6" w:rsidRDefault="00286A45">
      <w:pPr>
        <w:pStyle w:val="ListBullet"/>
        <w:rPr>
          <w:rFonts w:cs="Arial"/>
          <w:sz w:val="22"/>
        </w:rPr>
      </w:pPr>
      <w:r w:rsidRPr="001D39F6">
        <w:rPr>
          <w:rFonts w:cs="Arial"/>
          <w:sz w:val="22"/>
        </w:rPr>
        <w:t>UDL is hard to measure because it is not one discrete intervention</w:t>
      </w:r>
    </w:p>
    <w:p w14:paraId="77BFBCC1" w14:textId="79AE3348" w:rsidR="005074EB" w:rsidRPr="001D39F6" w:rsidRDefault="00286A45">
      <w:pPr>
        <w:pStyle w:val="ListBullet"/>
        <w:rPr>
          <w:rFonts w:cs="Arial"/>
          <w:sz w:val="22"/>
        </w:rPr>
      </w:pPr>
      <w:r w:rsidRPr="001D39F6">
        <w:rPr>
          <w:rFonts w:cs="Arial"/>
          <w:sz w:val="22"/>
        </w:rPr>
        <w:t xml:space="preserve">There is no uniform </w:t>
      </w:r>
      <w:proofErr w:type="gramStart"/>
      <w:r w:rsidRPr="001D39F6">
        <w:rPr>
          <w:rFonts w:cs="Arial"/>
          <w:sz w:val="22"/>
        </w:rPr>
        <w:t>consensus</w:t>
      </w:r>
      <w:proofErr w:type="gramEnd"/>
      <w:r w:rsidRPr="001D39F6">
        <w:rPr>
          <w:rFonts w:cs="Arial"/>
          <w:sz w:val="22"/>
        </w:rPr>
        <w:t xml:space="preserve"> yet about what counts as effective UDL implementation</w:t>
      </w:r>
    </w:p>
    <w:p w14:paraId="11B92C08" w14:textId="2AF238C9" w:rsidR="005074EB" w:rsidRPr="001D39F6" w:rsidRDefault="00286A45">
      <w:pPr>
        <w:pStyle w:val="ListBullet"/>
        <w:rPr>
          <w:rFonts w:cs="Arial"/>
          <w:sz w:val="22"/>
        </w:rPr>
      </w:pPr>
      <w:r w:rsidRPr="001D39F6">
        <w:rPr>
          <w:rFonts w:cs="Arial"/>
          <w:sz w:val="22"/>
        </w:rPr>
        <w:t>Research is fragmented and definitions vary</w:t>
      </w:r>
    </w:p>
    <w:p w14:paraId="07DAE263" w14:textId="77777777" w:rsidR="005074EB" w:rsidRPr="001D39F6" w:rsidRDefault="00286A45">
      <w:pPr>
        <w:rPr>
          <w:rFonts w:cs="Arial"/>
          <w:sz w:val="22"/>
        </w:rPr>
      </w:pPr>
      <w:r w:rsidRPr="001D39F6">
        <w:rPr>
          <w:rFonts w:cs="Arial"/>
          <w:sz w:val="22"/>
        </w:rPr>
        <w:t>Implication for this presentation: program-level UDL needs shared design expectations, local interpretation, and ongoing review.</w:t>
      </w:r>
    </w:p>
    <w:p w14:paraId="139FD168" w14:textId="3360FC6B" w:rsidR="005074EB" w:rsidRPr="001D39F6" w:rsidRDefault="008D543E">
      <w:pPr>
        <w:pStyle w:val="Heading1"/>
        <w:rPr>
          <w:rFonts w:ascii="Arial" w:hAnsi="Arial" w:cs="Arial"/>
        </w:rPr>
      </w:pPr>
      <w:r w:rsidRPr="001D39F6">
        <w:rPr>
          <w:rFonts w:ascii="Arial" w:hAnsi="Arial" w:cs="Arial"/>
        </w:rPr>
        <w:t>Three focus areas for program-level UDL</w:t>
      </w:r>
    </w:p>
    <w:p w14:paraId="75314BD5" w14:textId="333C3767" w:rsidR="005074EB" w:rsidRPr="001D39F6" w:rsidRDefault="008D543E">
      <w:pPr>
        <w:rPr>
          <w:rFonts w:cs="Arial"/>
          <w:sz w:val="22"/>
        </w:rPr>
      </w:pPr>
      <w:r w:rsidRPr="001D39F6">
        <w:rPr>
          <w:rFonts w:cs="Arial"/>
          <w:sz w:val="22"/>
        </w:rPr>
        <w:t xml:space="preserve">We selected three focus areas as a practical starting point for noticing where barriers may be accumulating across a program. These areas are used as scaffolding for program </w:t>
      </w:r>
      <w:r w:rsidR="001D39F6" w:rsidRPr="001D39F6">
        <w:rPr>
          <w:rFonts w:cs="Arial"/>
          <w:sz w:val="22"/>
        </w:rPr>
        <w:t>check-in</w:t>
      </w:r>
      <w:r w:rsidRPr="001D39F6">
        <w:rPr>
          <w:rFonts w:cs="Arial"/>
          <w:sz w:val="22"/>
        </w:rPr>
        <w:t xml:space="preserve"> and reflection activities.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5074EB" w:rsidRPr="001D39F6" w14:paraId="05182682" w14:textId="77777777" w:rsidTr="001D39F6">
        <w:trPr>
          <w:tblHeader/>
          <w:jc w:val="center"/>
        </w:trPr>
        <w:tc>
          <w:tcPr>
            <w:tcW w:w="3312" w:type="dxa"/>
            <w:shd w:val="clear" w:color="auto" w:fill="EDEDED"/>
            <w:vAlign w:val="center"/>
          </w:tcPr>
          <w:p w14:paraId="7F372E66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b/>
                <w:sz w:val="22"/>
              </w:rPr>
              <w:t>Focus area</w:t>
            </w:r>
          </w:p>
        </w:tc>
        <w:tc>
          <w:tcPr>
            <w:tcW w:w="3312" w:type="dxa"/>
            <w:shd w:val="clear" w:color="auto" w:fill="EDEDED"/>
            <w:vAlign w:val="center"/>
          </w:tcPr>
          <w:p w14:paraId="02FC015C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b/>
                <w:sz w:val="22"/>
              </w:rPr>
              <w:t>Purpose at program level</w:t>
            </w:r>
          </w:p>
        </w:tc>
        <w:tc>
          <w:tcPr>
            <w:tcW w:w="3312" w:type="dxa"/>
            <w:shd w:val="clear" w:color="auto" w:fill="EDEDED"/>
            <w:vAlign w:val="center"/>
          </w:tcPr>
          <w:p w14:paraId="18CCD51B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b/>
                <w:sz w:val="22"/>
              </w:rPr>
              <w:t>Possible questions for a program team</w:t>
            </w:r>
          </w:p>
        </w:tc>
      </w:tr>
      <w:tr w:rsidR="005074EB" w:rsidRPr="001D39F6" w14:paraId="1E4E0B53" w14:textId="77777777">
        <w:trPr>
          <w:jc w:val="center"/>
        </w:trPr>
        <w:tc>
          <w:tcPr>
            <w:tcW w:w="3312" w:type="dxa"/>
          </w:tcPr>
          <w:p w14:paraId="0A8A0E77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>Accessibility and predictability</w:t>
            </w:r>
          </w:p>
        </w:tc>
        <w:tc>
          <w:tcPr>
            <w:tcW w:w="3312" w:type="dxa"/>
          </w:tcPr>
          <w:p w14:paraId="6D599869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>Make core information, learning pathways, and expectations easier to find, understand, and anticipate.</w:t>
            </w:r>
          </w:p>
        </w:tc>
        <w:tc>
          <w:tcPr>
            <w:tcW w:w="3312" w:type="dxa"/>
          </w:tcPr>
          <w:p w14:paraId="2138E24B" w14:textId="42A73EE3" w:rsidR="005074EB" w:rsidRPr="001D39F6" w:rsidRDefault="00B868E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Are basic accessibility practices in place</w:t>
            </w:r>
            <w:r w:rsidRPr="001D39F6">
              <w:rPr>
                <w:rFonts w:cs="Arial"/>
                <w:sz w:val="22"/>
              </w:rPr>
              <w:t xml:space="preserve">? </w:t>
            </w:r>
            <w:r>
              <w:rPr>
                <w:rFonts w:cs="Arial"/>
                <w:sz w:val="22"/>
              </w:rPr>
              <w:t xml:space="preserve">Is LMS or assessment navigation </w:t>
            </w:r>
            <w:r w:rsidRPr="001D39F6">
              <w:rPr>
                <w:rFonts w:cs="Arial"/>
                <w:sz w:val="22"/>
              </w:rPr>
              <w:t xml:space="preserve">predictable across </w:t>
            </w:r>
            <w:r>
              <w:rPr>
                <w:rFonts w:cs="Arial"/>
                <w:sz w:val="22"/>
              </w:rPr>
              <w:t>courses in the program</w:t>
            </w:r>
            <w:r w:rsidRPr="001D39F6">
              <w:rPr>
                <w:rFonts w:cs="Arial"/>
                <w:sz w:val="22"/>
              </w:rPr>
              <w:t>?</w:t>
            </w:r>
          </w:p>
        </w:tc>
      </w:tr>
      <w:tr w:rsidR="005074EB" w:rsidRPr="001D39F6" w14:paraId="050239B0" w14:textId="77777777">
        <w:trPr>
          <w:jc w:val="center"/>
        </w:trPr>
        <w:tc>
          <w:tcPr>
            <w:tcW w:w="3312" w:type="dxa"/>
          </w:tcPr>
          <w:p w14:paraId="33152BD8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>Expectations and hidden curriculum</w:t>
            </w:r>
          </w:p>
        </w:tc>
        <w:tc>
          <w:tcPr>
            <w:tcW w:w="3312" w:type="dxa"/>
          </w:tcPr>
          <w:p w14:paraId="4E3FDC41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>Surface assumptions about how students are expected to learn, participate, communicate, and succeed.</w:t>
            </w:r>
          </w:p>
        </w:tc>
        <w:tc>
          <w:tcPr>
            <w:tcW w:w="3312" w:type="dxa"/>
          </w:tcPr>
          <w:p w14:paraId="02F17AD7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>What do we assume students already know? Where might expectations be implicit rather than taught or explained?</w:t>
            </w:r>
          </w:p>
        </w:tc>
      </w:tr>
      <w:tr w:rsidR="005074EB" w:rsidRPr="001D39F6" w14:paraId="6B0AE466" w14:textId="77777777">
        <w:trPr>
          <w:jc w:val="center"/>
        </w:trPr>
        <w:tc>
          <w:tcPr>
            <w:tcW w:w="3312" w:type="dxa"/>
          </w:tcPr>
          <w:p w14:paraId="416BD587" w14:textId="77777777" w:rsidR="005074EB" w:rsidRPr="001D39F6" w:rsidRDefault="00286A45">
            <w:pPr>
              <w:rPr>
                <w:rFonts w:cs="Arial"/>
                <w:sz w:val="22"/>
              </w:rPr>
            </w:pPr>
            <w:proofErr w:type="gramStart"/>
            <w:r w:rsidRPr="001D39F6">
              <w:rPr>
                <w:rFonts w:cs="Arial"/>
                <w:sz w:val="22"/>
              </w:rPr>
              <w:t>Assessment</w:t>
            </w:r>
            <w:proofErr w:type="gramEnd"/>
            <w:r w:rsidRPr="001D39F6">
              <w:rPr>
                <w:rFonts w:cs="Arial"/>
                <w:sz w:val="22"/>
              </w:rPr>
              <w:t xml:space="preserve"> variety, pacing, and progression</w:t>
            </w:r>
          </w:p>
        </w:tc>
        <w:tc>
          <w:tcPr>
            <w:tcW w:w="3312" w:type="dxa"/>
          </w:tcPr>
          <w:p w14:paraId="60EB7C8A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>Review how assessment patterns accumulate across courses and over time.</w:t>
            </w:r>
          </w:p>
        </w:tc>
        <w:tc>
          <w:tcPr>
            <w:tcW w:w="3312" w:type="dxa"/>
          </w:tcPr>
          <w:p w14:paraId="4515A940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>Do students have early low-stakes practice? Are assessment types, timing, and weighting manageable across the program?</w:t>
            </w:r>
          </w:p>
        </w:tc>
      </w:tr>
    </w:tbl>
    <w:p w14:paraId="1BE90954" w14:textId="77777777" w:rsidR="005074EB" w:rsidRPr="001D39F6" w:rsidRDefault="005074EB">
      <w:pPr>
        <w:rPr>
          <w:rFonts w:cs="Arial"/>
        </w:rPr>
      </w:pPr>
    </w:p>
    <w:p w14:paraId="5617A11F" w14:textId="2F5C3ECC" w:rsidR="005074EB" w:rsidRPr="001D39F6" w:rsidRDefault="001D39F6">
      <w:pPr>
        <w:pStyle w:val="Heading1"/>
        <w:rPr>
          <w:rFonts w:ascii="Arial" w:hAnsi="Arial" w:cs="Arial"/>
        </w:rPr>
      </w:pPr>
      <w:r w:rsidRPr="001D39F6">
        <w:rPr>
          <w:rFonts w:ascii="Arial" w:hAnsi="Arial" w:cs="Arial"/>
        </w:rPr>
        <w:t>Facilitating proactive identification of student barriers</w:t>
      </w:r>
    </w:p>
    <w:p w14:paraId="638D18A6" w14:textId="48CD07E1" w:rsidR="005074EB" w:rsidRPr="001D39F6" w:rsidRDefault="001D39F6">
      <w:pPr>
        <w:rPr>
          <w:rFonts w:cs="Arial"/>
          <w:sz w:val="22"/>
        </w:rPr>
      </w:pPr>
      <w:r w:rsidRPr="001D39F6">
        <w:rPr>
          <w:rFonts w:cs="Arial"/>
          <w:sz w:val="22"/>
        </w:rPr>
        <w:t>We used three activities to help program teams identify barriers proactively. These activities correspond to the three focus areas above. A brief introduction to UDL is recommended before engaging participants in the exercises.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5074EB" w:rsidRPr="001D39F6" w14:paraId="7D7D1D82" w14:textId="77777777">
        <w:trPr>
          <w:jc w:val="center"/>
        </w:trPr>
        <w:tc>
          <w:tcPr>
            <w:tcW w:w="3312" w:type="dxa"/>
            <w:shd w:val="clear" w:color="auto" w:fill="EDEDED"/>
            <w:vAlign w:val="center"/>
          </w:tcPr>
          <w:p w14:paraId="36F771D8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b/>
                <w:sz w:val="22"/>
              </w:rPr>
              <w:lastRenderedPageBreak/>
              <w:t>Focus area</w:t>
            </w:r>
          </w:p>
        </w:tc>
        <w:tc>
          <w:tcPr>
            <w:tcW w:w="3312" w:type="dxa"/>
            <w:shd w:val="clear" w:color="auto" w:fill="EDEDED"/>
            <w:vAlign w:val="center"/>
          </w:tcPr>
          <w:p w14:paraId="4DD747A1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b/>
                <w:sz w:val="22"/>
              </w:rPr>
              <w:t>Activity</w:t>
            </w:r>
          </w:p>
        </w:tc>
        <w:tc>
          <w:tcPr>
            <w:tcW w:w="3312" w:type="dxa"/>
            <w:shd w:val="clear" w:color="auto" w:fill="EDEDED"/>
            <w:vAlign w:val="center"/>
          </w:tcPr>
          <w:p w14:paraId="56E3D55C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b/>
                <w:sz w:val="22"/>
              </w:rPr>
              <w:t>What the activity helps identify</w:t>
            </w:r>
          </w:p>
        </w:tc>
      </w:tr>
      <w:tr w:rsidR="005074EB" w:rsidRPr="001D39F6" w14:paraId="79FDABA3" w14:textId="77777777">
        <w:trPr>
          <w:jc w:val="center"/>
        </w:trPr>
        <w:tc>
          <w:tcPr>
            <w:tcW w:w="3312" w:type="dxa"/>
          </w:tcPr>
          <w:p w14:paraId="43E2046E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>Accessibility and predictability</w:t>
            </w:r>
          </w:p>
        </w:tc>
        <w:tc>
          <w:tcPr>
            <w:tcW w:w="3312" w:type="dxa"/>
          </w:tcPr>
          <w:p w14:paraId="50D0C1B5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>Program Awareness Check-in (Accessibility and UDL)</w:t>
            </w:r>
          </w:p>
        </w:tc>
        <w:tc>
          <w:tcPr>
            <w:tcW w:w="3312" w:type="dxa"/>
          </w:tcPr>
          <w:p w14:paraId="73A41D1C" w14:textId="4C682563" w:rsidR="005074EB" w:rsidRPr="001D39F6" w:rsidRDefault="00B868EA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Check-in about local accessibility and UDL practices</w:t>
            </w:r>
            <w:r w:rsidRPr="001D39F6">
              <w:rPr>
                <w:rFonts w:cs="Arial"/>
                <w:sz w:val="22"/>
              </w:rPr>
              <w:t>.</w:t>
            </w:r>
          </w:p>
        </w:tc>
      </w:tr>
      <w:tr w:rsidR="005074EB" w:rsidRPr="001D39F6" w14:paraId="6C7FF6AD" w14:textId="77777777">
        <w:trPr>
          <w:jc w:val="center"/>
        </w:trPr>
        <w:tc>
          <w:tcPr>
            <w:tcW w:w="3312" w:type="dxa"/>
          </w:tcPr>
          <w:p w14:paraId="13AE7EC9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>Expectations and hidden curriculum</w:t>
            </w:r>
          </w:p>
        </w:tc>
        <w:tc>
          <w:tcPr>
            <w:tcW w:w="3312" w:type="dxa"/>
          </w:tcPr>
          <w:p w14:paraId="28428E28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>Learner perspective exercise</w:t>
            </w:r>
          </w:p>
        </w:tc>
        <w:tc>
          <w:tcPr>
            <w:tcW w:w="3312" w:type="dxa"/>
          </w:tcPr>
          <w:p w14:paraId="1C5463A8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>Assumptions that may be invisible to staff but significant for students navigating the program.</w:t>
            </w:r>
          </w:p>
        </w:tc>
      </w:tr>
      <w:tr w:rsidR="005074EB" w:rsidRPr="001D39F6" w14:paraId="27935B44" w14:textId="77777777">
        <w:trPr>
          <w:jc w:val="center"/>
        </w:trPr>
        <w:tc>
          <w:tcPr>
            <w:tcW w:w="3312" w:type="dxa"/>
          </w:tcPr>
          <w:p w14:paraId="0427321A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>Assessment, pacing, and progression</w:t>
            </w:r>
          </w:p>
        </w:tc>
        <w:tc>
          <w:tcPr>
            <w:tcW w:w="3312" w:type="dxa"/>
          </w:tcPr>
          <w:p w14:paraId="6EB9CE9B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>Assessment Mix Activity</w:t>
            </w:r>
          </w:p>
        </w:tc>
        <w:tc>
          <w:tcPr>
            <w:tcW w:w="3312" w:type="dxa"/>
          </w:tcPr>
          <w:p w14:paraId="6938153B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>Patterns in assessment timing, weighting, format, and progression across courses.</w:t>
            </w:r>
          </w:p>
        </w:tc>
      </w:tr>
    </w:tbl>
    <w:p w14:paraId="5B210995" w14:textId="77777777" w:rsidR="005074EB" w:rsidRPr="001D39F6" w:rsidRDefault="005074EB">
      <w:pPr>
        <w:rPr>
          <w:rFonts w:cs="Arial"/>
        </w:rPr>
      </w:pPr>
    </w:p>
    <w:p w14:paraId="7EF834D0" w14:textId="25C86920" w:rsidR="005074EB" w:rsidRPr="001D39F6" w:rsidRDefault="001D39F6" w:rsidP="001D39F6">
      <w:pPr>
        <w:pStyle w:val="Heading1"/>
      </w:pPr>
      <w:r w:rsidRPr="001D39F6">
        <w:t>Tracking and iteratively strengthening practice over time</w:t>
      </w:r>
    </w:p>
    <w:p w14:paraId="130EFC96" w14:textId="2CBB7CD5" w:rsidR="005074EB" w:rsidRPr="001D39F6" w:rsidRDefault="001D39F6">
      <w:pPr>
        <w:rPr>
          <w:rFonts w:cs="Arial"/>
          <w:sz w:val="22"/>
        </w:rPr>
      </w:pPr>
      <w:r w:rsidRPr="001D39F6">
        <w:rPr>
          <w:rFonts w:cs="Arial"/>
          <w:sz w:val="22"/>
        </w:rPr>
        <w:t>We emphasized that program-level UDL is not a one-off activity. The purpose is to track and iteratively strengthen inclusive and supportive practices over time.</w:t>
      </w:r>
    </w:p>
    <w:p w14:paraId="40FCC50F" w14:textId="77777777" w:rsidR="005074EB" w:rsidRPr="001D39F6" w:rsidRDefault="00286A45">
      <w:pPr>
        <w:pStyle w:val="Heading2"/>
        <w:rPr>
          <w:rFonts w:ascii="Arial" w:hAnsi="Arial" w:cs="Arial"/>
        </w:rPr>
      </w:pPr>
      <w:r w:rsidRPr="001D39F6">
        <w:rPr>
          <w:rFonts w:ascii="Arial" w:hAnsi="Arial" w:cs="Arial"/>
        </w:rPr>
        <w:t xml:space="preserve">Shared Baseline Plus One </w:t>
      </w:r>
      <w:proofErr w:type="gramStart"/>
      <w:r w:rsidRPr="001D39F6">
        <w:rPr>
          <w:rFonts w:ascii="Arial" w:hAnsi="Arial" w:cs="Arial"/>
        </w:rPr>
        <w:t>template</w:t>
      </w:r>
      <w:proofErr w:type="gramEnd"/>
    </w:p>
    <w:p w14:paraId="3C209DA0" w14:textId="2B102E11" w:rsidR="005074EB" w:rsidRPr="001D39F6" w:rsidRDefault="00286A45">
      <w:pPr>
        <w:rPr>
          <w:rFonts w:cs="Arial"/>
          <w:sz w:val="22"/>
        </w:rPr>
      </w:pPr>
      <w:r w:rsidRPr="001D39F6">
        <w:rPr>
          <w:rFonts w:cs="Arial"/>
          <w:sz w:val="22"/>
        </w:rPr>
        <w:t>The Shared Baseline Plus One template is a practical compromise for scaling UDL</w:t>
      </w:r>
      <w:r w:rsidR="00244C69">
        <w:rPr>
          <w:rFonts w:cs="Arial"/>
          <w:sz w:val="22"/>
        </w:rPr>
        <w:t>; inspired and adapted from Tom Tobin’s (2024) work on UDL at Scale</w:t>
      </w:r>
      <w:r w:rsidRPr="001D39F6">
        <w:rPr>
          <w:rFonts w:cs="Arial"/>
          <w:sz w:val="22"/>
        </w:rPr>
        <w:t>. It creates enough consistency for program-level coherence while leaving room for educators to adapt practices to their course context and student feedback.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5074EB" w:rsidRPr="001D39F6" w14:paraId="2D776CC8" w14:textId="77777777" w:rsidTr="001D39F6">
        <w:trPr>
          <w:tblHeader/>
          <w:jc w:val="center"/>
        </w:trPr>
        <w:tc>
          <w:tcPr>
            <w:tcW w:w="4968" w:type="dxa"/>
            <w:shd w:val="clear" w:color="auto" w:fill="EDEDED"/>
            <w:vAlign w:val="center"/>
          </w:tcPr>
          <w:p w14:paraId="4A4BE069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b/>
                <w:sz w:val="22"/>
              </w:rPr>
              <w:t>Component</w:t>
            </w:r>
          </w:p>
        </w:tc>
        <w:tc>
          <w:tcPr>
            <w:tcW w:w="4968" w:type="dxa"/>
            <w:shd w:val="clear" w:color="auto" w:fill="EDEDED"/>
            <w:vAlign w:val="center"/>
          </w:tcPr>
          <w:p w14:paraId="5BECFB74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b/>
                <w:sz w:val="22"/>
              </w:rPr>
              <w:t>Description</w:t>
            </w:r>
          </w:p>
        </w:tc>
      </w:tr>
      <w:tr w:rsidR="005074EB" w:rsidRPr="001D39F6" w14:paraId="451EEF5E" w14:textId="77777777">
        <w:trPr>
          <w:jc w:val="center"/>
        </w:trPr>
        <w:tc>
          <w:tcPr>
            <w:tcW w:w="4968" w:type="dxa"/>
          </w:tcPr>
          <w:p w14:paraId="5994EDC0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>Shared Baseline</w:t>
            </w:r>
          </w:p>
        </w:tc>
        <w:tc>
          <w:tcPr>
            <w:tcW w:w="4968" w:type="dxa"/>
          </w:tcPr>
          <w:p w14:paraId="4171C853" w14:textId="7560AECE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>A program agrees on a baseline practice for engagement, a baseline practice for representation, and a baseline practice for action and expression</w:t>
            </w:r>
            <w:r w:rsidR="00B868EA">
              <w:rPr>
                <w:rFonts w:cs="Arial"/>
                <w:sz w:val="22"/>
              </w:rPr>
              <w:t>, ideally based on student feedback and program insights</w:t>
            </w:r>
            <w:r w:rsidRPr="001D39F6">
              <w:rPr>
                <w:rFonts w:cs="Arial"/>
                <w:sz w:val="22"/>
              </w:rPr>
              <w:t>.</w:t>
            </w:r>
          </w:p>
        </w:tc>
      </w:tr>
      <w:tr w:rsidR="005074EB" w:rsidRPr="001D39F6" w14:paraId="0967DACB" w14:textId="77777777">
        <w:trPr>
          <w:jc w:val="center"/>
        </w:trPr>
        <w:tc>
          <w:tcPr>
            <w:tcW w:w="4968" w:type="dxa"/>
          </w:tcPr>
          <w:p w14:paraId="7AD37ACC" w14:textId="77777777" w:rsidR="005074EB" w:rsidRPr="001D39F6" w:rsidRDefault="00286A45">
            <w:pPr>
              <w:rPr>
                <w:rFonts w:cs="Arial"/>
                <w:sz w:val="22"/>
              </w:rPr>
            </w:pPr>
            <w:proofErr w:type="gramStart"/>
            <w:r w:rsidRPr="001D39F6">
              <w:rPr>
                <w:rFonts w:cs="Arial"/>
                <w:sz w:val="22"/>
              </w:rPr>
              <w:t>Plus</w:t>
            </w:r>
            <w:proofErr w:type="gramEnd"/>
            <w:r w:rsidRPr="001D39F6">
              <w:rPr>
                <w:rFonts w:cs="Arial"/>
                <w:sz w:val="22"/>
              </w:rPr>
              <w:t xml:space="preserve"> One</w:t>
            </w:r>
          </w:p>
        </w:tc>
        <w:tc>
          <w:tcPr>
            <w:tcW w:w="4968" w:type="dxa"/>
          </w:tcPr>
          <w:p w14:paraId="1E1AE8F6" w14:textId="0FFC71BE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 xml:space="preserve">Individual educators add one intentional, course-specific change based on </w:t>
            </w:r>
            <w:r w:rsidR="00B868EA">
              <w:rPr>
                <w:rFonts w:cs="Arial"/>
                <w:sz w:val="22"/>
              </w:rPr>
              <w:t xml:space="preserve">their practice, </w:t>
            </w:r>
            <w:r w:rsidRPr="001D39F6">
              <w:rPr>
                <w:rFonts w:cs="Arial"/>
                <w:sz w:val="22"/>
              </w:rPr>
              <w:t xml:space="preserve">student feedback </w:t>
            </w:r>
            <w:r w:rsidR="00B868EA">
              <w:rPr>
                <w:rFonts w:cs="Arial"/>
                <w:sz w:val="22"/>
              </w:rPr>
              <w:t>and/</w:t>
            </w:r>
            <w:r w:rsidRPr="001D39F6">
              <w:rPr>
                <w:rFonts w:cs="Arial"/>
                <w:sz w:val="22"/>
              </w:rPr>
              <w:t>or priorities.</w:t>
            </w:r>
          </w:p>
        </w:tc>
      </w:tr>
      <w:tr w:rsidR="005074EB" w:rsidRPr="001D39F6" w14:paraId="56655D2A" w14:textId="77777777">
        <w:trPr>
          <w:jc w:val="center"/>
        </w:trPr>
        <w:tc>
          <w:tcPr>
            <w:tcW w:w="4968" w:type="dxa"/>
          </w:tcPr>
          <w:p w14:paraId="704164C7" w14:textId="77777777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>Updating the baseline</w:t>
            </w:r>
          </w:p>
        </w:tc>
        <w:tc>
          <w:tcPr>
            <w:tcW w:w="4968" w:type="dxa"/>
          </w:tcPr>
          <w:p w14:paraId="17C407A1" w14:textId="3E1AEC70" w:rsidR="005074EB" w:rsidRPr="001D39F6" w:rsidRDefault="00286A45">
            <w:pPr>
              <w:rPr>
                <w:rFonts w:cs="Arial"/>
                <w:sz w:val="22"/>
              </w:rPr>
            </w:pPr>
            <w:r w:rsidRPr="001D39F6">
              <w:rPr>
                <w:rFonts w:cs="Arial"/>
                <w:sz w:val="22"/>
              </w:rPr>
              <w:t>Once expectations are met or exceeded, the shared baseline can be updated and strengthened</w:t>
            </w:r>
            <w:r w:rsidR="00B868EA">
              <w:rPr>
                <w:rFonts w:cs="Arial"/>
                <w:sz w:val="22"/>
              </w:rPr>
              <w:t xml:space="preserve"> through a review process</w:t>
            </w:r>
            <w:r w:rsidRPr="001D39F6">
              <w:rPr>
                <w:rFonts w:cs="Arial"/>
                <w:sz w:val="22"/>
              </w:rPr>
              <w:t>.</w:t>
            </w:r>
          </w:p>
        </w:tc>
      </w:tr>
    </w:tbl>
    <w:p w14:paraId="09B3FE83" w14:textId="77777777" w:rsidR="005074EB" w:rsidRPr="001D39F6" w:rsidRDefault="005074EB">
      <w:pPr>
        <w:rPr>
          <w:rFonts w:cs="Arial"/>
        </w:rPr>
      </w:pPr>
    </w:p>
    <w:p w14:paraId="59378A6E" w14:textId="77777777" w:rsidR="005074EB" w:rsidRPr="001D39F6" w:rsidRDefault="00286A45">
      <w:pPr>
        <w:pStyle w:val="Heading2"/>
        <w:rPr>
          <w:rFonts w:ascii="Arial" w:hAnsi="Arial" w:cs="Arial"/>
        </w:rPr>
      </w:pPr>
      <w:r w:rsidRPr="001D39F6">
        <w:rPr>
          <w:rFonts w:ascii="Arial" w:hAnsi="Arial" w:cs="Arial"/>
        </w:rPr>
        <w:t>Optional adoption and boundaries</w:t>
      </w:r>
    </w:p>
    <w:p w14:paraId="42C6898F" w14:textId="05CA4AC4" w:rsidR="005074EB" w:rsidRPr="001D39F6" w:rsidRDefault="001D39F6">
      <w:pPr>
        <w:rPr>
          <w:rFonts w:cs="Arial"/>
          <w:sz w:val="22"/>
        </w:rPr>
      </w:pPr>
      <w:r w:rsidRPr="001D39F6">
        <w:rPr>
          <w:rFonts w:cs="Arial"/>
          <w:sz w:val="22"/>
        </w:rPr>
        <w:t>We framed adoption of this approach</w:t>
      </w:r>
      <w:r w:rsidR="00B868EA">
        <w:rPr>
          <w:rFonts w:cs="Arial"/>
          <w:sz w:val="22"/>
        </w:rPr>
        <w:t xml:space="preserve"> for </w:t>
      </w:r>
      <w:proofErr w:type="gramStart"/>
      <w:r w:rsidR="00B868EA">
        <w:rPr>
          <w:rFonts w:cs="Arial"/>
          <w:sz w:val="22"/>
        </w:rPr>
        <w:t>program</w:t>
      </w:r>
      <w:proofErr w:type="gramEnd"/>
      <w:r w:rsidR="00B868EA">
        <w:rPr>
          <w:rFonts w:cs="Arial"/>
          <w:sz w:val="22"/>
        </w:rPr>
        <w:t xml:space="preserve"> teams</w:t>
      </w:r>
      <w:r w:rsidRPr="001D39F6">
        <w:rPr>
          <w:rFonts w:cs="Arial"/>
          <w:sz w:val="22"/>
        </w:rPr>
        <w:t xml:space="preserve"> as optional. Where adopted, adoption can be defined in practical terms:</w:t>
      </w:r>
    </w:p>
    <w:p w14:paraId="5598067E" w14:textId="77777777" w:rsidR="005074EB" w:rsidRPr="001D39F6" w:rsidRDefault="00286A45">
      <w:pPr>
        <w:pStyle w:val="ListBullet"/>
        <w:rPr>
          <w:rFonts w:cs="Arial"/>
          <w:sz w:val="22"/>
        </w:rPr>
      </w:pPr>
      <w:proofErr w:type="gramStart"/>
      <w:r w:rsidRPr="001D39F6">
        <w:rPr>
          <w:rFonts w:cs="Arial"/>
          <w:sz w:val="22"/>
        </w:rPr>
        <w:t>each</w:t>
      </w:r>
      <w:proofErr w:type="gramEnd"/>
      <w:r w:rsidRPr="001D39F6">
        <w:rPr>
          <w:rFonts w:cs="Arial"/>
          <w:sz w:val="22"/>
        </w:rPr>
        <w:t xml:space="preserve"> program identifies recurring barriers</w:t>
      </w:r>
    </w:p>
    <w:p w14:paraId="443DFDEB" w14:textId="77777777" w:rsidR="005074EB" w:rsidRPr="001D39F6" w:rsidRDefault="00286A45">
      <w:pPr>
        <w:pStyle w:val="ListBullet"/>
        <w:rPr>
          <w:rFonts w:cs="Arial"/>
          <w:sz w:val="22"/>
        </w:rPr>
      </w:pPr>
      <w:r w:rsidRPr="001D39F6">
        <w:rPr>
          <w:rFonts w:cs="Arial"/>
          <w:sz w:val="22"/>
        </w:rPr>
        <w:t>the program agrees on a shared baseline</w:t>
      </w:r>
    </w:p>
    <w:p w14:paraId="1942FAAA" w14:textId="77777777" w:rsidR="005074EB" w:rsidRPr="001D39F6" w:rsidRDefault="00286A45">
      <w:pPr>
        <w:pStyle w:val="ListBullet"/>
        <w:rPr>
          <w:rFonts w:cs="Arial"/>
          <w:sz w:val="22"/>
        </w:rPr>
      </w:pPr>
      <w:proofErr w:type="gramStart"/>
      <w:r w:rsidRPr="001D39F6">
        <w:rPr>
          <w:rFonts w:cs="Arial"/>
          <w:sz w:val="22"/>
        </w:rPr>
        <w:t>the</w:t>
      </w:r>
      <w:proofErr w:type="gramEnd"/>
      <w:r w:rsidRPr="001D39F6">
        <w:rPr>
          <w:rFonts w:cs="Arial"/>
          <w:sz w:val="22"/>
        </w:rPr>
        <w:t xml:space="preserve"> program implements at least one improvement in each focus area</w:t>
      </w:r>
    </w:p>
    <w:p w14:paraId="3996FA84" w14:textId="3966A655" w:rsidR="005074EB" w:rsidRPr="001D39F6" w:rsidRDefault="00286A45">
      <w:pPr>
        <w:pStyle w:val="ListBullet"/>
        <w:rPr>
          <w:rFonts w:cs="Arial"/>
          <w:sz w:val="22"/>
        </w:rPr>
      </w:pPr>
      <w:proofErr w:type="gramStart"/>
      <w:r w:rsidRPr="001D39F6">
        <w:rPr>
          <w:rFonts w:cs="Arial"/>
          <w:sz w:val="22"/>
        </w:rPr>
        <w:lastRenderedPageBreak/>
        <w:t>the</w:t>
      </w:r>
      <w:proofErr w:type="gramEnd"/>
      <w:r w:rsidRPr="001D39F6">
        <w:rPr>
          <w:rFonts w:cs="Arial"/>
          <w:sz w:val="22"/>
        </w:rPr>
        <w:t xml:space="preserve"> program reviews evidence from students, such as feedback on predictability, assessment </w:t>
      </w:r>
      <w:r w:rsidR="00B868EA">
        <w:rPr>
          <w:rFonts w:cs="Arial"/>
          <w:sz w:val="22"/>
        </w:rPr>
        <w:t>flexibility</w:t>
      </w:r>
      <w:r w:rsidRPr="001D39F6">
        <w:rPr>
          <w:rFonts w:cs="Arial"/>
          <w:sz w:val="22"/>
        </w:rPr>
        <w:t>, clarity of expectations, and LMS accessibility</w:t>
      </w:r>
    </w:p>
    <w:p w14:paraId="70155A9D" w14:textId="77777777" w:rsidR="005074EB" w:rsidRPr="001D39F6" w:rsidRDefault="00286A45">
      <w:pPr>
        <w:rPr>
          <w:rFonts w:cs="Arial"/>
          <w:sz w:val="22"/>
        </w:rPr>
      </w:pPr>
      <w:r w:rsidRPr="001D39F6">
        <w:rPr>
          <w:rFonts w:cs="Arial"/>
          <w:sz w:val="22"/>
        </w:rPr>
        <w:t>The approach is not:</w:t>
      </w:r>
    </w:p>
    <w:p w14:paraId="7E422FDE" w14:textId="77777777" w:rsidR="005074EB" w:rsidRPr="001D39F6" w:rsidRDefault="00286A45">
      <w:pPr>
        <w:pStyle w:val="ListBullet"/>
        <w:rPr>
          <w:rFonts w:cs="Arial"/>
          <w:sz w:val="22"/>
        </w:rPr>
      </w:pPr>
      <w:proofErr w:type="gramStart"/>
      <w:r w:rsidRPr="001D39F6">
        <w:rPr>
          <w:rFonts w:cs="Arial"/>
          <w:sz w:val="22"/>
        </w:rPr>
        <w:t>a compliance audit</w:t>
      </w:r>
      <w:proofErr w:type="gramEnd"/>
    </w:p>
    <w:p w14:paraId="4C335B26" w14:textId="77777777" w:rsidR="005074EB" w:rsidRPr="001D39F6" w:rsidRDefault="00286A45">
      <w:pPr>
        <w:pStyle w:val="ListBullet"/>
        <w:rPr>
          <w:rFonts w:cs="Arial"/>
          <w:sz w:val="22"/>
        </w:rPr>
      </w:pPr>
      <w:r w:rsidRPr="001D39F6">
        <w:rPr>
          <w:rFonts w:cs="Arial"/>
          <w:sz w:val="22"/>
        </w:rPr>
        <w:t>a checklist of UDL checkpoints</w:t>
      </w:r>
    </w:p>
    <w:p w14:paraId="53C38C19" w14:textId="77777777" w:rsidR="005074EB" w:rsidRPr="001D39F6" w:rsidRDefault="00286A45">
      <w:pPr>
        <w:pStyle w:val="ListBullet"/>
        <w:rPr>
          <w:rFonts w:cs="Arial"/>
          <w:sz w:val="22"/>
        </w:rPr>
      </w:pPr>
      <w:r w:rsidRPr="001D39F6">
        <w:rPr>
          <w:rFonts w:cs="Arial"/>
          <w:sz w:val="22"/>
        </w:rPr>
        <w:t>a substitute for accessibility obligations</w:t>
      </w:r>
    </w:p>
    <w:p w14:paraId="0FE275AC" w14:textId="141F33DF" w:rsidR="005074EB" w:rsidRPr="001D39F6" w:rsidRDefault="00286A45">
      <w:pPr>
        <w:pStyle w:val="Heading1"/>
        <w:rPr>
          <w:rFonts w:ascii="Arial" w:hAnsi="Arial" w:cs="Arial"/>
        </w:rPr>
      </w:pPr>
      <w:r w:rsidRPr="001D39F6">
        <w:rPr>
          <w:rFonts w:ascii="Arial" w:hAnsi="Arial" w:cs="Arial"/>
        </w:rPr>
        <w:t>Core message</w:t>
      </w:r>
    </w:p>
    <w:p w14:paraId="7DC9121C" w14:textId="22B650B6" w:rsidR="005074EB" w:rsidRPr="001D39F6" w:rsidRDefault="00286A45">
      <w:pPr>
        <w:rPr>
          <w:rFonts w:cs="Arial"/>
          <w:sz w:val="22"/>
        </w:rPr>
      </w:pPr>
      <w:r w:rsidRPr="001D39F6">
        <w:rPr>
          <w:rFonts w:cs="Arial"/>
          <w:sz w:val="22"/>
        </w:rPr>
        <w:t xml:space="preserve">The core message of the presentation is that UDL can be </w:t>
      </w:r>
      <w:r w:rsidRPr="00B868EA">
        <w:rPr>
          <w:rFonts w:cs="Arial"/>
          <w:i/>
          <w:iCs/>
          <w:sz w:val="22"/>
        </w:rPr>
        <w:t xml:space="preserve">scaled </w:t>
      </w:r>
      <w:r w:rsidRPr="001D39F6">
        <w:rPr>
          <w:rFonts w:cs="Arial"/>
          <w:sz w:val="22"/>
        </w:rPr>
        <w:t>more meaningfully when it is treated as a shared responsibility rather than a purely individual course-level practice. Program-level UDL helps teams notice where barriers accumulate across the student journey and respond through shared expectations, local adaptation, and iterative review.</w:t>
      </w:r>
    </w:p>
    <w:p w14:paraId="25C8B914" w14:textId="5DB11529" w:rsidR="005074EB" w:rsidRPr="001D39F6" w:rsidRDefault="00286A45">
      <w:pPr>
        <w:rPr>
          <w:rFonts w:cs="Arial"/>
          <w:sz w:val="22"/>
        </w:rPr>
      </w:pPr>
      <w:r w:rsidRPr="001D39F6">
        <w:rPr>
          <w:rFonts w:cs="Arial"/>
          <w:sz w:val="22"/>
        </w:rPr>
        <w:t>This approach is a practical middle ground: it avoids a superficial compliance model</w:t>
      </w:r>
      <w:r w:rsidR="00B868EA">
        <w:rPr>
          <w:rFonts w:cs="Arial"/>
          <w:sz w:val="22"/>
        </w:rPr>
        <w:t xml:space="preserve"> and overloading individual academics</w:t>
      </w:r>
      <w:r w:rsidRPr="001D39F6">
        <w:rPr>
          <w:rFonts w:cs="Arial"/>
          <w:sz w:val="22"/>
        </w:rPr>
        <w:t>,</w:t>
      </w:r>
      <w:r w:rsidRPr="001D39F6">
        <w:rPr>
          <w:rFonts w:cs="Arial"/>
          <w:sz w:val="22"/>
        </w:rPr>
        <w:t xml:space="preserve"> while still giving program teams concrete focus areas, activities, and templates they can use to begin the work</w:t>
      </w:r>
      <w:r w:rsidR="001D39F6" w:rsidRPr="001D39F6">
        <w:rPr>
          <w:rFonts w:cs="Arial"/>
          <w:sz w:val="22"/>
        </w:rPr>
        <w:t xml:space="preserve"> and fit into ordinary program governance (</w:t>
      </w:r>
      <w:r w:rsidR="001D39F6">
        <w:rPr>
          <w:rFonts w:cs="Arial"/>
          <w:sz w:val="22"/>
        </w:rPr>
        <w:t xml:space="preserve">e.g. </w:t>
      </w:r>
      <w:r w:rsidR="001D39F6" w:rsidRPr="001D39F6">
        <w:rPr>
          <w:rFonts w:cs="Arial"/>
          <w:sz w:val="22"/>
        </w:rPr>
        <w:t>program/curriculum reviews)</w:t>
      </w:r>
      <w:r w:rsidRPr="001D39F6">
        <w:rPr>
          <w:rFonts w:cs="Arial"/>
          <w:sz w:val="22"/>
        </w:rPr>
        <w:t>.</w:t>
      </w:r>
    </w:p>
    <w:p w14:paraId="20710650" w14:textId="77777777" w:rsidR="005074EB" w:rsidRPr="001D39F6" w:rsidRDefault="00286A45">
      <w:pPr>
        <w:pStyle w:val="Heading1"/>
        <w:rPr>
          <w:rFonts w:ascii="Arial" w:hAnsi="Arial" w:cs="Arial"/>
        </w:rPr>
      </w:pPr>
      <w:r w:rsidRPr="001D39F6">
        <w:rPr>
          <w:rFonts w:ascii="Arial" w:hAnsi="Arial" w:cs="Arial"/>
        </w:rPr>
        <w:t>References</w:t>
      </w:r>
    </w:p>
    <w:p w14:paraId="2B0C00EF" w14:textId="77777777" w:rsidR="005074EB" w:rsidRPr="001D39F6" w:rsidRDefault="00286A45">
      <w:pPr>
        <w:spacing w:after="140"/>
        <w:ind w:left="432" w:hanging="432"/>
        <w:rPr>
          <w:rFonts w:cs="Arial"/>
          <w:sz w:val="22"/>
        </w:rPr>
      </w:pPr>
      <w:r w:rsidRPr="001D39F6">
        <w:rPr>
          <w:rFonts w:cs="Arial"/>
          <w:sz w:val="22"/>
        </w:rPr>
        <w:t>ADCET Academy. (n.d.). Universal Design for Learning 3.0 in tertiary education. https://adcetacademy.edu.au/courses/universal-design-for-learning-3-0-in-tertiary-education/</w:t>
      </w:r>
    </w:p>
    <w:p w14:paraId="068C8A73" w14:textId="77777777" w:rsidR="005074EB" w:rsidRPr="001D39F6" w:rsidRDefault="00286A45">
      <w:pPr>
        <w:spacing w:after="140"/>
        <w:ind w:left="432" w:hanging="432"/>
        <w:rPr>
          <w:rFonts w:cs="Arial"/>
          <w:sz w:val="22"/>
        </w:rPr>
      </w:pPr>
      <w:r w:rsidRPr="001D39F6">
        <w:rPr>
          <w:rFonts w:cs="Arial"/>
          <w:sz w:val="22"/>
        </w:rPr>
        <w:t>Advance HE. (2024). Framework for inclusive learning and teaching. https://www.advance-he.ac.uk/knowledge-hub/framework-inclusive-learning-and-teaching</w:t>
      </w:r>
    </w:p>
    <w:p w14:paraId="58A8050A" w14:textId="77777777" w:rsidR="005074EB" w:rsidRPr="001D39F6" w:rsidRDefault="00286A45">
      <w:pPr>
        <w:spacing w:after="140"/>
        <w:ind w:left="432" w:hanging="432"/>
        <w:rPr>
          <w:rFonts w:cs="Arial"/>
          <w:sz w:val="22"/>
        </w:rPr>
      </w:pPr>
      <w:r w:rsidRPr="001D39F6">
        <w:rPr>
          <w:rFonts w:cs="Arial"/>
          <w:sz w:val="22"/>
        </w:rPr>
        <w:t>CAST. (2024). CAST Universal Design for Learning Guidelines version 3.0. https://udlguidelines.cast.org</w:t>
      </w:r>
    </w:p>
    <w:p w14:paraId="40D6315E" w14:textId="77777777" w:rsidR="005074EB" w:rsidRPr="001D39F6" w:rsidRDefault="00286A45">
      <w:pPr>
        <w:spacing w:after="140"/>
        <w:ind w:left="432" w:hanging="432"/>
        <w:rPr>
          <w:rFonts w:cs="Arial"/>
          <w:sz w:val="22"/>
        </w:rPr>
      </w:pPr>
      <w:r w:rsidRPr="001D39F6">
        <w:rPr>
          <w:rFonts w:cs="Arial"/>
          <w:sz w:val="22"/>
        </w:rPr>
        <w:t>Center for Teaching, Learning and Mentoring. (n.d.). Providing flexibility to students during times of disruption. University of Wisconsin-Madison. https://ctlm.wisc.edu/resources/flexibility/</w:t>
      </w:r>
    </w:p>
    <w:p w14:paraId="7430A9BA" w14:textId="77777777" w:rsidR="005074EB" w:rsidRPr="001D39F6" w:rsidRDefault="00286A45">
      <w:pPr>
        <w:spacing w:after="140"/>
        <w:ind w:left="432" w:hanging="432"/>
        <w:rPr>
          <w:rFonts w:cs="Arial"/>
          <w:sz w:val="22"/>
        </w:rPr>
      </w:pPr>
      <w:r w:rsidRPr="001D39F6">
        <w:rPr>
          <w:rFonts w:cs="Arial"/>
          <w:sz w:val="22"/>
        </w:rPr>
        <w:t>Hollingshead, A., Lowrey, K. A., &amp; Howery, K. (2026). Universal Design for Learning research: Where policy, implementation, and evidence collide. Journal of Disability Policy Studies, 1-11. https://doi.org/10.1177/10442073261435095</w:t>
      </w:r>
    </w:p>
    <w:p w14:paraId="09EC48D3" w14:textId="77777777" w:rsidR="005074EB" w:rsidRPr="001D39F6" w:rsidRDefault="00286A45">
      <w:pPr>
        <w:spacing w:after="140"/>
        <w:ind w:left="432" w:hanging="432"/>
        <w:rPr>
          <w:rFonts w:cs="Arial"/>
          <w:sz w:val="22"/>
        </w:rPr>
      </w:pPr>
      <w:r w:rsidRPr="001D39F6">
        <w:rPr>
          <w:rFonts w:cs="Arial"/>
          <w:sz w:val="22"/>
        </w:rPr>
        <w:t>Kane, J., &amp; Mushtare, R. (Hosts). (2026, May 27). UDL at scale (No. 447) [Audio podcast episode]. In Tea for Teaching. https://teaforteaching.com/447-udl-at-scale/</w:t>
      </w:r>
    </w:p>
    <w:p w14:paraId="48B26AB1" w14:textId="77777777" w:rsidR="005074EB" w:rsidRPr="001D39F6" w:rsidRDefault="00286A45">
      <w:pPr>
        <w:spacing w:after="140"/>
        <w:ind w:left="432" w:hanging="432"/>
        <w:rPr>
          <w:rFonts w:cs="Arial"/>
          <w:sz w:val="22"/>
        </w:rPr>
      </w:pPr>
      <w:r w:rsidRPr="001D39F6">
        <w:rPr>
          <w:rFonts w:cs="Arial"/>
          <w:sz w:val="22"/>
        </w:rPr>
        <w:t>Moreu, G., &amp; Brauer, M. (2022). Inclusive teaching practices in post-secondary education: What instructors can do to reduce the achievement gap at U.S. colleges. International Journal of Teaching and Learning in Higher Education, 34(1), 170-182.</w:t>
      </w:r>
    </w:p>
    <w:p w14:paraId="7FB3F04C" w14:textId="77777777" w:rsidR="005074EB" w:rsidRPr="001D39F6" w:rsidRDefault="00286A45">
      <w:pPr>
        <w:spacing w:after="140"/>
        <w:ind w:left="432" w:hanging="432"/>
        <w:rPr>
          <w:rFonts w:cs="Arial"/>
          <w:sz w:val="22"/>
        </w:rPr>
      </w:pPr>
      <w:r w:rsidRPr="001D39F6">
        <w:rPr>
          <w:rFonts w:cs="Arial"/>
          <w:sz w:val="22"/>
        </w:rPr>
        <w:t>Naylor, R., &amp; Mifsud, N. (2019). Structural inequality in higher education: Creating institutional cultures that enable all students. National Centre for Student Equity in Higher Education.</w:t>
      </w:r>
    </w:p>
    <w:p w14:paraId="3516984F" w14:textId="77777777" w:rsidR="005074EB" w:rsidRPr="001D39F6" w:rsidRDefault="00286A45">
      <w:pPr>
        <w:spacing w:after="140"/>
        <w:ind w:left="432" w:hanging="432"/>
        <w:rPr>
          <w:rFonts w:cs="Arial"/>
          <w:sz w:val="22"/>
        </w:rPr>
      </w:pPr>
      <w:r w:rsidRPr="001D39F6">
        <w:rPr>
          <w:rFonts w:cs="Arial"/>
          <w:sz w:val="22"/>
        </w:rPr>
        <w:t>Teague, M., Head, K., Osborne-Crowley, K., Ridolfo, H., Jellema, L., Fitzsimmons, D., Turnbull, K., Robertshawe, E., Odewahn, S., Bennett, A., Mansfield, M., Clarke, S., Denham, R., &amp; Bridgeman, A. (2024). Inclusive teaching: A guide to teaching first-year university students from underrepresented backgrounds. https://unireadytoolkit.com.au/wp-content/uploads/2024/08/Inclusive-teaching-guide-FINAL.pdf</w:t>
      </w:r>
    </w:p>
    <w:p w14:paraId="4BB1D4B8" w14:textId="38BE0A80" w:rsidR="005074EB" w:rsidRPr="00343705" w:rsidRDefault="00286A45" w:rsidP="00343705">
      <w:pPr>
        <w:spacing w:after="140"/>
        <w:ind w:left="432" w:hanging="432"/>
        <w:rPr>
          <w:rFonts w:cs="Arial"/>
          <w:sz w:val="22"/>
        </w:rPr>
      </w:pPr>
      <w:r w:rsidRPr="001D39F6">
        <w:rPr>
          <w:rFonts w:cs="Arial"/>
          <w:sz w:val="22"/>
        </w:rPr>
        <w:lastRenderedPageBreak/>
        <w:t>Tobin, T. (2024, June). ADCET UDL symposium keynote: Scaling up with universal design for learning and how to get colleagues to join you. https://www.adcet.edu.au/resource/11727/adcet-udl-symposium-keynote-scaling-up-with-universal-design-for-learning-and-how-to-get-colleagues-to-join-you</w:t>
      </w:r>
    </w:p>
    <w:sectPr w:rsidR="005074EB" w:rsidRPr="00343705" w:rsidSect="00034616">
      <w:footerReference w:type="default" r:id="rId11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BEE1C" w14:textId="77777777" w:rsidR="00286A45" w:rsidRDefault="00286A45">
      <w:pPr>
        <w:spacing w:after="0" w:line="240" w:lineRule="auto"/>
      </w:pPr>
      <w:r>
        <w:separator/>
      </w:r>
    </w:p>
  </w:endnote>
  <w:endnote w:type="continuationSeparator" w:id="0">
    <w:p w14:paraId="181840A2" w14:textId="77777777" w:rsidR="00286A45" w:rsidRDefault="00286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ECCDD" w14:textId="58F2E7A9" w:rsidR="005074EB" w:rsidRDefault="005074E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47163" w14:textId="77777777" w:rsidR="00286A45" w:rsidRDefault="00286A45">
      <w:pPr>
        <w:spacing w:after="0" w:line="240" w:lineRule="auto"/>
      </w:pPr>
      <w:r>
        <w:separator/>
      </w:r>
    </w:p>
  </w:footnote>
  <w:footnote w:type="continuationSeparator" w:id="0">
    <w:p w14:paraId="322AAC90" w14:textId="77777777" w:rsidR="00286A45" w:rsidRDefault="00286A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B5531F5"/>
    <w:multiLevelType w:val="hybridMultilevel"/>
    <w:tmpl w:val="99CA67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364330">
    <w:abstractNumId w:val="8"/>
  </w:num>
  <w:num w:numId="2" w16cid:durableId="175463368">
    <w:abstractNumId w:val="6"/>
  </w:num>
  <w:num w:numId="3" w16cid:durableId="1217469916">
    <w:abstractNumId w:val="5"/>
  </w:num>
  <w:num w:numId="4" w16cid:durableId="81723707">
    <w:abstractNumId w:val="4"/>
  </w:num>
  <w:num w:numId="5" w16cid:durableId="584340075">
    <w:abstractNumId w:val="7"/>
  </w:num>
  <w:num w:numId="6" w16cid:durableId="807624545">
    <w:abstractNumId w:val="3"/>
  </w:num>
  <w:num w:numId="7" w16cid:durableId="868104493">
    <w:abstractNumId w:val="2"/>
  </w:num>
  <w:num w:numId="8" w16cid:durableId="1187674888">
    <w:abstractNumId w:val="1"/>
  </w:num>
  <w:num w:numId="9" w16cid:durableId="883254542">
    <w:abstractNumId w:val="0"/>
  </w:num>
  <w:num w:numId="10" w16cid:durableId="567060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4F67"/>
    <w:rsid w:val="0006063C"/>
    <w:rsid w:val="00141442"/>
    <w:rsid w:val="0015074B"/>
    <w:rsid w:val="0017042F"/>
    <w:rsid w:val="001B5246"/>
    <w:rsid w:val="001D39F6"/>
    <w:rsid w:val="001F6875"/>
    <w:rsid w:val="00244C69"/>
    <w:rsid w:val="00286A45"/>
    <w:rsid w:val="0029639D"/>
    <w:rsid w:val="00326F90"/>
    <w:rsid w:val="00343705"/>
    <w:rsid w:val="003E083B"/>
    <w:rsid w:val="005074EB"/>
    <w:rsid w:val="006465E5"/>
    <w:rsid w:val="008306CB"/>
    <w:rsid w:val="008D543E"/>
    <w:rsid w:val="00963FAF"/>
    <w:rsid w:val="009A3E92"/>
    <w:rsid w:val="00AA1D8D"/>
    <w:rsid w:val="00B47730"/>
    <w:rsid w:val="00B868EA"/>
    <w:rsid w:val="00BE4401"/>
    <w:rsid w:val="00CB0664"/>
    <w:rsid w:val="00CB7502"/>
    <w:rsid w:val="00DC69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B388B0"/>
  <w14:defaultImageDpi w14:val="300"/>
  <w15:docId w15:val="{C1119393-4572-42C8-9A5F-FCC6817E1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anionNote">
    <w:name w:val="Companion Note"/>
    <w:basedOn w:val="Normal"/>
    <w:rPr>
      <w:i/>
      <w:color w:val="505050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5E3D60D9E6E04A88E6C46A8F8E80F5" ma:contentTypeVersion="16" ma:contentTypeDescription="Create a new document." ma:contentTypeScope="" ma:versionID="f5aed76395544bcc02cc0faeb05a01bc">
  <xsd:schema xmlns:xsd="http://www.w3.org/2001/XMLSchema" xmlns:xs="http://www.w3.org/2001/XMLSchema" xmlns:p="http://schemas.microsoft.com/office/2006/metadata/properties" xmlns:ns2="43435717-49c9-4489-9470-c7c98d62699d" xmlns:ns3="242681ae-e6e2-4ee6-90fd-f2c0d11c7b09" targetNamespace="http://schemas.microsoft.com/office/2006/metadata/properties" ma:root="true" ma:fieldsID="48b7b69460e2f77a1f5861a96316e079" ns2:_="" ns3:_="">
    <xsd:import namespace="43435717-49c9-4489-9470-c7c98d62699d"/>
    <xsd:import namespace="242681ae-e6e2-4ee6-90fd-f2c0d11c7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35717-49c9-4489-9470-c7c98d6269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be76f96-e7f0-4e7c-b4d8-bf0f4c547e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681ae-e6e2-4ee6-90fd-f2c0d11c7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d00c8ac-6135-4edf-90aa-1e6137a64d6d}" ma:internalName="TaxCatchAll" ma:showField="CatchAllData" ma:web="242681ae-e6e2-4ee6-90fd-f2c0d11c7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2681ae-e6e2-4ee6-90fd-f2c0d11c7b09" xsi:nil="true"/>
    <lcf76f155ced4ddcb4097134ff3c332f xmlns="43435717-49c9-4489-9470-c7c98d62699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9DF625-6EEC-4C3F-9A65-142F9BF11D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35717-49c9-4489-9470-c7c98d62699d"/>
    <ds:schemaRef ds:uri="242681ae-e6e2-4ee6-90fd-f2c0d11c7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5271EE-2D65-4E59-A0AB-0207E6151FB1}">
  <ds:schemaRefs>
    <ds:schemaRef ds:uri="http://schemas.microsoft.com/office/2006/metadata/properties"/>
    <ds:schemaRef ds:uri="http://schemas.microsoft.com/office/infopath/2007/PartnerControls"/>
    <ds:schemaRef ds:uri="242681ae-e6e2-4ee6-90fd-f2c0d11c7b09"/>
    <ds:schemaRef ds:uri="43435717-49c9-4489-9470-c7c98d62699d"/>
  </ds:schemaRefs>
</ds:datastoreItem>
</file>

<file path=customXml/itemProps3.xml><?xml version="1.0" encoding="utf-8"?>
<ds:datastoreItem xmlns:ds="http://schemas.openxmlformats.org/officeDocument/2006/customXml" ds:itemID="{D7D4378A-15ED-41A6-87F6-D52FE5F2ED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5</Pages>
  <Words>1214</Words>
  <Characters>8124</Characters>
  <Application>Microsoft Office Word</Application>
  <DocSecurity>0</DocSecurity>
  <Lines>193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UDL Beyond the Course: Written Companion</vt:lpstr>
    </vt:vector>
  </TitlesOfParts>
  <Manager/>
  <Company/>
  <LinksUpToDate>false</LinksUpToDate>
  <CharactersWithSpaces>9226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UDL Beyond the Course: Written Companion</dc:title>
  <dc:subject>Text-based companion to presentation slides</dc:subject>
  <dc:creator>OpenAI</dc:creator>
  <cp:keywords>UDL, Universal Design for Learning, program-level UDL, accessibility, inclusion</cp:keywords>
  <dc:description/>
  <cp:lastModifiedBy>Kylie Geard</cp:lastModifiedBy>
  <cp:revision>11</cp:revision>
  <dcterms:created xsi:type="dcterms:W3CDTF">2013-12-23T23:15:00Z</dcterms:created>
  <dcterms:modified xsi:type="dcterms:W3CDTF">2026-07-25T06:22:00Z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0x010100595E3D60D9E6E04A88E6C46A8F8E80F5</vt:lpwstr>
  </property>
  <property fmtid="{D5CDD505-2E9C-101B-9397-08002B2CF9AE}" pid="3" name="MediaServiceImageTags">
    <vt:lpwstr/>
  </property>
</Properties>
</file>