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B3C55D" w14:textId="77777777" w:rsidR="00A37B01" w:rsidRDefault="00ED0E4E">
      <w:pPr>
        <w:pStyle w:val="Title"/>
        <w:jc w:val="center"/>
      </w:pPr>
      <w:r>
        <w:t>Designing for confidence: A UDL 3.0-aligned digital practice OSCE</w:t>
      </w:r>
    </w:p>
    <w:p w14:paraId="4FA74F3C" w14:textId="77777777" w:rsidR="00A37B01" w:rsidRDefault="00ED0E4E">
      <w:pPr>
        <w:jc w:val="center"/>
      </w:pPr>
      <w:r>
        <w:t>Speech Pathology | Learner Agency | Assessment Readiness</w:t>
      </w:r>
    </w:p>
    <w:p w14:paraId="60979174" w14:textId="671713E9" w:rsidR="00A37B01" w:rsidRDefault="00ED0E4E">
      <w:pPr>
        <w:jc w:val="center"/>
      </w:pPr>
      <w:r>
        <w:t>Dr Frances Cochrane</w:t>
      </w:r>
      <w:r>
        <w:br/>
        <w:t>PhD, BSpPath (Hons IIA), GCertEd (Academic Practice), CPSP, MSPA, FHEA</w:t>
      </w:r>
      <w:r>
        <w:br/>
        <w:t>Senior Lecturer and Course Coordinator</w:t>
      </w:r>
      <w:r>
        <w:br/>
        <w:t>James Cook University</w:t>
      </w:r>
    </w:p>
    <w:p w14:paraId="31B3F51F" w14:textId="77777777" w:rsidR="00A37B01" w:rsidRDefault="00ED0E4E">
      <w:pPr>
        <w:pStyle w:val="Heading1"/>
      </w:pPr>
      <w:r>
        <w:t>About this document</w:t>
      </w:r>
    </w:p>
    <w:p w14:paraId="132AE215" w14:textId="67F7FAC0" w:rsidR="00504ED2" w:rsidRDefault="00ED0E4E">
      <w:r>
        <w:t>This is a text-first, screen-reader-friendly Word version of the original PowerPoint presentation.</w:t>
      </w:r>
    </w:p>
    <w:p w14:paraId="31EBCB3D" w14:textId="77777777" w:rsidR="00A37B01" w:rsidRDefault="00ED0E4E">
      <w:r>
        <w:t>Content has been restructured using Word headings, lists, and descriptive text rather than slide layout. Decorative backgrounds and non-essential visual formatting have been removed to improve navigation and readability.</w:t>
      </w:r>
    </w:p>
    <w:p w14:paraId="3DE0A15A" w14:textId="77777777" w:rsidR="00A37B01" w:rsidRDefault="00ED0E4E">
      <w:r>
        <w:t>Where the uploaded presentation included descriptive text for images, that information has been retained as figure descriptions. Images without meaningful textual information have been omitted when they appeared decorative or when the extracted text did not describe them in detail.</w:t>
      </w:r>
    </w:p>
    <w:p w14:paraId="6D9ACA64" w14:textId="77777777" w:rsidR="00A37B01" w:rsidRDefault="00ED0E4E">
      <w:pPr>
        <w:pStyle w:val="Heading1"/>
      </w:pPr>
      <w:r>
        <w:t>What is an OSCE?</w:t>
      </w:r>
    </w:p>
    <w:p w14:paraId="66535038" w14:textId="77777777" w:rsidR="00A37B01" w:rsidRDefault="00ED0E4E">
      <w:pPr>
        <w:pStyle w:val="ListBullet"/>
      </w:pPr>
      <w:r>
        <w:t>Objective Structured Clinical Examination.</w:t>
      </w:r>
    </w:p>
    <w:p w14:paraId="253951C8" w14:textId="77777777" w:rsidR="00A37B01" w:rsidRDefault="00ED0E4E">
      <w:pPr>
        <w:pStyle w:val="ListBullet"/>
      </w:pPr>
      <w:r>
        <w:t>Widely used as an assessment strategy for clinical competence across health curricula.</w:t>
      </w:r>
    </w:p>
    <w:p w14:paraId="23032C8A" w14:textId="77777777" w:rsidR="00A37B01" w:rsidRDefault="00ED0E4E">
      <w:pPr>
        <w:pStyle w:val="ListBullet"/>
      </w:pPr>
      <w:r>
        <w:t>In speech pathology, OSCEs have been used in post-stroke aphasia and in the assessment of developmental and acquired communication and swallowing disorders across the lifespan (Hill et al., 2023; Quigley &amp; Regan, 2021; Zraick et al., 2003).</w:t>
      </w:r>
    </w:p>
    <w:p w14:paraId="4BD07D87" w14:textId="77777777" w:rsidR="00A37B01" w:rsidRDefault="00ED0E4E">
      <w:pPr>
        <w:pStyle w:val="ListBullet"/>
      </w:pPr>
      <w:r>
        <w:t>OSCEs may be structured using simulated or standardised patients, technology-enhanced audio, video and imagery, and question stations (Mitchell et al., 2015).</w:t>
      </w:r>
    </w:p>
    <w:p w14:paraId="186C8441" w14:textId="77777777" w:rsidR="00A37B01" w:rsidRDefault="00ED0E4E">
      <w:pPr>
        <w:pStyle w:val="ListBullet"/>
      </w:pPr>
      <w:r>
        <w:t>OSCEs typically include “show how”, or application of skill and knowledge, components to assess cognitive, affective and psychomotor skills (Miller, 1990).</w:t>
      </w:r>
    </w:p>
    <w:p w14:paraId="161A6DC9" w14:textId="77777777" w:rsidR="00A37B01" w:rsidRDefault="00ED0E4E">
      <w:pPr>
        <w:pStyle w:val="ListBullet"/>
      </w:pPr>
      <w:r>
        <w:t>An OSCE typically involves students progressing through a series of time-limited tasks or scenarios (Mitchell et al., 2015).</w:t>
      </w:r>
    </w:p>
    <w:p w14:paraId="0EF26607" w14:textId="77777777" w:rsidR="00A37B01" w:rsidRDefault="00ED0E4E">
      <w:pPr>
        <w:pStyle w:val="Heading1"/>
      </w:pPr>
      <w:r>
        <w:lastRenderedPageBreak/>
        <w:t>Interactive prompt</w:t>
      </w:r>
    </w:p>
    <w:p w14:paraId="0440E241" w14:textId="77777777" w:rsidR="00A37B01" w:rsidRDefault="00ED0E4E">
      <w:r>
        <w:t>Question: What is the biggest barrier students face when preparing for OSCEs, or other high-stakes assessment?</w:t>
      </w:r>
    </w:p>
    <w:p w14:paraId="48348492" w14:textId="77777777" w:rsidR="00A37B01" w:rsidRDefault="00ED0E4E">
      <w:r>
        <w:t xml:space="preserve">Mentimeter response link: </w:t>
      </w:r>
      <w:hyperlink r:id="rId9">
        <w:r>
          <w:rPr>
            <w:color w:val="0563C1"/>
            <w:u w:val="single"/>
          </w:rPr>
          <w:t>Open Mentimeter prompt</w:t>
        </w:r>
      </w:hyperlink>
    </w:p>
    <w:p w14:paraId="21CEAE48" w14:textId="77777777" w:rsidR="00A37B01" w:rsidRPr="003F65B5" w:rsidRDefault="00ED0E4E" w:rsidP="003F65B5">
      <w:pPr>
        <w:pStyle w:val="IntenseQuote"/>
      </w:pPr>
      <w:r w:rsidRPr="003F65B5">
        <w:t>Figure description: QR code linking to the Mentimeter prompt above.</w:t>
      </w:r>
    </w:p>
    <w:p w14:paraId="1100C073" w14:textId="77777777" w:rsidR="00A37B01" w:rsidRDefault="00ED0E4E">
      <w:pPr>
        <w:pStyle w:val="Heading1"/>
      </w:pPr>
      <w:r>
        <w:t>Interpreting OSCE challenges through UDL engagement</w:t>
      </w:r>
    </w:p>
    <w:p w14:paraId="64E3A968" w14:textId="77777777" w:rsidR="00A37B01" w:rsidRPr="00C428FB" w:rsidRDefault="00ED0E4E" w:rsidP="00C428FB">
      <w:pPr>
        <w:pStyle w:val="Heading2"/>
      </w:pPr>
      <w:r w:rsidRPr="00C428FB">
        <w:t>Welcoming interests and identities (UDL Guideline 7)</w:t>
      </w:r>
    </w:p>
    <w:p w14:paraId="0CE6EC60" w14:textId="77777777" w:rsidR="00A37B01" w:rsidRDefault="00ED0E4E">
      <w:pPr>
        <w:pStyle w:val="ListBullet"/>
      </w:pPr>
      <w:r>
        <w:t>OSCEs may trigger threat responses such as fear of failure and public evaluation, reducing cognitive capacity for clinical reasoning.</w:t>
      </w:r>
    </w:p>
    <w:p w14:paraId="1206E071" w14:textId="77777777" w:rsidR="00A37B01" w:rsidRDefault="00ED0E4E">
      <w:pPr>
        <w:pStyle w:val="ListBullet"/>
      </w:pPr>
      <w:r>
        <w:t>Students disengage when environments feel high-risk or identity-threatening.</w:t>
      </w:r>
    </w:p>
    <w:p w14:paraId="2CDD000E" w14:textId="77777777" w:rsidR="00A37B01" w:rsidRDefault="00ED0E4E" w:rsidP="00C428FB">
      <w:pPr>
        <w:pStyle w:val="Heading2"/>
      </w:pPr>
      <w:r>
        <w:t>Sustaining effort and persistence (UDL Guideline 8)</w:t>
      </w:r>
    </w:p>
    <w:p w14:paraId="3557EAFC" w14:textId="77777777" w:rsidR="00A37B01" w:rsidRDefault="00ED0E4E">
      <w:pPr>
        <w:pStyle w:val="ListBullet"/>
      </w:pPr>
      <w:r>
        <w:t>Unclear expectations, format, or marking criteria can lead to surface preparation such as memorisation rather than meaningful learning.</w:t>
      </w:r>
    </w:p>
    <w:p w14:paraId="08DE8D7B" w14:textId="77777777" w:rsidR="00A37B01" w:rsidRDefault="00ED0E4E">
      <w:pPr>
        <w:pStyle w:val="ListBullet"/>
      </w:pPr>
      <w:r>
        <w:t>Engagement drops when goals are unclear.</w:t>
      </w:r>
    </w:p>
    <w:p w14:paraId="5CE6698B" w14:textId="77777777" w:rsidR="00A37B01" w:rsidRDefault="00ED0E4E" w:rsidP="00C428FB">
      <w:pPr>
        <w:pStyle w:val="Heading2"/>
      </w:pPr>
      <w:r>
        <w:t>Emotional capacity (UDL Guideline 9)</w:t>
      </w:r>
    </w:p>
    <w:p w14:paraId="0E6BECBD" w14:textId="77777777" w:rsidR="00A37B01" w:rsidRDefault="00ED0E4E">
      <w:pPr>
        <w:pStyle w:val="ListBullet"/>
      </w:pPr>
      <w:r>
        <w:t>Low self-efficacy means students may doubt their ability to perform under pressure.</w:t>
      </w:r>
    </w:p>
    <w:p w14:paraId="5D65D012" w14:textId="77777777" w:rsidR="00A37B01" w:rsidRDefault="00ED0E4E">
      <w:pPr>
        <w:pStyle w:val="ListBullet"/>
      </w:pPr>
      <w:r>
        <w:t>OSCEs require simultaneous integration of clinical reasoning, communication, and procedural accuracy, which can increase anxiety and reduce working memory capacity.</w:t>
      </w:r>
    </w:p>
    <w:p w14:paraId="25EC3256" w14:textId="77777777" w:rsidR="00A37B01" w:rsidRDefault="00ED0E4E">
      <w:pPr>
        <w:pStyle w:val="ListBullet"/>
      </w:pPr>
      <w:r>
        <w:t>Self-efficacy is shaped by practice opportunities, feedback, modelling, and confidence building.</w:t>
      </w:r>
    </w:p>
    <w:p w14:paraId="7153C104" w14:textId="77777777" w:rsidR="00A37B01" w:rsidRDefault="00ED0E4E">
      <w:pPr>
        <w:pStyle w:val="Heading1"/>
      </w:pPr>
      <w:r>
        <w:t>The problem</w:t>
      </w:r>
    </w:p>
    <w:p w14:paraId="3520A400" w14:textId="77777777" w:rsidR="00A37B01" w:rsidRDefault="00ED0E4E">
      <w:pPr>
        <w:pStyle w:val="ListNumber"/>
      </w:pPr>
      <w:r>
        <w:t>Objective Structured Clinical Examination (OSCE): affective overload overwhelms engagement; high-stakes assessment, high stress, low confidence.</w:t>
      </w:r>
    </w:p>
    <w:p w14:paraId="40405D0E" w14:textId="77777777" w:rsidR="00A37B01" w:rsidRDefault="00ED0E4E">
      <w:pPr>
        <w:pStyle w:val="ListNumber"/>
      </w:pPr>
      <w:r>
        <w:t>Novice learners’ experience: anxiety, stress, uncertainty; reduced agency and self-efficacy; low assessment literacy.</w:t>
      </w:r>
    </w:p>
    <w:p w14:paraId="003EBFC0" w14:textId="77777777" w:rsidR="00A37B01" w:rsidRDefault="00ED0E4E">
      <w:pPr>
        <w:pStyle w:val="ListNumber"/>
      </w:pPr>
      <w:r>
        <w:t>Practice opportunities are often infrequent, unstructured and high-pressure.</w:t>
      </w:r>
    </w:p>
    <w:p w14:paraId="024EDE2E" w14:textId="77777777" w:rsidR="00A37B01" w:rsidRDefault="00ED0E4E">
      <w:pPr>
        <w:pStyle w:val="Heading1"/>
      </w:pPr>
      <w:r>
        <w:t>Design aim</w:t>
      </w:r>
    </w:p>
    <w:p w14:paraId="26AE2B62" w14:textId="77777777" w:rsidR="00A37B01" w:rsidRDefault="00ED0E4E" w:rsidP="00C428FB">
      <w:pPr>
        <w:pStyle w:val="Heading2"/>
      </w:pPr>
      <w:r>
        <w:t>Our goals</w:t>
      </w:r>
    </w:p>
    <w:p w14:paraId="02C317F3" w14:textId="77777777" w:rsidR="00A37B01" w:rsidRDefault="00ED0E4E">
      <w:pPr>
        <w:pStyle w:val="ListBullet"/>
      </w:pPr>
      <w:r>
        <w:t>Design a scalable digital OSCE that supports learning and builds confidence.</w:t>
      </w:r>
    </w:p>
    <w:p w14:paraId="117A7233" w14:textId="77777777" w:rsidR="00A37B01" w:rsidRDefault="00ED0E4E">
      <w:pPr>
        <w:pStyle w:val="ListBullet"/>
      </w:pPr>
      <w:r>
        <w:t>Create efficiencies for staff in the provision of practice and feedback.</w:t>
      </w:r>
    </w:p>
    <w:p w14:paraId="217BD11B" w14:textId="77777777" w:rsidR="00A37B01" w:rsidRDefault="00ED0E4E" w:rsidP="00C428FB">
      <w:pPr>
        <w:pStyle w:val="Heading2"/>
      </w:pPr>
      <w:r>
        <w:lastRenderedPageBreak/>
        <w:t>Design focus</w:t>
      </w:r>
    </w:p>
    <w:p w14:paraId="2611BEFB" w14:textId="77777777" w:rsidR="00A37B01" w:rsidRDefault="00ED0E4E">
      <w:pPr>
        <w:pStyle w:val="ListBullet"/>
      </w:pPr>
      <w:r>
        <w:t>LMS integration</w:t>
      </w:r>
    </w:p>
    <w:p w14:paraId="11D86DED" w14:textId="77777777" w:rsidR="00A37B01" w:rsidRDefault="00ED0E4E">
      <w:pPr>
        <w:pStyle w:val="ListBullet"/>
      </w:pPr>
      <w:r>
        <w:t>Learner agency</w:t>
      </w:r>
    </w:p>
    <w:p w14:paraId="36FDEAE9" w14:textId="77777777" w:rsidR="00A37B01" w:rsidRDefault="00ED0E4E">
      <w:pPr>
        <w:pStyle w:val="ListBullet"/>
      </w:pPr>
      <w:r>
        <w:t>Emotional safety</w:t>
      </w:r>
    </w:p>
    <w:p w14:paraId="4629CB9E" w14:textId="77777777" w:rsidR="00A37B01" w:rsidRDefault="00ED0E4E">
      <w:pPr>
        <w:pStyle w:val="ListBullet"/>
      </w:pPr>
      <w:r>
        <w:t>Assessment readiness</w:t>
      </w:r>
    </w:p>
    <w:p w14:paraId="4C753BD2" w14:textId="77777777" w:rsidR="00A37B01" w:rsidRDefault="00ED0E4E">
      <w:pPr>
        <w:pStyle w:val="ListBullet"/>
      </w:pPr>
      <w:r>
        <w:t>Accessibility (UDL 3.0)</w:t>
      </w:r>
    </w:p>
    <w:p w14:paraId="4884D5CF" w14:textId="77777777" w:rsidR="00A37B01" w:rsidRDefault="00ED0E4E">
      <w:pPr>
        <w:pStyle w:val="Heading1"/>
      </w:pPr>
      <w:r>
        <w:t>Theoretical frameworks</w:t>
      </w:r>
    </w:p>
    <w:p w14:paraId="2B0B3CF8" w14:textId="77777777" w:rsidR="00A37B01" w:rsidRDefault="00ED0E4E" w:rsidP="00C428FB">
      <w:pPr>
        <w:pStyle w:val="Heading2"/>
      </w:pPr>
      <w:r>
        <w:t>Clinical reasoning pedagogy</w:t>
      </w:r>
    </w:p>
    <w:p w14:paraId="692EB69B" w14:textId="77777777" w:rsidR="00A37B01" w:rsidRDefault="00ED0E4E">
      <w:pPr>
        <w:pStyle w:val="ListBullet"/>
      </w:pPr>
      <w:r>
        <w:t>Authentic professional practice</w:t>
      </w:r>
    </w:p>
    <w:p w14:paraId="40204135" w14:textId="77777777" w:rsidR="00A37B01" w:rsidRDefault="00ED0E4E">
      <w:pPr>
        <w:pStyle w:val="ListBullet"/>
      </w:pPr>
      <w:r>
        <w:t>Rich, content-specific, organised knowledge</w:t>
      </w:r>
    </w:p>
    <w:p w14:paraId="3072737C" w14:textId="77777777" w:rsidR="00A37B01" w:rsidRDefault="00ED0E4E">
      <w:pPr>
        <w:pStyle w:val="ListBullet"/>
      </w:pPr>
      <w:r>
        <w:t>Hypothesis-driven learning</w:t>
      </w:r>
    </w:p>
    <w:p w14:paraId="31C51EBC" w14:textId="77777777" w:rsidR="00A37B01" w:rsidRDefault="00ED0E4E">
      <w:pPr>
        <w:pStyle w:val="ListBullet"/>
      </w:pPr>
      <w:r>
        <w:t>Sustained practice</w:t>
      </w:r>
    </w:p>
    <w:p w14:paraId="7238DF18" w14:textId="77777777" w:rsidR="00A37B01" w:rsidRDefault="00ED0E4E">
      <w:pPr>
        <w:pStyle w:val="ListBullet"/>
      </w:pPr>
      <w:r>
        <w:t>Reflective practice</w:t>
      </w:r>
    </w:p>
    <w:p w14:paraId="0AD3A2E5" w14:textId="77777777" w:rsidR="00A37B01" w:rsidRDefault="00ED0E4E" w:rsidP="00C428FB">
      <w:pPr>
        <w:pStyle w:val="Heading2"/>
      </w:pPr>
      <w:r>
        <w:t>Assessment literacy</w:t>
      </w:r>
    </w:p>
    <w:p w14:paraId="741CD260" w14:textId="77777777" w:rsidR="00A37B01" w:rsidRDefault="00ED0E4E">
      <w:pPr>
        <w:pStyle w:val="ListBullet"/>
      </w:pPr>
      <w:r>
        <w:t>Assessment literacy precedes performance.</w:t>
      </w:r>
    </w:p>
    <w:p w14:paraId="10BFAD01" w14:textId="77777777" w:rsidR="00A37B01" w:rsidRDefault="00ED0E4E">
      <w:pPr>
        <w:pStyle w:val="ListBullet"/>
      </w:pPr>
      <w:r>
        <w:t>Students must understand standards, criteria and quality before they can demonstrate them.</w:t>
      </w:r>
    </w:p>
    <w:p w14:paraId="245CCA38" w14:textId="77777777" w:rsidR="00A37B01" w:rsidRDefault="00ED0E4E">
      <w:pPr>
        <w:pStyle w:val="ListBullet"/>
      </w:pPr>
      <w:r>
        <w:t>Authentic and iterative practice.</w:t>
      </w:r>
    </w:p>
    <w:p w14:paraId="16C68B6E" w14:textId="77777777" w:rsidR="00A37B01" w:rsidRDefault="00ED0E4E">
      <w:pPr>
        <w:pStyle w:val="ListBullet"/>
      </w:pPr>
      <w:r>
        <w:t>Rehearsal mirrors OSCE format, cognitive load and decision-making demands.</w:t>
      </w:r>
    </w:p>
    <w:p w14:paraId="59DFC091" w14:textId="77777777" w:rsidR="00A37B01" w:rsidRDefault="00ED0E4E">
      <w:pPr>
        <w:pStyle w:val="ListBullet"/>
      </w:pPr>
      <w:r>
        <w:t>Students judge quality.</w:t>
      </w:r>
    </w:p>
    <w:p w14:paraId="77EB710F" w14:textId="77777777" w:rsidR="00A37B01" w:rsidRDefault="00ED0E4E">
      <w:pPr>
        <w:pStyle w:val="ListBullet"/>
      </w:pPr>
      <w:r>
        <w:t>Self-assessment, comparison with exemplars, reflection.</w:t>
      </w:r>
    </w:p>
    <w:p w14:paraId="1E5D4C5B" w14:textId="77777777" w:rsidR="00A37B01" w:rsidRDefault="00ED0E4E">
      <w:pPr>
        <w:pStyle w:val="ListBullet"/>
      </w:pPr>
      <w:r>
        <w:t>Dialogic feedback.</w:t>
      </w:r>
    </w:p>
    <w:p w14:paraId="7C46F4EE" w14:textId="77777777" w:rsidR="00A37B01" w:rsidRDefault="00ED0E4E">
      <w:pPr>
        <w:pStyle w:val="ListBullet"/>
      </w:pPr>
      <w:r>
        <w:t>Feedback information is interpreted, applied and revisited.</w:t>
      </w:r>
    </w:p>
    <w:p w14:paraId="492F3F4D" w14:textId="77777777" w:rsidR="00A37B01" w:rsidRDefault="00ED0E4E">
      <w:pPr>
        <w:pStyle w:val="ListBullet"/>
      </w:pPr>
      <w:r>
        <w:t>Structured and cumulative reflection.</w:t>
      </w:r>
    </w:p>
    <w:p w14:paraId="349C5C18" w14:textId="77777777" w:rsidR="00A37B01" w:rsidRDefault="00ED0E4E">
      <w:pPr>
        <w:pStyle w:val="ListBullet"/>
      </w:pPr>
      <w:r>
        <w:t>Move beyond what went well to clinical reasoning and future action.</w:t>
      </w:r>
    </w:p>
    <w:p w14:paraId="6D85C681" w14:textId="77777777" w:rsidR="00A37B01" w:rsidRDefault="00ED0E4E" w:rsidP="00C428FB">
      <w:pPr>
        <w:pStyle w:val="Heading2"/>
      </w:pPr>
      <w:r>
        <w:t>ADDIE</w:t>
      </w:r>
    </w:p>
    <w:p w14:paraId="401D2F23" w14:textId="77777777" w:rsidR="00A37B01" w:rsidRDefault="00ED0E4E">
      <w:pPr>
        <w:pStyle w:val="ListBullet"/>
      </w:pPr>
      <w:r>
        <w:t>Analyse, Design, Develop, Implement, Evaluate.</w:t>
      </w:r>
    </w:p>
    <w:p w14:paraId="3AA61753" w14:textId="77777777" w:rsidR="00A37B01" w:rsidRDefault="00ED0E4E">
      <w:pPr>
        <w:pStyle w:val="ListBullet"/>
      </w:pPr>
      <w:r>
        <w:t>Structured process.</w:t>
      </w:r>
    </w:p>
    <w:p w14:paraId="10D99B2E" w14:textId="77777777" w:rsidR="00A37B01" w:rsidRDefault="00ED0E4E" w:rsidP="00C428FB">
      <w:pPr>
        <w:pStyle w:val="Heading2"/>
      </w:pPr>
      <w:r>
        <w:t>UDL 3.0</w:t>
      </w:r>
    </w:p>
    <w:p w14:paraId="0722E6E4" w14:textId="77777777" w:rsidR="00A37B01" w:rsidRDefault="00ED0E4E">
      <w:pPr>
        <w:pStyle w:val="ListBullet"/>
      </w:pPr>
      <w:r>
        <w:t>Inclusive design.</w:t>
      </w:r>
    </w:p>
    <w:p w14:paraId="61006EA0" w14:textId="77777777" w:rsidR="00A37B01" w:rsidRDefault="00ED0E4E">
      <w:pPr>
        <w:pStyle w:val="Heading1"/>
      </w:pPr>
      <w:r>
        <w:t>ADDIE overview</w:t>
      </w:r>
    </w:p>
    <w:p w14:paraId="68A0D9FF" w14:textId="77777777" w:rsidR="00A37B01" w:rsidRDefault="00ED0E4E">
      <w:r>
        <w:t>(Branch, 2009; Kirkpatrick, 1996)</w:t>
      </w:r>
    </w:p>
    <w:p w14:paraId="7DD7FEB9" w14:textId="77777777" w:rsidR="00A37B01" w:rsidRDefault="00ED0E4E" w:rsidP="00C428FB">
      <w:pPr>
        <w:pStyle w:val="Heading2"/>
      </w:pPr>
      <w:r>
        <w:t>Analyse</w:t>
      </w:r>
    </w:p>
    <w:p w14:paraId="6253FF68" w14:textId="77777777" w:rsidR="00A37B01" w:rsidRDefault="00ED0E4E">
      <w:pPr>
        <w:pStyle w:val="ListBullet"/>
      </w:pPr>
      <w:r>
        <w:t>Informal staff and student feedback about OSCE experiences and student outcomes.</w:t>
      </w:r>
    </w:p>
    <w:p w14:paraId="4B7A30E4" w14:textId="77777777" w:rsidR="00A37B01" w:rsidRDefault="00ED0E4E" w:rsidP="00C428FB">
      <w:pPr>
        <w:pStyle w:val="Heading2"/>
      </w:pPr>
      <w:r>
        <w:lastRenderedPageBreak/>
        <w:t>Design</w:t>
      </w:r>
    </w:p>
    <w:p w14:paraId="29B27B30" w14:textId="77777777" w:rsidR="00A37B01" w:rsidRDefault="00ED0E4E">
      <w:pPr>
        <w:pStyle w:val="ListBullet"/>
      </w:pPr>
      <w:r>
        <w:t>Collaboration with content matter and learning technology experts.</w:t>
      </w:r>
    </w:p>
    <w:p w14:paraId="3F2CAA8B" w14:textId="77777777" w:rsidR="00A37B01" w:rsidRDefault="00ED0E4E">
      <w:pPr>
        <w:pStyle w:val="ListBullet"/>
      </w:pPr>
      <w:r>
        <w:t>Refined discrete skills for the OSCE, including voice disorders: assessment of voice, hypothesis generation and case note documentation.</w:t>
      </w:r>
    </w:p>
    <w:p w14:paraId="2F9762A0" w14:textId="77777777" w:rsidR="00A37B01" w:rsidRDefault="00ED0E4E">
      <w:pPr>
        <w:pStyle w:val="ListBullet"/>
      </w:pPr>
      <w:r>
        <w:t>LMS integration.</w:t>
      </w:r>
    </w:p>
    <w:p w14:paraId="5DAF5C94" w14:textId="77777777" w:rsidR="00A37B01" w:rsidRDefault="00ED0E4E">
      <w:pPr>
        <w:pStyle w:val="ListBullet"/>
      </w:pPr>
      <w:r>
        <w:t>Pilot.</w:t>
      </w:r>
    </w:p>
    <w:p w14:paraId="2B7F8C68" w14:textId="77777777" w:rsidR="00A37B01" w:rsidRDefault="00ED0E4E" w:rsidP="00C428FB">
      <w:pPr>
        <w:pStyle w:val="Heading2"/>
      </w:pPr>
      <w:r>
        <w:t>Develop</w:t>
      </w:r>
    </w:p>
    <w:p w14:paraId="573A482C" w14:textId="77777777" w:rsidR="00A37B01" w:rsidRDefault="00ED0E4E">
      <w:pPr>
        <w:pStyle w:val="ListBullet"/>
      </w:pPr>
      <w:r>
        <w:t>Content, case studies, audio files, instructional materials, automated feedback and exemplars.</w:t>
      </w:r>
    </w:p>
    <w:p w14:paraId="71EFAA61" w14:textId="77777777" w:rsidR="00A37B01" w:rsidRDefault="00ED0E4E">
      <w:pPr>
        <w:pStyle w:val="ListBullet"/>
      </w:pPr>
      <w:r>
        <w:t>Aligned with OSCE best practice guidelines.</w:t>
      </w:r>
    </w:p>
    <w:p w14:paraId="126848BF" w14:textId="77777777" w:rsidR="00A37B01" w:rsidRDefault="00ED0E4E">
      <w:pPr>
        <w:pStyle w:val="ListBullet"/>
      </w:pPr>
      <w:r>
        <w:t>Integrated professional learning skills such as self and peer assessment, and critical reflection.</w:t>
      </w:r>
    </w:p>
    <w:p w14:paraId="45BB8474" w14:textId="77777777" w:rsidR="00A37B01" w:rsidRDefault="00ED0E4E">
      <w:pPr>
        <w:pStyle w:val="ListBullet"/>
      </w:pPr>
      <w:r>
        <w:t>Timed and untimed cases to reflect OSCE structure.</w:t>
      </w:r>
    </w:p>
    <w:p w14:paraId="45D53167" w14:textId="77777777" w:rsidR="00A37B01" w:rsidRDefault="00ED0E4E">
      <w:pPr>
        <w:pStyle w:val="ListBullet"/>
      </w:pPr>
      <w:r>
        <w:t>Repeated practice.</w:t>
      </w:r>
    </w:p>
    <w:p w14:paraId="1ED51F67" w14:textId="77777777" w:rsidR="00A37B01" w:rsidRDefault="00ED0E4E" w:rsidP="00C428FB">
      <w:pPr>
        <w:pStyle w:val="Heading2"/>
      </w:pPr>
      <w:r>
        <w:t>Implement</w:t>
      </w:r>
    </w:p>
    <w:p w14:paraId="712263DE" w14:textId="77777777" w:rsidR="00A37B01" w:rsidRDefault="00ED0E4E">
      <w:pPr>
        <w:pStyle w:val="ListBullet"/>
      </w:pPr>
      <w:r>
        <w:t>Deployed in the LMS.</w:t>
      </w:r>
    </w:p>
    <w:p w14:paraId="4F5E375B" w14:textId="77777777" w:rsidR="00A37B01" w:rsidRDefault="00ED0E4E">
      <w:pPr>
        <w:pStyle w:val="ListBullet"/>
      </w:pPr>
      <w:r>
        <w:t>Subject-specific, but also enabled in other subjects as part of evaluation.</w:t>
      </w:r>
    </w:p>
    <w:p w14:paraId="6C7E73B3" w14:textId="77777777" w:rsidR="00A37B01" w:rsidRDefault="00ED0E4E">
      <w:pPr>
        <w:pStyle w:val="ListBullet"/>
      </w:pPr>
      <w:r>
        <w:t>Guided support in class.</w:t>
      </w:r>
    </w:p>
    <w:p w14:paraId="4A298B78" w14:textId="77777777" w:rsidR="00A37B01" w:rsidRDefault="00ED0E4E" w:rsidP="00C428FB">
      <w:pPr>
        <w:pStyle w:val="Heading2"/>
      </w:pPr>
      <w:r>
        <w:t>Evaluate</w:t>
      </w:r>
    </w:p>
    <w:p w14:paraId="36D854BC" w14:textId="77777777" w:rsidR="00A37B01" w:rsidRDefault="00ED0E4E">
      <w:pPr>
        <w:pStyle w:val="ListBullet"/>
      </w:pPr>
      <w:r>
        <w:t>Evaluation aligned with Level 1 of Kirkpatrick’s Training Evaluation Model.</w:t>
      </w:r>
    </w:p>
    <w:p w14:paraId="2437777B" w14:textId="77777777" w:rsidR="00A37B01" w:rsidRDefault="00ED0E4E">
      <w:pPr>
        <w:pStyle w:val="ListBullet"/>
      </w:pPr>
      <w:r>
        <w:t>HREC approval (H9516).</w:t>
      </w:r>
    </w:p>
    <w:p w14:paraId="7EEF7296" w14:textId="77777777" w:rsidR="00A37B01" w:rsidRDefault="00ED0E4E">
      <w:pPr>
        <w:pStyle w:val="ListBullet"/>
      </w:pPr>
      <w:r>
        <w:t>Written feedback questionnaire.</w:t>
      </w:r>
    </w:p>
    <w:p w14:paraId="430BDA94" w14:textId="77777777" w:rsidR="00A37B01" w:rsidRDefault="00ED0E4E">
      <w:pPr>
        <w:pStyle w:val="Heading1"/>
      </w:pPr>
      <w:r>
        <w:t>How UDL was operationalised</w:t>
      </w:r>
    </w:p>
    <w:p w14:paraId="38CD43CC" w14:textId="77777777" w:rsidR="00A37B01" w:rsidRDefault="00ED0E4E" w:rsidP="00C428FB">
      <w:pPr>
        <w:pStyle w:val="Heading2"/>
      </w:pPr>
      <w:r>
        <w:t>Engagement</w:t>
      </w:r>
    </w:p>
    <w:p w14:paraId="35AEAF65" w14:textId="77777777" w:rsidR="00A37B01" w:rsidRDefault="00ED0E4E">
      <w:pPr>
        <w:pStyle w:val="ListBullet"/>
      </w:pPr>
      <w:r>
        <w:t>Clear expectations</w:t>
      </w:r>
    </w:p>
    <w:p w14:paraId="098B77B5" w14:textId="77777777" w:rsidR="00A37B01" w:rsidRDefault="00ED0E4E">
      <w:pPr>
        <w:pStyle w:val="ListBullet"/>
      </w:pPr>
      <w:r>
        <w:t>Gamification</w:t>
      </w:r>
    </w:p>
    <w:p w14:paraId="467C0F34" w14:textId="77777777" w:rsidR="00A37B01" w:rsidRDefault="00ED0E4E">
      <w:pPr>
        <w:pStyle w:val="ListBullet"/>
      </w:pPr>
      <w:r>
        <w:t>Authentic cases</w:t>
      </w:r>
    </w:p>
    <w:p w14:paraId="20601D6D" w14:textId="77777777" w:rsidR="00A37B01" w:rsidRDefault="00ED0E4E">
      <w:pPr>
        <w:pStyle w:val="ListBullet"/>
      </w:pPr>
      <w:r>
        <w:t>Self-paced and repeated practice</w:t>
      </w:r>
    </w:p>
    <w:p w14:paraId="2255A8C7" w14:textId="77777777" w:rsidR="00A37B01" w:rsidRDefault="00ED0E4E">
      <w:pPr>
        <w:pStyle w:val="ListBullet"/>
      </w:pPr>
      <w:r>
        <w:t>Promoted reflection</w:t>
      </w:r>
    </w:p>
    <w:p w14:paraId="4B38AD63" w14:textId="77777777" w:rsidR="00A37B01" w:rsidRDefault="00ED0E4E" w:rsidP="00C428FB">
      <w:pPr>
        <w:pStyle w:val="Heading2"/>
      </w:pPr>
      <w:r>
        <w:t>Representation</w:t>
      </w:r>
    </w:p>
    <w:p w14:paraId="586099A9" w14:textId="77777777" w:rsidR="00A37B01" w:rsidRDefault="00ED0E4E">
      <w:pPr>
        <w:pStyle w:val="ListBullet"/>
      </w:pPr>
      <w:r>
        <w:t>Audio</w:t>
      </w:r>
    </w:p>
    <w:p w14:paraId="0CF3DB6A" w14:textId="77777777" w:rsidR="00A37B01" w:rsidRDefault="00ED0E4E">
      <w:pPr>
        <w:pStyle w:val="ListBullet"/>
      </w:pPr>
      <w:r>
        <w:t>Text features</w:t>
      </w:r>
    </w:p>
    <w:p w14:paraId="02351E05" w14:textId="77777777" w:rsidR="00A37B01" w:rsidRDefault="00ED0E4E">
      <w:pPr>
        <w:pStyle w:val="ListBullet"/>
      </w:pPr>
      <w:r>
        <w:t>Exemplars</w:t>
      </w:r>
    </w:p>
    <w:p w14:paraId="4ACD553F" w14:textId="77777777" w:rsidR="00A37B01" w:rsidRDefault="00ED0E4E">
      <w:pPr>
        <w:pStyle w:val="ListBullet"/>
      </w:pPr>
      <w:r>
        <w:t>Clarified vocabulary such as SOAP</w:t>
      </w:r>
    </w:p>
    <w:p w14:paraId="424C2AE7" w14:textId="77777777" w:rsidR="00A37B01" w:rsidRDefault="00ED0E4E" w:rsidP="00C428FB">
      <w:pPr>
        <w:pStyle w:val="Heading2"/>
      </w:pPr>
      <w:r>
        <w:lastRenderedPageBreak/>
        <w:t>Action and expression</w:t>
      </w:r>
    </w:p>
    <w:p w14:paraId="7F16C8AA" w14:textId="77777777" w:rsidR="00A37B01" w:rsidRDefault="00ED0E4E">
      <w:pPr>
        <w:pStyle w:val="ListBullet"/>
      </w:pPr>
      <w:r>
        <w:t>Timed and time-limited tasks</w:t>
      </w:r>
    </w:p>
    <w:p w14:paraId="281D1F6A" w14:textId="77777777" w:rsidR="00A37B01" w:rsidRDefault="00ED0E4E">
      <w:pPr>
        <w:pStyle w:val="ListBullet"/>
      </w:pPr>
      <w:r>
        <w:t>Repeated practice</w:t>
      </w:r>
    </w:p>
    <w:p w14:paraId="004AF084" w14:textId="77777777" w:rsidR="00A37B01" w:rsidRDefault="00ED0E4E">
      <w:pPr>
        <w:pStyle w:val="ListBullet"/>
      </w:pPr>
      <w:r>
        <w:t>Back-forwards navigation</w:t>
      </w:r>
    </w:p>
    <w:p w14:paraId="55F9A49C" w14:textId="77777777" w:rsidR="00A37B01" w:rsidRDefault="00ED0E4E">
      <w:pPr>
        <w:pStyle w:val="ListBullet"/>
      </w:pPr>
      <w:r>
        <w:t>Feedback</w:t>
      </w:r>
    </w:p>
    <w:p w14:paraId="652CD867" w14:textId="77777777" w:rsidR="00A37B01" w:rsidRDefault="00ED0E4E">
      <w:pPr>
        <w:pStyle w:val="ListBullet"/>
      </w:pPr>
      <w:r>
        <w:t>Peer and self-review</w:t>
      </w:r>
    </w:p>
    <w:p w14:paraId="0476C695" w14:textId="77777777" w:rsidR="00A37B01" w:rsidRDefault="00ED0E4E">
      <w:pPr>
        <w:pStyle w:val="Heading1"/>
      </w:pPr>
      <w:r>
        <w:t>Digital OSCE walkthrough – Design 1</w:t>
      </w:r>
    </w:p>
    <w:p w14:paraId="5BACE977" w14:textId="77777777" w:rsidR="00A37B01" w:rsidRDefault="00ED0E4E">
      <w:r>
        <w:t>Figure description: Screenshot showing the opening page of the digital practice OSCE. The extracted alt text describes a child sitting on the ground next to a tree. The slide labels the activity as “SL2013 OSCE Perceptual voice profile assessment based on audio sample, Part 1”.</w:t>
      </w:r>
    </w:p>
    <w:p w14:paraId="3D59DBD1" w14:textId="32F0D480" w:rsidR="00ED0E4E" w:rsidRDefault="00ED0E4E">
      <w:r>
        <w:t>Presenter demonstrated the design 1 tool developed using Articulate.</w:t>
      </w:r>
    </w:p>
    <w:p w14:paraId="138561EF" w14:textId="77777777" w:rsidR="00A37B01" w:rsidRDefault="00ED0E4E">
      <w:pPr>
        <w:pStyle w:val="Heading1"/>
      </w:pPr>
      <w:r>
        <w:t>What did students report?</w:t>
      </w:r>
    </w:p>
    <w:p w14:paraId="7F0AD048" w14:textId="77777777" w:rsidR="00A37B01" w:rsidRDefault="00ED0E4E">
      <w:r>
        <w:t>Themes: Supported practice and reassurance.</w:t>
      </w:r>
    </w:p>
    <w:p w14:paraId="5CE55EC7" w14:textId="77777777" w:rsidR="00A37B01" w:rsidRDefault="00ED0E4E" w:rsidP="00C428FB">
      <w:pPr>
        <w:pStyle w:val="Heading2"/>
      </w:pPr>
      <w:r>
        <w:t>Enjoyable</w:t>
      </w:r>
    </w:p>
    <w:p w14:paraId="6671E59C" w14:textId="77777777" w:rsidR="00A37B01" w:rsidRDefault="00ED0E4E">
      <w:pPr>
        <w:pStyle w:val="Quote"/>
      </w:pPr>
      <w:r>
        <w:t>“It was easy, engaging and honestly a lot of fun (like an online game)!”</w:t>
      </w:r>
    </w:p>
    <w:p w14:paraId="3A829266" w14:textId="77777777" w:rsidR="00A37B01" w:rsidRDefault="00ED0E4E">
      <w:pPr>
        <w:pStyle w:val="Quote"/>
      </w:pPr>
      <w:r>
        <w:t>“Willingness to learn and practice.”</w:t>
      </w:r>
    </w:p>
    <w:p w14:paraId="3E372F24" w14:textId="77777777" w:rsidR="00A37B01" w:rsidRDefault="00ED0E4E" w:rsidP="00C428FB">
      <w:pPr>
        <w:pStyle w:val="Heading2"/>
      </w:pPr>
      <w:r>
        <w:t>Ease of use</w:t>
      </w:r>
    </w:p>
    <w:p w14:paraId="66185AFB" w14:textId="77777777" w:rsidR="00A37B01" w:rsidRDefault="00ED0E4E">
      <w:pPr>
        <w:pStyle w:val="Quote"/>
      </w:pPr>
      <w:r>
        <w:t>“User-friendly language.”</w:t>
      </w:r>
    </w:p>
    <w:p w14:paraId="4F674665" w14:textId="77777777" w:rsidR="00A37B01" w:rsidRDefault="00ED0E4E">
      <w:pPr>
        <w:pStyle w:val="Quote"/>
      </w:pPr>
      <w:r>
        <w:t>“I was able to quickly find and move between different scenarios.”</w:t>
      </w:r>
    </w:p>
    <w:p w14:paraId="48046A28" w14:textId="77777777" w:rsidR="00A37B01" w:rsidRDefault="00ED0E4E">
      <w:pPr>
        <w:pStyle w:val="Quote"/>
      </w:pPr>
      <w:r>
        <w:t>“Breaking information into numerical points would have been easier to comprehend.”</w:t>
      </w:r>
    </w:p>
    <w:p w14:paraId="6C6955B9" w14:textId="77777777" w:rsidR="00A37B01" w:rsidRDefault="00ED0E4E">
      <w:pPr>
        <w:pStyle w:val="Quote"/>
      </w:pPr>
      <w:r>
        <w:t>“The line spacing of the scenario text could have been bigger for easier reading.”</w:t>
      </w:r>
    </w:p>
    <w:p w14:paraId="200A8834" w14:textId="77777777" w:rsidR="00A37B01" w:rsidRDefault="00ED0E4E" w:rsidP="00C428FB">
      <w:pPr>
        <w:pStyle w:val="Heading2"/>
      </w:pPr>
      <w:r>
        <w:t>Replicated real OSCE</w:t>
      </w:r>
    </w:p>
    <w:p w14:paraId="4F17FF3E" w14:textId="77777777" w:rsidR="00A37B01" w:rsidRDefault="00ED0E4E">
      <w:pPr>
        <w:pStyle w:val="Quote"/>
      </w:pPr>
      <w:r>
        <w:t>“The content was comprehensive and aligned with the expectations of a real OSCE, making it an excellent preparation tool.”</w:t>
      </w:r>
    </w:p>
    <w:p w14:paraId="66A7CAE2" w14:textId="77777777" w:rsidR="00A37B01" w:rsidRDefault="00ED0E4E">
      <w:pPr>
        <w:pStyle w:val="Quote"/>
      </w:pPr>
      <w:r>
        <w:t>“No amount of verbal preparation can compete with having the tools to practice working with a case very similar to exam conditions.”</w:t>
      </w:r>
    </w:p>
    <w:p w14:paraId="4E1F2661" w14:textId="77777777" w:rsidR="00A37B01" w:rsidRDefault="00ED0E4E" w:rsidP="00C428FB">
      <w:pPr>
        <w:pStyle w:val="Heading2"/>
      </w:pPr>
      <w:r>
        <w:t>Practice opportunity</w:t>
      </w:r>
    </w:p>
    <w:p w14:paraId="1C102EC2" w14:textId="77777777" w:rsidR="00A37B01" w:rsidRDefault="00ED0E4E">
      <w:pPr>
        <w:pStyle w:val="Quote"/>
      </w:pPr>
      <w:r>
        <w:t>“Practice at my own pace.”</w:t>
      </w:r>
    </w:p>
    <w:p w14:paraId="33DE81F3" w14:textId="77777777" w:rsidR="00A37B01" w:rsidRDefault="00ED0E4E">
      <w:pPr>
        <w:pStyle w:val="Quote"/>
      </w:pPr>
      <w:r>
        <w:t>“Track my progress.”</w:t>
      </w:r>
    </w:p>
    <w:p w14:paraId="7A2C06F7" w14:textId="77777777" w:rsidR="00A37B01" w:rsidRDefault="00ED0E4E">
      <w:pPr>
        <w:pStyle w:val="Quote"/>
      </w:pPr>
      <w:r>
        <w:lastRenderedPageBreak/>
        <w:t>“It was a great experience because it allowed me to practice and refine my clinical skills in a structured and interactive way.”</w:t>
      </w:r>
    </w:p>
    <w:p w14:paraId="06141AB5" w14:textId="77777777" w:rsidR="00A37B01" w:rsidRDefault="00ED0E4E">
      <w:pPr>
        <w:pStyle w:val="Quote"/>
      </w:pPr>
      <w:r>
        <w:t>“I could compare my PVP ratings against the expert’s ratings to see if I needed further practice.”</w:t>
      </w:r>
    </w:p>
    <w:p w14:paraId="4C5157A9" w14:textId="77777777" w:rsidR="00A37B01" w:rsidRDefault="00ED0E4E" w:rsidP="00C428FB">
      <w:pPr>
        <w:pStyle w:val="Heading2"/>
      </w:pPr>
      <w:r>
        <w:t>Internalisation of learning</w:t>
      </w:r>
    </w:p>
    <w:p w14:paraId="679CDA4A" w14:textId="77777777" w:rsidR="00A37B01" w:rsidRDefault="00ED0E4E">
      <w:pPr>
        <w:pStyle w:val="Quote"/>
      </w:pPr>
      <w:r>
        <w:t>“The immediate feedback after each scenario helped me identify my strengths and areas for improvement, which was really beneficial for my learning.”</w:t>
      </w:r>
    </w:p>
    <w:p w14:paraId="076F384E" w14:textId="77777777" w:rsidR="00A37B01" w:rsidRDefault="00ED0E4E">
      <w:pPr>
        <w:pStyle w:val="Quote"/>
      </w:pPr>
      <w:r>
        <w:t>“I found this [self-evaluation prompts] beneficial to my learning as it allowed me to reflect on my knowledge and identify gaps.”</w:t>
      </w:r>
    </w:p>
    <w:p w14:paraId="50CFBFA2" w14:textId="77777777" w:rsidR="00A37B01" w:rsidRDefault="00ED0E4E">
      <w:pPr>
        <w:pStyle w:val="Quote"/>
      </w:pPr>
      <w:r>
        <w:t>“[The exemplars] showed the key points to cover and the ideal way to communicate or perform a voice assessment, which helped me understand the level of detail and professionalism expected.”</w:t>
      </w:r>
    </w:p>
    <w:p w14:paraId="4CF785A3" w14:textId="77777777" w:rsidR="00A37B01" w:rsidRDefault="00ED0E4E">
      <w:pPr>
        <w:pStyle w:val="Heading1"/>
      </w:pPr>
      <w:r>
        <w:t>Digital OSCE walkthrough – Design 2</w:t>
      </w:r>
    </w:p>
    <w:p w14:paraId="4ECEAB9C" w14:textId="77777777" w:rsidR="00A37B01" w:rsidRDefault="00ED0E4E">
      <w:r>
        <w:t>Figure description: Screenshot of the digital OSCE tile embedded in the LMS.</w:t>
      </w:r>
    </w:p>
    <w:p w14:paraId="7E7230E1" w14:textId="07746CDE" w:rsidR="00ED0E4E" w:rsidRDefault="00ED0E4E">
      <w:r>
        <w:t>Presenter demonstrated the design 2 tool developed using Blackboard Ultra features.</w:t>
      </w:r>
    </w:p>
    <w:p w14:paraId="699A6100" w14:textId="77777777" w:rsidR="00A37B01" w:rsidRDefault="00ED0E4E">
      <w:pPr>
        <w:pStyle w:val="Heading1"/>
      </w:pPr>
      <w:r>
        <w:t>CONFIDE model</w:t>
      </w:r>
    </w:p>
    <w:p w14:paraId="62883B54" w14:textId="77777777" w:rsidR="00A37B01" w:rsidRDefault="00ED0E4E" w:rsidP="00C428FB">
      <w:pPr>
        <w:pStyle w:val="Heading2"/>
      </w:pPr>
      <w:r>
        <w:t>Clarify standards and expectations</w:t>
      </w:r>
    </w:p>
    <w:p w14:paraId="1F58E8CC" w14:textId="77777777" w:rsidR="00A37B01" w:rsidRDefault="00ED0E4E">
      <w:pPr>
        <w:pStyle w:val="ListBullet"/>
      </w:pPr>
      <w:r>
        <w:t>Define goals and criteria.</w:t>
      </w:r>
    </w:p>
    <w:p w14:paraId="30E7A770" w14:textId="77777777" w:rsidR="00A37B01" w:rsidRDefault="00ED0E4E">
      <w:pPr>
        <w:pStyle w:val="ListBullet"/>
      </w:pPr>
      <w:r>
        <w:t>Align to learning outcomes.</w:t>
      </w:r>
    </w:p>
    <w:p w14:paraId="420F388C" w14:textId="77777777" w:rsidR="00A37B01" w:rsidRDefault="00ED0E4E">
      <w:pPr>
        <w:pStyle w:val="ListBullet"/>
      </w:pPr>
      <w:r>
        <w:t>Normalise uncertainty and address challenges.</w:t>
      </w:r>
    </w:p>
    <w:p w14:paraId="5CF929ED" w14:textId="77777777" w:rsidR="00A37B01" w:rsidRDefault="00ED0E4E" w:rsidP="00C428FB">
      <w:pPr>
        <w:pStyle w:val="Heading2"/>
      </w:pPr>
      <w:r>
        <w:t>Offer multimodal access</w:t>
      </w:r>
    </w:p>
    <w:p w14:paraId="5DCA457C" w14:textId="77777777" w:rsidR="00A37B01" w:rsidRDefault="00ED0E4E">
      <w:pPr>
        <w:pStyle w:val="ListBullet"/>
      </w:pPr>
      <w:r>
        <w:t>Provide varied ways to engage.</w:t>
      </w:r>
    </w:p>
    <w:p w14:paraId="33D87E77" w14:textId="77777777" w:rsidR="00A37B01" w:rsidRDefault="00ED0E4E">
      <w:pPr>
        <w:pStyle w:val="ListBullet"/>
      </w:pPr>
      <w:r>
        <w:t>Provide varied ways to perceive information.</w:t>
      </w:r>
    </w:p>
    <w:p w14:paraId="13785B99" w14:textId="77777777" w:rsidR="00A37B01" w:rsidRDefault="00ED0E4E">
      <w:pPr>
        <w:pStyle w:val="ListBullet"/>
      </w:pPr>
      <w:r>
        <w:t>Clarify vocabulary and terms.</w:t>
      </w:r>
    </w:p>
    <w:p w14:paraId="0B5EB12F" w14:textId="77777777" w:rsidR="00A37B01" w:rsidRDefault="00ED0E4E">
      <w:pPr>
        <w:pStyle w:val="ListBullet"/>
      </w:pPr>
      <w:r>
        <w:t>Include test features such as an audio check.</w:t>
      </w:r>
    </w:p>
    <w:p w14:paraId="4AC01F2E" w14:textId="77777777" w:rsidR="00A37B01" w:rsidRDefault="00ED0E4E" w:rsidP="00C428FB">
      <w:pPr>
        <w:pStyle w:val="Heading2"/>
      </w:pPr>
      <w:r>
        <w:t>Normalise practice</w:t>
      </w:r>
    </w:p>
    <w:p w14:paraId="47791003" w14:textId="77777777" w:rsidR="00A37B01" w:rsidRDefault="00ED0E4E">
      <w:pPr>
        <w:pStyle w:val="ListBullet"/>
      </w:pPr>
      <w:r>
        <w:t>Encourage regular low-stakes use.</w:t>
      </w:r>
    </w:p>
    <w:p w14:paraId="0A6816F0" w14:textId="77777777" w:rsidR="00A37B01" w:rsidRDefault="00ED0E4E">
      <w:pPr>
        <w:pStyle w:val="ListBullet"/>
      </w:pPr>
      <w:r>
        <w:t>Promote individual and peer collaboration and collective learning.</w:t>
      </w:r>
    </w:p>
    <w:p w14:paraId="5644B27A" w14:textId="77777777" w:rsidR="00A37B01" w:rsidRDefault="00ED0E4E">
      <w:pPr>
        <w:pStyle w:val="ListBullet"/>
      </w:pPr>
      <w:r>
        <w:t>Provide tools for constructing knowledge.</w:t>
      </w:r>
    </w:p>
    <w:p w14:paraId="247FE27D" w14:textId="77777777" w:rsidR="00A37B01" w:rsidRDefault="00ED0E4E">
      <w:pPr>
        <w:pStyle w:val="ListBullet"/>
      </w:pPr>
      <w:r>
        <w:t>Provide scaffolded support for practice.</w:t>
      </w:r>
    </w:p>
    <w:p w14:paraId="5920AC07" w14:textId="77777777" w:rsidR="00A37B01" w:rsidRDefault="00ED0E4E">
      <w:pPr>
        <w:pStyle w:val="ListBullet"/>
      </w:pPr>
      <w:r>
        <w:t>Use timed and untimed tasks.</w:t>
      </w:r>
    </w:p>
    <w:p w14:paraId="5574617B" w14:textId="77777777" w:rsidR="00A37B01" w:rsidRDefault="00ED0E4E" w:rsidP="00C428FB">
      <w:pPr>
        <w:pStyle w:val="Heading2"/>
      </w:pPr>
      <w:r>
        <w:lastRenderedPageBreak/>
        <w:t>Facilitate feedback</w:t>
      </w:r>
    </w:p>
    <w:p w14:paraId="6CCC9CD3" w14:textId="77777777" w:rsidR="00A37B01" w:rsidRDefault="00ED0E4E">
      <w:pPr>
        <w:pStyle w:val="ListBullet"/>
      </w:pPr>
      <w:r>
        <w:t>Make guidance timely and usable.</w:t>
      </w:r>
    </w:p>
    <w:p w14:paraId="00A92F23" w14:textId="77777777" w:rsidR="00A37B01" w:rsidRDefault="00ED0E4E">
      <w:pPr>
        <w:pStyle w:val="ListBullet"/>
      </w:pPr>
      <w:r>
        <w:t>Develop self-awareness.</w:t>
      </w:r>
    </w:p>
    <w:p w14:paraId="7581F527" w14:textId="77777777" w:rsidR="00A37B01" w:rsidRDefault="00ED0E4E">
      <w:pPr>
        <w:pStyle w:val="ListBullet"/>
      </w:pPr>
      <w:r>
        <w:t>Develop assessment literacy.</w:t>
      </w:r>
    </w:p>
    <w:p w14:paraId="15A6D627" w14:textId="77777777" w:rsidR="00A37B01" w:rsidRDefault="00ED0E4E" w:rsidP="00C428FB">
      <w:pPr>
        <w:pStyle w:val="Heading2"/>
      </w:pPr>
      <w:r>
        <w:t>Integrate interaction</w:t>
      </w:r>
    </w:p>
    <w:p w14:paraId="3C725449" w14:textId="77777777" w:rsidR="00A37B01" w:rsidRDefault="00ED0E4E">
      <w:pPr>
        <w:pStyle w:val="ListBullet"/>
      </w:pPr>
      <w:r>
        <w:t>Support choice and ownership.</w:t>
      </w:r>
    </w:p>
    <w:p w14:paraId="09183E41" w14:textId="77777777" w:rsidR="00A37B01" w:rsidRDefault="00ED0E4E">
      <w:pPr>
        <w:pStyle w:val="ListBullet"/>
      </w:pPr>
      <w:r>
        <w:t>Use varied tools for responses and learning such as text boxes, templates and AI conversation.</w:t>
      </w:r>
    </w:p>
    <w:p w14:paraId="0218ECE7" w14:textId="77777777" w:rsidR="00A37B01" w:rsidRDefault="00ED0E4E">
      <w:pPr>
        <w:pStyle w:val="ListBullet"/>
      </w:pPr>
      <w:r>
        <w:t>Provide accessible layout and content with customisable elements, for example Blackboard Ally.</w:t>
      </w:r>
    </w:p>
    <w:p w14:paraId="1145109E" w14:textId="77777777" w:rsidR="00A37B01" w:rsidRDefault="00ED0E4E" w:rsidP="00C428FB">
      <w:pPr>
        <w:pStyle w:val="Heading2"/>
      </w:pPr>
      <w:r>
        <w:t>Embed authenticity</w:t>
      </w:r>
    </w:p>
    <w:p w14:paraId="219B47CF" w14:textId="77777777" w:rsidR="00A37B01" w:rsidRDefault="00ED0E4E">
      <w:pPr>
        <w:pStyle w:val="ListBullet"/>
      </w:pPr>
      <w:r>
        <w:t>Connect tasks to real contexts to promote motivation.</w:t>
      </w:r>
    </w:p>
    <w:p w14:paraId="5D1E827A" w14:textId="77777777" w:rsidR="00A37B01" w:rsidRDefault="00ED0E4E">
      <w:pPr>
        <w:pStyle w:val="ListBullet"/>
      </w:pPr>
      <w:r>
        <w:t>Focus on applied clinical reasoning, not just recall, including communication skills, clinical decision-making and professional behaviours.</w:t>
      </w:r>
    </w:p>
    <w:p w14:paraId="76805796" w14:textId="77777777" w:rsidR="00A37B01" w:rsidRDefault="00ED0E4E">
      <w:pPr>
        <w:pStyle w:val="Heading1"/>
      </w:pPr>
      <w:r>
        <w:t>Contact</w:t>
      </w:r>
    </w:p>
    <w:p w14:paraId="34AD0A75" w14:textId="77777777" w:rsidR="00A37B01" w:rsidRDefault="00ED0E4E">
      <w:r>
        <w:t>Any questions?</w:t>
      </w:r>
    </w:p>
    <w:p w14:paraId="6D76F2CF" w14:textId="77777777" w:rsidR="00A37B01" w:rsidRDefault="00ED0E4E">
      <w:r>
        <w:t xml:space="preserve">Email: </w:t>
      </w:r>
      <w:hyperlink r:id="rId10">
        <w:r>
          <w:rPr>
            <w:color w:val="0563C1"/>
            <w:u w:val="single"/>
          </w:rPr>
          <w:t>frances.cochrane1@jcu.edu.au</w:t>
        </w:r>
      </w:hyperlink>
    </w:p>
    <w:p w14:paraId="074DD3E8" w14:textId="77777777" w:rsidR="00A37B01" w:rsidRDefault="00ED0E4E">
      <w:pPr>
        <w:pStyle w:val="Heading1"/>
      </w:pPr>
      <w:r>
        <w:t>References</w:t>
      </w:r>
    </w:p>
    <w:p w14:paraId="4FC7238D" w14:textId="77777777" w:rsidR="00A37B01" w:rsidRDefault="00ED0E4E">
      <w:pPr>
        <w:pStyle w:val="ListBullet"/>
      </w:pPr>
      <w:r>
        <w:t>Branch, R.M. (2009). Instructional design: the ADDIE approach. Springer.</w:t>
      </w:r>
    </w:p>
    <w:p w14:paraId="25ABC1E0" w14:textId="49085F64" w:rsidR="00A37B01" w:rsidRDefault="00ED0E4E">
      <w:pPr>
        <w:pStyle w:val="ListBullet"/>
      </w:pPr>
      <w:r>
        <w:t xml:space="preserve">Hill, E., Timms, L., &amp; Brewer, M. (2023). A Pilot Study of Objective Structured Clinical Examinations in a Postgraduate Speech Pathology Program. Journal of Clinical Practice in Speech-Language Pathology, 25(3), 134–139. </w:t>
      </w:r>
      <w:hyperlink r:id="rId11" w:history="1">
        <w:r w:rsidR="006400AA" w:rsidRPr="001529A5">
          <w:rPr>
            <w:rStyle w:val="Hyperlink"/>
          </w:rPr>
          <w:t>https://doi.org/10.1080/22087168.2023.12370413</w:t>
        </w:r>
      </w:hyperlink>
      <w:r>
        <w:t>.</w:t>
      </w:r>
    </w:p>
    <w:p w14:paraId="49396632" w14:textId="77777777" w:rsidR="00A37B01" w:rsidRDefault="00ED0E4E">
      <w:pPr>
        <w:pStyle w:val="ListBullet"/>
      </w:pPr>
      <w:r>
        <w:t>Kirkpatrick, D. (1996). Great ideas revisited: Revisiting Kirkpatrick’s Four-Level Model. Training and Development, 50(1), 54–60.</w:t>
      </w:r>
    </w:p>
    <w:p w14:paraId="3A12725E" w14:textId="19D00686" w:rsidR="00A37B01" w:rsidRDefault="00ED0E4E">
      <w:pPr>
        <w:pStyle w:val="ListBullet"/>
      </w:pPr>
      <w:r>
        <w:t xml:space="preserve">Miller, G.E. (1990). The assessment of clinical skills/competence/performance. Academic Medicine, 65(9), 63–37. </w:t>
      </w:r>
      <w:hyperlink r:id="rId12" w:history="1">
        <w:r w:rsidR="00DF7320" w:rsidRPr="001529A5">
          <w:rPr>
            <w:rStyle w:val="Hyperlink"/>
          </w:rPr>
          <w:t>https://doi.org/10.1097/00001888-199009000-00045</w:t>
        </w:r>
      </w:hyperlink>
      <w:r>
        <w:t>.</w:t>
      </w:r>
    </w:p>
    <w:p w14:paraId="70BA50B2" w14:textId="493841CF" w:rsidR="00A37B01" w:rsidRDefault="00ED0E4E">
      <w:pPr>
        <w:pStyle w:val="ListBullet"/>
      </w:pPr>
      <w:r>
        <w:t>Mitchell, M., Henderson, A., Jeffrey, C., Nulty, D., Groves, M., Kelly, M., Knight, S., &amp; Glover, P. (2015). Application of the best practice guidelines for OSCEs</w:t>
      </w:r>
      <w:r w:rsidR="00DF7320">
        <w:t xml:space="preserve"> - </w:t>
      </w:r>
      <w:r>
        <w:t xml:space="preserve">An Australian evaluation of their feasibility and value. Nurse Education Today, 35, 700–705. </w:t>
      </w:r>
      <w:hyperlink r:id="rId13" w:history="1">
        <w:r w:rsidR="00B31E30" w:rsidRPr="001529A5">
          <w:rPr>
            <w:rStyle w:val="Hyperlink"/>
          </w:rPr>
          <w:t>http://dx.doi.org/10.1016/j.nedt.2015.01.007</w:t>
        </w:r>
      </w:hyperlink>
      <w:r>
        <w:t>.</w:t>
      </w:r>
    </w:p>
    <w:p w14:paraId="36B6A09F" w14:textId="7AA810EF" w:rsidR="00A37B01" w:rsidRDefault="00ED0E4E">
      <w:pPr>
        <w:pStyle w:val="ListBullet"/>
      </w:pPr>
      <w:r>
        <w:t>Quigley, D., &amp; Regan, J. (2021). Introduction of the Objective Structured Clinical Examination in Speech and Language Therapy Education: Student Perspectives. Folia Phoniatrica et Logopaedica, 73(4), 316–325.</w:t>
      </w:r>
      <w:r w:rsidR="00333410">
        <w:t xml:space="preserve"> </w:t>
      </w:r>
      <w:hyperlink r:id="rId14" w:history="1">
        <w:r w:rsidR="00E427C0" w:rsidRPr="001529A5">
          <w:rPr>
            <w:rStyle w:val="Hyperlink"/>
          </w:rPr>
          <w:t>https://doi.org/10.1159/000508445</w:t>
        </w:r>
      </w:hyperlink>
    </w:p>
    <w:p w14:paraId="173CB33B" w14:textId="4F52058A" w:rsidR="00A37B01" w:rsidRDefault="00ED0E4E">
      <w:pPr>
        <w:pStyle w:val="ListBullet"/>
      </w:pPr>
      <w:r>
        <w:lastRenderedPageBreak/>
        <w:t xml:space="preserve">Zraick, R., Allen, R., &amp; Johnson, S. (2003). The use of standardized patients to teach and test interpersonal and communication skills with students in speech-language pathology. Advances in Health Science Education Theory and Practice, 8(3), 237–248. </w:t>
      </w:r>
      <w:hyperlink r:id="rId15" w:history="1">
        <w:r w:rsidR="00333410" w:rsidRPr="001529A5">
          <w:rPr>
            <w:rStyle w:val="Hyperlink"/>
          </w:rPr>
          <w:t>https://doi.org/10.1023/a:1026015430376</w:t>
        </w:r>
      </w:hyperlink>
      <w:r>
        <w:t>.</w:t>
      </w:r>
    </w:p>
    <w:sectPr w:rsidR="00A37B01"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092160490">
    <w:abstractNumId w:val="8"/>
  </w:num>
  <w:num w:numId="2" w16cid:durableId="953485814">
    <w:abstractNumId w:val="6"/>
  </w:num>
  <w:num w:numId="3" w16cid:durableId="2070760496">
    <w:abstractNumId w:val="5"/>
  </w:num>
  <w:num w:numId="4" w16cid:durableId="1161894641">
    <w:abstractNumId w:val="4"/>
  </w:num>
  <w:num w:numId="5" w16cid:durableId="651762508">
    <w:abstractNumId w:val="7"/>
  </w:num>
  <w:num w:numId="6" w16cid:durableId="955596639">
    <w:abstractNumId w:val="3"/>
  </w:num>
  <w:num w:numId="7" w16cid:durableId="6488956">
    <w:abstractNumId w:val="2"/>
  </w:num>
  <w:num w:numId="8" w16cid:durableId="1254824315">
    <w:abstractNumId w:val="1"/>
  </w:num>
  <w:num w:numId="9" w16cid:durableId="11092775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E6CE3"/>
    <w:rsid w:val="0029639D"/>
    <w:rsid w:val="00326F90"/>
    <w:rsid w:val="00333410"/>
    <w:rsid w:val="003F65B5"/>
    <w:rsid w:val="004623B5"/>
    <w:rsid w:val="00504ED2"/>
    <w:rsid w:val="006400AA"/>
    <w:rsid w:val="006A3A99"/>
    <w:rsid w:val="009117C6"/>
    <w:rsid w:val="00A37B01"/>
    <w:rsid w:val="00AA1D8D"/>
    <w:rsid w:val="00B31E30"/>
    <w:rsid w:val="00B47730"/>
    <w:rsid w:val="00C428FB"/>
    <w:rsid w:val="00CB0664"/>
    <w:rsid w:val="00DF7320"/>
    <w:rsid w:val="00E427C0"/>
    <w:rsid w:val="00E72CD8"/>
    <w:rsid w:val="00ED0E4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CDC59A4"/>
  <w14:defaultImageDpi w14:val="300"/>
  <w15:docId w15:val="{F13429BF-A7A6-4410-B2A8-44588AF769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lang w:val="en-AU"/>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C428FB"/>
    <w:pPr>
      <w:keepNext/>
      <w:keepLines/>
      <w:spacing w:before="200" w:after="0"/>
      <w:outlineLvl w:val="1"/>
    </w:pPr>
    <w:rPr>
      <w:rFonts w:asciiTheme="majorHAnsi" w:eastAsiaTheme="majorEastAsia" w:hAnsiTheme="majorHAnsi" w:cstheme="majorBidi"/>
      <w:b/>
      <w:bCs/>
      <w:color w:val="365F91" w:themeColor="accent1" w:themeShade="BF"/>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rPr>
      <w:lang w:val="en-AU"/>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C428FB"/>
    <w:rPr>
      <w:rFonts w:asciiTheme="majorHAnsi" w:eastAsiaTheme="majorEastAsia" w:hAnsiTheme="majorHAnsi" w:cstheme="majorBidi"/>
      <w:b/>
      <w:bCs/>
      <w:color w:val="365F91" w:themeColor="accent1" w:themeShade="BF"/>
      <w:sz w:val="26"/>
      <w:szCs w:val="26"/>
      <w:lang w:val="en-AU"/>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lang w:val="en-AU"/>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3F65B5"/>
    <w:pPr>
      <w:pBdr>
        <w:bottom w:val="single" w:sz="4" w:space="4" w:color="4F81BD" w:themeColor="accent1"/>
      </w:pBdr>
      <w:spacing w:before="200" w:after="280"/>
      <w:ind w:left="936" w:right="936"/>
    </w:pPr>
    <w:rPr>
      <w:b/>
      <w:bCs/>
      <w:i/>
      <w:iCs/>
      <w:color w:val="365F91" w:themeColor="accent1" w:themeShade="BF"/>
    </w:rPr>
  </w:style>
  <w:style w:type="character" w:customStyle="1" w:styleId="IntenseQuoteChar">
    <w:name w:val="Intense Quote Char"/>
    <w:basedOn w:val="DefaultParagraphFont"/>
    <w:link w:val="IntenseQuote"/>
    <w:uiPriority w:val="30"/>
    <w:rsid w:val="003F65B5"/>
    <w:rPr>
      <w:rFonts w:ascii="Arial" w:hAnsi="Arial"/>
      <w:b/>
      <w:bCs/>
      <w:i/>
      <w:iCs/>
      <w:color w:val="365F91" w:themeColor="accent1" w:themeShade="BF"/>
      <w:lang w:val="en-AU"/>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6400AA"/>
    <w:rPr>
      <w:color w:val="0000FF" w:themeColor="hyperlink"/>
      <w:u w:val="single"/>
    </w:rPr>
  </w:style>
  <w:style w:type="character" w:styleId="UnresolvedMention">
    <w:name w:val="Unresolved Mention"/>
    <w:basedOn w:val="DefaultParagraphFont"/>
    <w:uiPriority w:val="99"/>
    <w:semiHidden/>
    <w:unhideWhenUsed/>
    <w:rsid w:val="006400AA"/>
    <w:rPr>
      <w:color w:val="605E5C"/>
      <w:shd w:val="clear" w:color="auto" w:fill="E1DFDD"/>
    </w:rPr>
  </w:style>
  <w:style w:type="character" w:styleId="FollowedHyperlink">
    <w:name w:val="FollowedHyperlink"/>
    <w:basedOn w:val="DefaultParagraphFont"/>
    <w:uiPriority w:val="99"/>
    <w:semiHidden/>
    <w:unhideWhenUsed/>
    <w:rsid w:val="0033341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dx.doi.org/10.1016/j.nedt.2015.01.007"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doi.org/10.1097/00001888-199009000-00045"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doi.org/10.1080/22087168.2023.12370413" TargetMode="External"/><Relationship Id="rId5" Type="http://schemas.openxmlformats.org/officeDocument/2006/relationships/numbering" Target="numbering.xml"/><Relationship Id="rId15" Type="http://schemas.openxmlformats.org/officeDocument/2006/relationships/hyperlink" Target="https://doi.org/10.1023/a:1026015430376" TargetMode="External"/><Relationship Id="rId10" Type="http://schemas.openxmlformats.org/officeDocument/2006/relationships/hyperlink" Target="mailto:frances.cochrane1@jcu.edu.au" TargetMode="External"/><Relationship Id="rId4" Type="http://schemas.openxmlformats.org/officeDocument/2006/relationships/customXml" Target="../customXml/item4.xml"/><Relationship Id="rId9" Type="http://schemas.openxmlformats.org/officeDocument/2006/relationships/hyperlink" Target="https://www.menti.com/albe49rc5trg" TargetMode="External"/><Relationship Id="rId14" Type="http://schemas.openxmlformats.org/officeDocument/2006/relationships/hyperlink" Target="https://doi.org/10.1159/00050844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242681ae-e6e2-4ee6-90fd-f2c0d11c7b09" xsi:nil="true"/>
    <lcf76f155ced4ddcb4097134ff3c332f xmlns="43435717-49c9-4489-9470-c7c98d62699d">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95E3D60D9E6E04A88E6C46A8F8E80F5" ma:contentTypeVersion="16" ma:contentTypeDescription="Create a new document." ma:contentTypeScope="" ma:versionID="f5aed76395544bcc02cc0faeb05a01bc">
  <xsd:schema xmlns:xsd="http://www.w3.org/2001/XMLSchema" xmlns:xs="http://www.w3.org/2001/XMLSchema" xmlns:p="http://schemas.microsoft.com/office/2006/metadata/properties" xmlns:ns2="43435717-49c9-4489-9470-c7c98d62699d" xmlns:ns3="242681ae-e6e2-4ee6-90fd-f2c0d11c7b09" targetNamespace="http://schemas.microsoft.com/office/2006/metadata/properties" ma:root="true" ma:fieldsID="48b7b69460e2f77a1f5861a96316e079" ns2:_="" ns3:_="">
    <xsd:import namespace="43435717-49c9-4489-9470-c7c98d62699d"/>
    <xsd:import namespace="242681ae-e6e2-4ee6-90fd-f2c0d11c7b09"/>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LengthInSeconds" minOccurs="0"/>
                <xsd:element ref="ns2:MediaServiceSearchPropertie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435717-49c9-4489-9470-c7c98d62699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3be76f96-e7f0-4e7c-b4d8-bf0f4c547e18"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42681ae-e6e2-4ee6-90fd-f2c0d11c7b09"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bd00c8ac-6135-4edf-90aa-1e6137a64d6d}" ma:internalName="TaxCatchAll" ma:showField="CatchAllData" ma:web="242681ae-e6e2-4ee6-90fd-f2c0d11c7b0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5F62C67D-052C-41EF-8630-95A2F7FC7C9B}">
  <ds:schemaRefs>
    <ds:schemaRef ds:uri="http://schemas.microsoft.com/office/2006/metadata/properties"/>
    <ds:schemaRef ds:uri="http://schemas.microsoft.com/office/infopath/2007/PartnerControls"/>
    <ds:schemaRef ds:uri="242681ae-e6e2-4ee6-90fd-f2c0d11c7b09"/>
    <ds:schemaRef ds:uri="43435717-49c9-4489-9470-c7c98d62699d"/>
  </ds:schemaRefs>
</ds:datastoreItem>
</file>

<file path=customXml/itemProps3.xml><?xml version="1.0" encoding="utf-8"?>
<ds:datastoreItem xmlns:ds="http://schemas.openxmlformats.org/officeDocument/2006/customXml" ds:itemID="{4063205B-C811-41E8-8EC7-A35C67BBF4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3435717-49c9-4489-9470-c7c98d62699d"/>
    <ds:schemaRef ds:uri="242681ae-e6e2-4ee6-90fd-f2c0d11c7b0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A262D7B-94D8-487A-926A-B146C88EE83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8</Pages>
  <Words>1615</Words>
  <Characters>9211</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10805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Accessible Word Version: Designing for confidence: A UDL 3.0-aligned digital practice OSCE</dc:title>
  <dc:subject>Accessible text version converted from PowerPoint presentation</dc:subject>
  <dc:creator>M365 Copilot</dc:creator>
  <cp:keywords/>
  <dc:description>Text-first accessible conversion based on uploaded PowerPoint content extraction.</dc:description>
  <cp:lastModifiedBy>Kylie Geard</cp:lastModifiedBy>
  <cp:revision>12</cp:revision>
  <dcterms:created xsi:type="dcterms:W3CDTF">2026-05-27T22:32:00Z</dcterms:created>
  <dcterms:modified xsi:type="dcterms:W3CDTF">2026-07-11T15:43:00Z</dcterms:modified>
  <cp:category>Accessibility</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0x010100595E3D60D9E6E04A88E6C46A8F8E80F5</vt:lpwstr>
  </property>
  <property fmtid="{D5CDD505-2E9C-101B-9397-08002B2CF9AE}" pid="3" name="MediaServiceImageTags">
    <vt:lpwstr/>
  </property>
</Properties>
</file>