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313A" w14:textId="28D42E03" w:rsidR="00DB434F" w:rsidRDefault="00DB434F" w:rsidP="00D608D2">
      <w:pPr>
        <w:rPr>
          <w:color w:val="888888"/>
          <w:sz w:val="20"/>
          <w:szCs w:val="20"/>
        </w:rPr>
      </w:pPr>
      <w:r>
        <w:rPr>
          <w:noProof/>
        </w:rPr>
        <w:drawing>
          <wp:inline distT="0" distB="0" distL="0" distR="0" wp14:anchorId="16B03477" wp14:editId="374DB514">
            <wp:extent cx="5731510" cy="1580515"/>
            <wp:effectExtent l="0" t="0" r="2540" b="635"/>
            <wp:docPr id="275245138" name="Picture 1" descr="Australian Disability Clearinghous on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45138" name="Picture 1" descr="Australian Disability Clearinghous on Education and Training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580515"/>
                    </a:xfrm>
                    <a:prstGeom prst="rect">
                      <a:avLst/>
                    </a:prstGeom>
                    <a:noFill/>
                    <a:ln>
                      <a:noFill/>
                    </a:ln>
                  </pic:spPr>
                </pic:pic>
              </a:graphicData>
            </a:graphic>
          </wp:inline>
        </w:drawing>
      </w:r>
    </w:p>
    <w:p w14:paraId="332B8A2A" w14:textId="59858D5E" w:rsidR="00A102B7" w:rsidRDefault="00DC5D83" w:rsidP="00D608D2">
      <w:r>
        <w:t>SUBMISSION TO THE</w:t>
      </w:r>
    </w:p>
    <w:p w14:paraId="286046A6" w14:textId="77777777" w:rsidR="00A102B7" w:rsidRPr="00CA7B4A" w:rsidRDefault="00DC5D83" w:rsidP="00CA7B4A">
      <w:pPr>
        <w:pStyle w:val="Heading1"/>
      </w:pPr>
      <w:r w:rsidRPr="00CA7B4A">
        <w:t>Higher Education Standards Panel</w:t>
      </w:r>
    </w:p>
    <w:p w14:paraId="10831C88" w14:textId="77777777" w:rsidR="00A102B7" w:rsidRPr="00513D9D" w:rsidRDefault="00DC5D83" w:rsidP="00513D9D">
      <w:pPr>
        <w:pStyle w:val="Heading2"/>
      </w:pPr>
      <w:r w:rsidRPr="00513D9D">
        <w:t>Consultation on the Higher Education Standards Framework (Threshold Standards) 2021</w:t>
      </w:r>
    </w:p>
    <w:p w14:paraId="096B45E0" w14:textId="3ABBB3E7" w:rsidR="00A102B7" w:rsidRPr="00513D9D" w:rsidRDefault="00DC5D83" w:rsidP="00D608D2">
      <w:r w:rsidRPr="00513D9D">
        <w:t xml:space="preserve">Submitted by: </w:t>
      </w:r>
      <w:r w:rsidR="008A6A2A">
        <w:t>The Australian Disability Clearinghouse on Education and Training (</w:t>
      </w:r>
      <w:r w:rsidR="005A6D22" w:rsidRPr="00513D9D">
        <w:t>ADCET</w:t>
      </w:r>
      <w:r w:rsidR="008A6A2A">
        <w:t>)</w:t>
      </w:r>
      <w:r w:rsidR="0062469D">
        <w:t xml:space="preserve"> </w:t>
      </w:r>
      <w:r w:rsidR="0029142C">
        <w:t xml:space="preserve">in consultation with Higher Education </w:t>
      </w:r>
      <w:r w:rsidR="0062469D">
        <w:t>Disability Services Managers</w:t>
      </w:r>
      <w:r w:rsidR="0029142C">
        <w:t>.</w:t>
      </w:r>
    </w:p>
    <w:p w14:paraId="73645CE4" w14:textId="3787887D" w:rsidR="00A102B7" w:rsidRPr="00513D9D" w:rsidRDefault="00DC5D83" w:rsidP="00D608D2">
      <w:r w:rsidRPr="00513D9D">
        <w:t xml:space="preserve">Date: </w:t>
      </w:r>
      <w:r w:rsidR="0029142C">
        <w:t>1</w:t>
      </w:r>
      <w:r w:rsidR="00B9067C">
        <w:t>5</w:t>
      </w:r>
      <w:r w:rsidR="0029142C">
        <w:t xml:space="preserve"> </w:t>
      </w:r>
      <w:r w:rsidRPr="00513D9D">
        <w:t>March 2026</w:t>
      </w:r>
    </w:p>
    <w:p w14:paraId="507EC8C2" w14:textId="68AB68E1" w:rsidR="00A102B7" w:rsidRDefault="004040B6" w:rsidP="00D608D2">
      <w:r>
        <w:t>Contributors</w:t>
      </w:r>
      <w:r w:rsidR="00DC5D83" w:rsidRPr="00513D9D">
        <w:t>: Rebecca Morris</w:t>
      </w:r>
      <w:r>
        <w:t xml:space="preserve"> (ADCET), Darren Britten (ADCET)</w:t>
      </w:r>
      <w:r w:rsidR="00A76125">
        <w:t>, Cathy Easte</w:t>
      </w:r>
      <w:r w:rsidR="00810548">
        <w:t xml:space="preserve"> (Griffith University), Trevor Ianna (Australian Catholic University), </w:t>
      </w:r>
      <w:r w:rsidR="004819BB">
        <w:t>Fiona Navin (E</w:t>
      </w:r>
      <w:r w:rsidR="0029142C">
        <w:t xml:space="preserve">dith </w:t>
      </w:r>
      <w:r w:rsidR="004819BB">
        <w:t>C</w:t>
      </w:r>
      <w:r w:rsidR="0029142C">
        <w:t xml:space="preserve">owen </w:t>
      </w:r>
      <w:r w:rsidR="004819BB">
        <w:t>U</w:t>
      </w:r>
      <w:r w:rsidR="0029142C">
        <w:t>niversity</w:t>
      </w:r>
      <w:r w:rsidR="004819BB">
        <w:t>)</w:t>
      </w:r>
      <w:r w:rsidR="000076F5">
        <w:t>, Ke</w:t>
      </w:r>
      <w:r w:rsidR="00734911">
        <w:t>lly Piper (Macquarie University</w:t>
      </w:r>
      <w:r w:rsidR="00B42ECC">
        <w:t>)</w:t>
      </w:r>
      <w:r w:rsidR="00734911">
        <w:t>,</w:t>
      </w:r>
      <w:r w:rsidR="00C52009">
        <w:t xml:space="preserve"> </w:t>
      </w:r>
      <w:r w:rsidR="00C87D93">
        <w:t>Julia Ash</w:t>
      </w:r>
      <w:r w:rsidR="00B42ECC">
        <w:t xml:space="preserve"> (Charles Darwin University)</w:t>
      </w:r>
      <w:r w:rsidR="00C87D93">
        <w:t xml:space="preserve">, </w:t>
      </w:r>
      <w:r w:rsidR="00F03B97">
        <w:t>Sarah Hallowell</w:t>
      </w:r>
      <w:r w:rsidR="00D67F30">
        <w:t xml:space="preserve"> (Bond University)</w:t>
      </w:r>
      <w:r w:rsidR="00D608D2">
        <w:t>,</w:t>
      </w:r>
      <w:r w:rsidR="00F03B97">
        <w:t xml:space="preserve"> </w:t>
      </w:r>
      <w:r w:rsidR="00C52009">
        <w:t>Drew Burns</w:t>
      </w:r>
      <w:r w:rsidR="00D67F30">
        <w:t xml:space="preserve"> (Federation University)</w:t>
      </w:r>
      <w:r w:rsidR="00C52009">
        <w:t xml:space="preserve">, </w:t>
      </w:r>
      <w:r w:rsidR="00205A45">
        <w:t>Yvonne Rolley</w:t>
      </w:r>
      <w:r w:rsidR="007D3358">
        <w:t xml:space="preserve"> (University of Melbourne), </w:t>
      </w:r>
      <w:r w:rsidR="00CD096B">
        <w:t>Belinda Russell (</w:t>
      </w:r>
      <w:r w:rsidR="00FD1495">
        <w:t xml:space="preserve">Queensland University of Technology), </w:t>
      </w:r>
      <w:r w:rsidR="007D3358">
        <w:t>Steven Morgan (Deakin University)</w:t>
      </w:r>
      <w:r w:rsidR="00776216">
        <w:t>, Teresa Dowding (RMIT</w:t>
      </w:r>
      <w:r w:rsidR="00AB74E3">
        <w:t>)</w:t>
      </w:r>
      <w:r w:rsidR="00DC5D83" w:rsidRPr="00513D9D">
        <w:t xml:space="preserve"> </w:t>
      </w:r>
    </w:p>
    <w:p w14:paraId="2AE8ABFF" w14:textId="77777777" w:rsidR="00A102B7" w:rsidRDefault="00DC5D83" w:rsidP="004040B6">
      <w:pPr>
        <w:pStyle w:val="Heading2"/>
      </w:pPr>
      <w:r>
        <w:t>Introduction</w:t>
      </w:r>
    </w:p>
    <w:p w14:paraId="3B1B103B" w14:textId="3CF4322C" w:rsidR="00A102B7" w:rsidRDefault="005A6D22" w:rsidP="00D608D2">
      <w:r>
        <w:t>ADCET</w:t>
      </w:r>
      <w:r w:rsidR="008A6A2A">
        <w:t xml:space="preserve"> </w:t>
      </w:r>
      <w:r w:rsidR="00DC5D83">
        <w:t xml:space="preserve">welcomes the opportunity to provide feedback on the proposed amendments to the Higher Education Standards Framework (Threshold Standards) 2021. This submission has been developed collaboratively by disability services </w:t>
      </w:r>
      <w:r>
        <w:t>managers and</w:t>
      </w:r>
      <w:r w:rsidR="00DC5D83">
        <w:t xml:space="preserve"> accessibility specialists</w:t>
      </w:r>
      <w:r>
        <w:t xml:space="preserve"> currently working in Australian universities</w:t>
      </w:r>
      <w:r w:rsidR="008F7084">
        <w:t xml:space="preserve">, </w:t>
      </w:r>
      <w:r w:rsidR="00DC5D83">
        <w:t>drawing on professional expertise and lived experience perspectives</w:t>
      </w:r>
      <w:r w:rsidR="0023363B">
        <w:t>.</w:t>
      </w:r>
    </w:p>
    <w:p w14:paraId="184A82EC" w14:textId="5F3BEAD6" w:rsidR="00A102B7" w:rsidRDefault="00DC5D83" w:rsidP="00D608D2">
      <w:r>
        <w:t>We commend the Higher Education Standards Panel (HESP) for prioritising disability inclusion, universal design, and emerging technologies as areas for reform. However, we note a significant gap in the existing Threshold Standards: they do not mention curriculum at all. Given that curriculum design is the core of the student experience, and the primary site where inclusion reform must take hold, this is a consequential omission that any amendments should address directly.</w:t>
      </w:r>
      <w:r w:rsidR="008516B3">
        <w:t xml:space="preserve"> </w:t>
      </w:r>
    </w:p>
    <w:p w14:paraId="7D8D6941" w14:textId="77777777" w:rsidR="00A102B7" w:rsidRDefault="00DC5D83" w:rsidP="00D608D2">
      <w:r>
        <w:lastRenderedPageBreak/>
        <w:t>This submission focuses on three priority areas:</w:t>
      </w:r>
    </w:p>
    <w:p w14:paraId="350BD46E" w14:textId="77777777" w:rsidR="00A102B7" w:rsidRPr="00E0487D" w:rsidRDefault="00DC5D83" w:rsidP="00D608D2">
      <w:pPr>
        <w:pStyle w:val="ListParagraph"/>
        <w:ind w:left="720" w:hanging="360"/>
      </w:pPr>
      <w:r w:rsidRPr="00E0487D">
        <w:t>Supporting people with disability in higher education (Consultation Questions 6 and 7)</w:t>
      </w:r>
    </w:p>
    <w:p w14:paraId="21E15681" w14:textId="77777777" w:rsidR="00A102B7" w:rsidRPr="00E0487D" w:rsidRDefault="00DC5D83" w:rsidP="00D608D2">
      <w:pPr>
        <w:pStyle w:val="ListParagraph"/>
        <w:ind w:left="720" w:hanging="360"/>
      </w:pPr>
      <w:r w:rsidRPr="00E0487D">
        <w:t>Responding to emerging technologies, including assistive technologies and AI (Consultation Questions 8, 9 and 10)</w:t>
      </w:r>
    </w:p>
    <w:p w14:paraId="5CC064D5" w14:textId="77777777" w:rsidR="00A102B7" w:rsidRPr="00E0487D" w:rsidRDefault="00DC5D83" w:rsidP="00D608D2">
      <w:pPr>
        <w:pStyle w:val="ListParagraph"/>
        <w:ind w:left="720" w:hanging="360"/>
      </w:pPr>
      <w:r w:rsidRPr="00E0487D">
        <w:t>University governance, transparency, and accountability for disability inclusion (Consultation Question 5)</w:t>
      </w:r>
    </w:p>
    <w:p w14:paraId="28EB15D4" w14:textId="763E3BC6" w:rsidR="00A102B7" w:rsidRDefault="00DC5D83" w:rsidP="00D608D2">
      <w:r>
        <w:t xml:space="preserve">We note the importance of considering this submission in the context of intersecting legislative and policy developments — including the review of the </w:t>
      </w:r>
      <w:r w:rsidR="00A43EA2">
        <w:t>Tertiary Education Quality and Standards Agency (</w:t>
      </w:r>
      <w:r>
        <w:t>TEQSA</w:t>
      </w:r>
      <w:r w:rsidR="00A43EA2">
        <w:t>)</w:t>
      </w:r>
      <w:r>
        <w:t xml:space="preserve"> Act, the Disability Standards for Education (DSE), positive duty obligations under the Disability Discrimination Act (DDA), and the establishment of the Australian Tertiary Education Commission (ATEC). These are moving parts that must be considered holistically in any amendments to the Threshold Standards.</w:t>
      </w:r>
    </w:p>
    <w:p w14:paraId="5DB123E8" w14:textId="77777777" w:rsidR="00A102B7" w:rsidRDefault="00DC5D83" w:rsidP="00CA7B4A">
      <w:pPr>
        <w:pStyle w:val="Heading1"/>
      </w:pPr>
      <w:r>
        <w:t>1. Supporting People with Disability in Higher Education</w:t>
      </w:r>
    </w:p>
    <w:p w14:paraId="61C40299" w14:textId="6EABE3B7" w:rsidR="00A920F0" w:rsidRDefault="007A27E1" w:rsidP="00D608D2">
      <w:r>
        <w:t>Students and staff with disability continue to experience poorer outcomes and inconsistent support across the higher education sector. While the existing Threshold Standards require compliance with disability legislation, they do not explicitly reference inclusive practices, disability-specific responsibilities, or staff obligations in a way that drives consistent, sector-wide improvement.</w:t>
      </w:r>
      <w:r w:rsidR="00A920F0">
        <w:t xml:space="preserve"> </w:t>
      </w:r>
      <w:proofErr w:type="gramStart"/>
      <w:r w:rsidR="00A920F0" w:rsidRPr="00D608D2">
        <w:t>The</w:t>
      </w:r>
      <w:r w:rsidR="00A920F0">
        <w:t xml:space="preserve"> vast majority of</w:t>
      </w:r>
      <w:proofErr w:type="gramEnd"/>
      <w:r w:rsidR="00A920F0">
        <w:t xml:space="preserve"> support for students with a disability is reactive and works to address existing exclusionary barriers and practices.  </w:t>
      </w:r>
    </w:p>
    <w:p w14:paraId="038B7986" w14:textId="1E6B04C7" w:rsidR="007A27E1" w:rsidRDefault="00A920F0" w:rsidP="00D608D2">
      <w:r>
        <w:t>Real institutional change to address existing barriers requires a whole of institution approach that is not limited to the responsibility of one or two areas. It needs to be planned, resourced and supported to encompass the entire student journey from prospective student to graduate. Too often it is ‘another areas responsibility’ and the work of inclusion occurs as a reaction rather than addressed proactively.</w:t>
      </w:r>
    </w:p>
    <w:p w14:paraId="00F1159C" w14:textId="77777777" w:rsidR="00A102B7" w:rsidRDefault="00DC5D83" w:rsidP="00513D9D">
      <w:pPr>
        <w:pStyle w:val="Heading2"/>
      </w:pPr>
      <w:r>
        <w:t>1.1 Universal Design: Scope, Definition and Implementation</w:t>
      </w:r>
    </w:p>
    <w:p w14:paraId="3BD6B73F" w14:textId="43694899" w:rsidR="00A102B7" w:rsidRDefault="00DC5D83" w:rsidP="00D608D2">
      <w:r>
        <w:t>We strongly support embedding universal design requirements in the Threshold Standards. However, we urge careful attention to scope and terminology. There is an important distinction between Universal Design (UD) broadly</w:t>
      </w:r>
      <w:r w:rsidR="00537183">
        <w:t xml:space="preserve"> </w:t>
      </w:r>
      <w:r>
        <w:t xml:space="preserve">covering physical environments, digital systems, policy, and services and Universal Design for Learning (UDL), a specific pedagogical framework with established, measurable guidelines developed by </w:t>
      </w:r>
      <w:r w:rsidR="00A43EA2">
        <w:t xml:space="preserve">the </w:t>
      </w:r>
      <w:r w:rsidR="00EB4106">
        <w:t>Centre</w:t>
      </w:r>
      <w:r w:rsidR="00A43EA2">
        <w:t xml:space="preserve"> for Applied Special Technology (</w:t>
      </w:r>
      <w:r>
        <w:t>CAST</w:t>
      </w:r>
      <w:r w:rsidR="00A43EA2">
        <w:t>)</w:t>
      </w:r>
      <w:r>
        <w:t>.</w:t>
      </w:r>
    </w:p>
    <w:p w14:paraId="3740C0DC" w14:textId="23FF37AB" w:rsidR="00A102B7" w:rsidRDefault="009C26CD" w:rsidP="00D608D2">
      <w:r>
        <w:lastRenderedPageBreak/>
        <w:t>General universal design principles without explicit reference to UDL risk producing superficial change. Universities have discussed UDL for decades, yet institutions often implement only surface-level adjustments rather than fully integrating these principles into curriculum design, assessment practices, and teaching methods.</w:t>
      </w:r>
      <w:r w:rsidR="0017296D">
        <w:t xml:space="preserve"> For example, </w:t>
      </w:r>
      <w:r w:rsidR="00DC5D83">
        <w:t>Academics are likely to read 'learning environments' as meaning support services</w:t>
      </w:r>
      <w:r w:rsidR="00C12292">
        <w:t>,</w:t>
      </w:r>
      <w:r w:rsidR="00DC5D83">
        <w:t xml:space="preserve"> not curriculum. We recommend the Standards explicitly address both:</w:t>
      </w:r>
    </w:p>
    <w:p w14:paraId="4A33761D" w14:textId="085F6C31" w:rsidR="00A102B7" w:rsidRDefault="00DC5D83" w:rsidP="00D608D2">
      <w:pPr>
        <w:pStyle w:val="ListParagraph"/>
        <w:ind w:left="720" w:hanging="360"/>
      </w:pPr>
      <w:r>
        <w:t xml:space="preserve">Universal Design broadly (physical, digital, policy, and governance environments), consistent with the </w:t>
      </w:r>
      <w:r w:rsidR="003E6132">
        <w:t>UN Convention on the Rights of Persons with Disabilities (</w:t>
      </w:r>
      <w:r>
        <w:t>CRPD</w:t>
      </w:r>
      <w:r w:rsidR="003E6132">
        <w:t>)</w:t>
      </w:r>
      <w:r>
        <w:t xml:space="preserve"> definition: design of products, environments, programmes and services to be usable by all </w:t>
      </w:r>
      <w:r w:rsidRPr="00D608D2">
        <w:t>people</w:t>
      </w:r>
      <w:r>
        <w:t>, to the greatest extent possible, without the need for adaptation or specialised design.</w:t>
      </w:r>
    </w:p>
    <w:p w14:paraId="3347073C" w14:textId="77777777" w:rsidR="00A102B7" w:rsidRDefault="00DC5D83" w:rsidP="00D608D2">
      <w:pPr>
        <w:pStyle w:val="ListParagraph"/>
        <w:ind w:left="720" w:hanging="360"/>
      </w:pPr>
      <w:r>
        <w:t>Universal Design for Learning (UDL) specifically within curriculum development and learning design, recognising that UDL has clear, actionable guidelines and should not be conflated with general UD principles.</w:t>
      </w:r>
    </w:p>
    <w:p w14:paraId="1819114A" w14:textId="7B205573" w:rsidR="00C851C2" w:rsidRDefault="00C851C2" w:rsidP="00D608D2">
      <w:pPr>
        <w:pStyle w:val="ListParagraph"/>
        <w:ind w:left="720" w:hanging="360"/>
      </w:pPr>
      <w:r>
        <w:t>Require universities to provide measurable, evidence-based demonstrations of UDL implementation</w:t>
      </w:r>
      <w:r w:rsidR="00684DA9">
        <w:t>,</w:t>
      </w:r>
      <w:r>
        <w:t xml:space="preserve"> </w:t>
      </w:r>
      <w:r w:rsidR="00FD7156">
        <w:t xml:space="preserve">in both curriculum design and teaching practice, </w:t>
      </w:r>
      <w:r>
        <w:t>not merely policy statements</w:t>
      </w:r>
      <w:r w:rsidR="00684DA9">
        <w:t>,</w:t>
      </w:r>
      <w:r>
        <w:t xml:space="preserve"> across each domain of the Standards rather than treating accessibility as a standalone or siloed requirement.</w:t>
      </w:r>
    </w:p>
    <w:p w14:paraId="14B910FD" w14:textId="77777777" w:rsidR="00C851C2" w:rsidRDefault="00C851C2" w:rsidP="00D608D2">
      <w:pPr>
        <w:pStyle w:val="ListParagraph"/>
        <w:ind w:left="720" w:hanging="360"/>
      </w:pPr>
      <w:r>
        <w:t xml:space="preserve">Embed accessibility requirements across all </w:t>
      </w:r>
      <w:proofErr w:type="gramStart"/>
      <w:r>
        <w:t>threshold</w:t>
      </w:r>
      <w:proofErr w:type="gramEnd"/>
      <w:r>
        <w:t xml:space="preserve"> standard domains so that every area of the university (not just disability services) is accountable for implementation.</w:t>
      </w:r>
    </w:p>
    <w:p w14:paraId="5CA3EF1D" w14:textId="0063EE92" w:rsidR="00C851C2" w:rsidRDefault="00C851C2" w:rsidP="00D608D2">
      <w:pPr>
        <w:pStyle w:val="ListParagraph"/>
        <w:ind w:left="720" w:hanging="360"/>
      </w:pPr>
      <w:r>
        <w:t xml:space="preserve">Require minimum evidence levels for </w:t>
      </w:r>
      <w:r w:rsidR="006B749A">
        <w:t xml:space="preserve">UD and </w:t>
      </w:r>
      <w:r>
        <w:t>UDL compliance to ensure institutions cannot satisfy requirements through tokenistic or superficial adjustments.</w:t>
      </w:r>
    </w:p>
    <w:p w14:paraId="46ED5453" w14:textId="1FD655F0" w:rsidR="00A102B7" w:rsidRDefault="00DC5D83" w:rsidP="00D608D2">
      <w:r>
        <w:t>Crucially, embedding UDL within curriculum development should be framed as a quality assurance matter</w:t>
      </w:r>
      <w:r w:rsidR="00B43604">
        <w:t>,</w:t>
      </w:r>
      <w:r>
        <w:t xml:space="preserve"> part of the standard for high-quality learning and teaching</w:t>
      </w:r>
      <w:r w:rsidR="001B59FA">
        <w:t>,</w:t>
      </w:r>
      <w:r>
        <w:t xml:space="preserve"> not solely a disability support issue. This reframes disability inclusion as core academic quality, which is both more accurate and more likely to drive genuine institutional change.</w:t>
      </w:r>
    </w:p>
    <w:p w14:paraId="19C8D197" w14:textId="4D90FC2E" w:rsidR="00A102B7" w:rsidRDefault="00DC5D83" w:rsidP="00D608D2">
      <w:r>
        <w:t xml:space="preserve">There is also a notable gap in technical standards: while </w:t>
      </w:r>
      <w:r w:rsidR="00A43EA2">
        <w:t>the Web Content Accessibility Guidelines (</w:t>
      </w:r>
      <w:r>
        <w:t>WCAG</w:t>
      </w:r>
      <w:r w:rsidR="00A43EA2">
        <w:t>)</w:t>
      </w:r>
      <w:r>
        <w:t xml:space="preserve"> provides guidance for digital accessibility, there is no equivalent framework for neurodivergent accessibility or deaf accessibility. The amended Standards should acknowledge this gap and encourage sector development of equivalent guidance.</w:t>
      </w:r>
    </w:p>
    <w:p w14:paraId="0A19FCF1" w14:textId="77777777" w:rsidR="00072EF4" w:rsidRDefault="00072EF4" w:rsidP="00D608D2">
      <w:r>
        <w:t>The content and learning activities of each course of study must engage with disability using contemporary, accurate and strengths-based representation that reflect lived experience and challenge outdated or deficit-based views. This extends to all ‘equity-deserving’ cohorts and must be reflective of intersectional experiences.</w:t>
      </w:r>
    </w:p>
    <w:p w14:paraId="4ED35182" w14:textId="1202526D" w:rsidR="007854F7" w:rsidRDefault="003615A0" w:rsidP="00D608D2">
      <w:r>
        <w:t xml:space="preserve">This </w:t>
      </w:r>
      <w:r w:rsidR="00B868AE">
        <w:t xml:space="preserve">approach must be implemented across </w:t>
      </w:r>
      <w:r w:rsidR="008E3CD6">
        <w:t xml:space="preserve">Work Integrated Learning (WIL) </w:t>
      </w:r>
      <w:r w:rsidR="0006384C">
        <w:t xml:space="preserve">activities also. Students with disability can be excluded from WIL because of inaccessible placements or </w:t>
      </w:r>
      <w:r w:rsidR="0065074E">
        <w:lastRenderedPageBreak/>
        <w:t xml:space="preserve">being perceived as “too hard”. </w:t>
      </w:r>
      <w:r w:rsidR="00C22100">
        <w:t xml:space="preserve">This perception can extend to external employers/ WIL hosts who may be reluctant to take on a student with disability. </w:t>
      </w:r>
      <w:r w:rsidR="0065074E">
        <w:t>Research indicates the value of WIL for employability and employment outcomes and as such institutions must be able to demonstrate support for and engagement of students with disability in meaningful WIL opportunities</w:t>
      </w:r>
      <w:r w:rsidR="001138FC">
        <w:t xml:space="preserve">. The </w:t>
      </w:r>
      <w:r w:rsidR="00DE681D">
        <w:t>Standards should provide explicit clarification regarding accou</w:t>
      </w:r>
      <w:r w:rsidR="00335B09">
        <w:t xml:space="preserve">ntability and responsibility for </w:t>
      </w:r>
      <w:r w:rsidR="00AC2501">
        <w:t>the provision of accessible and inclusive WIL.</w:t>
      </w:r>
    </w:p>
    <w:p w14:paraId="5BF26122" w14:textId="03A3DCB6" w:rsidR="00E51127" w:rsidRDefault="00072EF4" w:rsidP="00D608D2">
      <w:r>
        <w:t>Finally, alongside UD and UDL, accessibility must continue to be a focus within the Threshold Standards. Whilst UD and UDL focus on useability by the broadest range of people, a focus on accessibility ensures the needs of people with disability are specifically considered. Implementation of UD, UDL and accessibility for students with disability is an essential step towards a fair and inclusive higher education system.</w:t>
      </w:r>
    </w:p>
    <w:p w14:paraId="2848AA0F" w14:textId="77777777" w:rsidR="00A102B7" w:rsidRDefault="00DC5D83" w:rsidP="00513D9D">
      <w:pPr>
        <w:pStyle w:val="Heading2"/>
      </w:pPr>
      <w:r>
        <w:t>1.2 Terminology and Language</w:t>
      </w:r>
    </w:p>
    <w:p w14:paraId="4F2C8993" w14:textId="77777777" w:rsidR="00D96CAA" w:rsidRDefault="00D96CAA" w:rsidP="00D608D2">
      <w:r>
        <w:t>The question of appropriate terminology requires careful consideration. While there is value in language that recognises diverse learners broadly, we caution against approaches that inadvertently subsume disability-specific obligations within broader diversity frameworks.</w:t>
      </w:r>
    </w:p>
    <w:p w14:paraId="7AA6A5F0" w14:textId="50F00F44" w:rsidR="00D96CAA" w:rsidRDefault="00D96CAA" w:rsidP="00D608D2">
      <w:r>
        <w:t>Previous attempts to broaden language in this space have, in practice, resulted in disability being de-prioritised or excluded. We recommend that any updated Threshold Standards retain explicit, disability-specific language and obligations while also acknowledging the diversity of experience within the disability community</w:t>
      </w:r>
      <w:r w:rsidR="00025985">
        <w:t>,</w:t>
      </w:r>
      <w:r>
        <w:t xml:space="preserve"> to ensure accountability is not lost in generalisation.</w:t>
      </w:r>
    </w:p>
    <w:p w14:paraId="6638EAB6" w14:textId="77777777" w:rsidR="00D96CAA" w:rsidRDefault="00D96CAA" w:rsidP="00D608D2">
      <w:r>
        <w:t>We support modernising terminology in line with contemporary disability rights frameworks, including alignment with the UN Convention on the Rights of Persons with Disabilities (CRPD), but emphasise that this must not come at the cost of specificity or enforceability.</w:t>
      </w:r>
    </w:p>
    <w:p w14:paraId="450E0EC7" w14:textId="77777777" w:rsidR="00A102B7" w:rsidRDefault="00DC5D83" w:rsidP="00D608D2">
      <w:r>
        <w:t>We recommend:</w:t>
      </w:r>
    </w:p>
    <w:p w14:paraId="4759BCA9" w14:textId="77777777" w:rsidR="00A102B7" w:rsidRPr="00D608D2" w:rsidRDefault="00DC5D83" w:rsidP="00D608D2">
      <w:pPr>
        <w:pStyle w:val="ListParagraph"/>
        <w:ind w:left="720" w:hanging="360"/>
      </w:pPr>
      <w:r w:rsidRPr="00D608D2">
        <w:t>Retaining explicit, disability-specific language and obligations in the amended Standards, while also acknowledging the diversity of experience within the disability community.</w:t>
      </w:r>
    </w:p>
    <w:p w14:paraId="58A78D77" w14:textId="17DCCE7B" w:rsidR="00A102B7" w:rsidRDefault="00DC5D83" w:rsidP="00D608D2">
      <w:pPr>
        <w:pStyle w:val="ListParagraph"/>
        <w:ind w:left="720" w:hanging="360"/>
      </w:pPr>
      <w:r>
        <w:t>The CRPD should be the starting point for any definitional work.</w:t>
      </w:r>
    </w:p>
    <w:p w14:paraId="2EEAE18D" w14:textId="77777777" w:rsidR="00A102B7" w:rsidRDefault="00DC5D83" w:rsidP="00D608D2">
      <w:pPr>
        <w:pStyle w:val="ListParagraph"/>
        <w:ind w:left="720" w:hanging="360"/>
      </w:pPr>
      <w:r>
        <w:t>Replacing outdated language such as 'students with special needs' with contemporary, rights-based framing. Language should acknowledge and normalise diverse learners without minoritising disability.</w:t>
      </w:r>
    </w:p>
    <w:p w14:paraId="14460559" w14:textId="3AAA0BFE" w:rsidR="00A35848" w:rsidRDefault="00DC5D83" w:rsidP="00D608D2">
      <w:pPr>
        <w:pStyle w:val="ListParagraph"/>
        <w:ind w:left="720" w:hanging="360"/>
      </w:pPr>
      <w:r>
        <w:t xml:space="preserve">Considering UNESCO's framing of 'equity-deserving' to describe under-represented </w:t>
      </w:r>
      <w:r w:rsidR="0025594E">
        <w:t>cohorts and</w:t>
      </w:r>
      <w:r>
        <w:t xml:space="preserve"> strengthening the treatment of intersectionality — the intersection of disability with other forms of disadvantage must be explicitly addressed, rather than treating equity groups in silos.</w:t>
      </w:r>
    </w:p>
    <w:p w14:paraId="5D47EEAA" w14:textId="2CB4C8A1" w:rsidR="00A35848" w:rsidRDefault="00A35848" w:rsidP="00D608D2">
      <w:r>
        <w:lastRenderedPageBreak/>
        <w:t xml:space="preserve">Rights-based language and curriculum design must also reflect the aspiration of all students to grow, stretch, and develop their capabilities. Some educators have expressed concern that </w:t>
      </w:r>
      <w:r w:rsidR="005964CD">
        <w:t xml:space="preserve">some </w:t>
      </w:r>
      <w:r>
        <w:t>adjustment</w:t>
      </w:r>
      <w:r w:rsidR="003E08CF">
        <w:t>s</w:t>
      </w:r>
      <w:r>
        <w:t xml:space="preserve">, if framed solely in protective terms, may not adequately support students' learning development or sense of academic agency. We recommend that </w:t>
      </w:r>
      <w:r w:rsidR="00B42742">
        <w:t>terminology and language within the</w:t>
      </w:r>
      <w:r>
        <w:t xml:space="preserve"> framework incorporate strengths-based approaches alongside rights-based ones, affirming students' capacity for growth while protecting their entitlement to access.</w:t>
      </w:r>
    </w:p>
    <w:p w14:paraId="7607029E" w14:textId="5D1CB34E" w:rsidR="00BB46B2" w:rsidRDefault="00A35848" w:rsidP="00D608D2">
      <w:r>
        <w:t xml:space="preserve">Where appropriate and with the student's involvement, </w:t>
      </w:r>
      <w:r w:rsidR="00434B27">
        <w:t>access</w:t>
      </w:r>
      <w:r>
        <w:t xml:space="preserve"> plans should include opportunities for periodic, student-centred review of adjustments, with a view to supporting ongoing skill development and a growth mindset. This review should be genuinely optional and student-led</w:t>
      </w:r>
      <w:r w:rsidR="00C575C3">
        <w:t>,</w:t>
      </w:r>
      <w:r>
        <w:t xml:space="preserve"> it must not become a mechanism for requiring students to re-justify or re-establish eligibility for adjustments, particularly where a disability is permanent or has stable access requirements. The purpose of any such review is to empower students, not to create additional administrative burden or risk of access being withdrawn.</w:t>
      </w:r>
    </w:p>
    <w:p w14:paraId="3E48A2A8" w14:textId="7E5B719C" w:rsidR="00A102B7" w:rsidRDefault="00DC5D83" w:rsidP="00513D9D">
      <w:pPr>
        <w:pStyle w:val="Heading2"/>
      </w:pPr>
      <w:r>
        <w:t>1.</w:t>
      </w:r>
      <w:r w:rsidR="00DB6461">
        <w:t>3</w:t>
      </w:r>
      <w:r>
        <w:t xml:space="preserve"> Inherent Requirements and Progression Barriers</w:t>
      </w:r>
    </w:p>
    <w:p w14:paraId="6907BA2F" w14:textId="6FD42502" w:rsidR="000B1A00" w:rsidRDefault="000B1A00" w:rsidP="00D608D2">
      <w:r>
        <w:t>Inherent requirements present a significant area of risk when poorly developed</w:t>
      </w:r>
      <w:r w:rsidR="00C22100">
        <w:t xml:space="preserve"> (often with no input from those with lived experience of disability)</w:t>
      </w:r>
      <w:r>
        <w:t xml:space="preserve"> or applied. There is currently inconsistent practice across institutions, with inherent requirements sometimes used as exclusionary gatekeeping tools rather than genuinely necessary academic standards.</w:t>
      </w:r>
    </w:p>
    <w:p w14:paraId="687E799C" w14:textId="77777777" w:rsidR="000B1A00" w:rsidRDefault="000B1A00" w:rsidP="00D608D2">
      <w:r>
        <w:t>We recommend that the amended Standards require:</w:t>
      </w:r>
    </w:p>
    <w:p w14:paraId="570C3C06" w14:textId="24096F11" w:rsidR="000B1A00" w:rsidRDefault="000B1A00" w:rsidP="00D608D2">
      <w:pPr>
        <w:pStyle w:val="ListParagraph"/>
        <w:numPr>
          <w:ilvl w:val="0"/>
          <w:numId w:val="5"/>
        </w:numPr>
      </w:pPr>
      <w:r>
        <w:t xml:space="preserve">The meaningful involvement of disability and accessibility services in the development, </w:t>
      </w:r>
      <w:r w:rsidR="00483ED2">
        <w:t xml:space="preserve">regular </w:t>
      </w:r>
      <w:r>
        <w:t>review, and periodic update of inherent requirements statements for all courses.</w:t>
      </w:r>
    </w:p>
    <w:p w14:paraId="0B6790AB" w14:textId="77777777" w:rsidR="000B1A00" w:rsidRDefault="000B1A00" w:rsidP="00D608D2">
      <w:pPr>
        <w:pStyle w:val="ListParagraph"/>
        <w:numPr>
          <w:ilvl w:val="0"/>
          <w:numId w:val="5"/>
        </w:numPr>
      </w:pPr>
      <w:r>
        <w:t>Transparency in how inherent requirements are communicated to prospective and current students, ensuring they are informative rather than deterrent.</w:t>
      </w:r>
    </w:p>
    <w:p w14:paraId="1F25A579" w14:textId="77777777" w:rsidR="000B1A00" w:rsidRDefault="000B1A00" w:rsidP="00D608D2">
      <w:pPr>
        <w:pStyle w:val="ListParagraph"/>
        <w:numPr>
          <w:ilvl w:val="0"/>
          <w:numId w:val="5"/>
        </w:numPr>
      </w:pPr>
      <w:r>
        <w:t>Governance oversight to ensure inherent requirements do not become mechanisms for excluding students with disability, and that they are reviewed for necessity and proportionality.</w:t>
      </w:r>
    </w:p>
    <w:p w14:paraId="0249D306" w14:textId="77777777" w:rsidR="000B1A00" w:rsidRDefault="000B1A00" w:rsidP="00D608D2">
      <w:pPr>
        <w:pStyle w:val="ListParagraph"/>
        <w:numPr>
          <w:ilvl w:val="0"/>
          <w:numId w:val="5"/>
        </w:numPr>
      </w:pPr>
      <w:r>
        <w:t>Clear processes for students and staff to raise concerns about the appropriateness of inherent requirements, with independent review mechanisms.</w:t>
      </w:r>
    </w:p>
    <w:p w14:paraId="18A80F77" w14:textId="173B3A0F" w:rsidR="009D6015" w:rsidRDefault="00BA197D" w:rsidP="00D608D2">
      <w:pPr>
        <w:pStyle w:val="ListParagraph"/>
        <w:numPr>
          <w:ilvl w:val="0"/>
          <w:numId w:val="5"/>
        </w:numPr>
      </w:pPr>
      <w:r>
        <w:t xml:space="preserve">HE providers to regularly review inherent </w:t>
      </w:r>
      <w:r w:rsidR="00673CE9">
        <w:t>requirements to ensure responsiveness and incorporation of assistive technologies, changes in teaching m</w:t>
      </w:r>
      <w:r w:rsidR="008856E9">
        <w:t xml:space="preserve">ethods and professional standards as they </w:t>
      </w:r>
      <w:r w:rsidR="004F7062">
        <w:t>evolve.</w:t>
      </w:r>
    </w:p>
    <w:p w14:paraId="2F6470EE" w14:textId="18898ACA" w:rsidR="00A61D64" w:rsidRDefault="00C07315" w:rsidP="00D608D2">
      <w:r>
        <w:t xml:space="preserve">Under the </w:t>
      </w:r>
      <w:r w:rsidRPr="00C07315">
        <w:rPr>
          <w:i/>
          <w:iCs/>
        </w:rPr>
        <w:t>Disability Discrimination Act 1992</w:t>
      </w:r>
      <w:r>
        <w:t xml:space="preserve">, employers may lawfully discriminate </w:t>
      </w:r>
      <w:proofErr w:type="gramStart"/>
      <w:r>
        <w:t>on the basis of</w:t>
      </w:r>
      <w:proofErr w:type="gramEnd"/>
      <w:r>
        <w:t xml:space="preserve"> disability where a person is unable to perform the inherent requirements of a </w:t>
      </w:r>
      <w:r>
        <w:lastRenderedPageBreak/>
        <w:t xml:space="preserve">particular job based on current ability. In higher education, however, the concept of inherent requirements is more complex. Universities have developed their own interpretations, often influenced by professional accreditation bodies with little transparency of inherent requirements from such bodies. Unlike the employment context, students learn and develop capabilities over time and may undertake degrees for learning and personal </w:t>
      </w:r>
      <w:proofErr w:type="gramStart"/>
      <w:r>
        <w:t>development, and</w:t>
      </w:r>
      <w:proofErr w:type="gramEnd"/>
      <w:r>
        <w:t xml:space="preserve"> may not seek professional registration. For these reasons, the Threshold Standards must make clear the purpose of inherent requirements as they relate to university participation and to professional accreditation. This clarity is essential to ensure informed decision-making and to avoid unnecessary barriers to participation, and will benefit all students, not only those with disability.</w:t>
      </w:r>
    </w:p>
    <w:p w14:paraId="19185E66" w14:textId="391B1DE5" w:rsidR="00A102B7" w:rsidRDefault="00DC5D83" w:rsidP="00513D9D">
      <w:pPr>
        <w:pStyle w:val="Heading2"/>
      </w:pPr>
      <w:r>
        <w:t>1.</w:t>
      </w:r>
      <w:r w:rsidR="001C0637">
        <w:t>4</w:t>
      </w:r>
      <w:r>
        <w:t xml:space="preserve"> Accountability and Student Outcomes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02B7" w14:paraId="6BDD3356" w14:textId="77777777">
        <w:tc>
          <w:tcPr>
            <w:tcW w:w="9026" w:type="dxa"/>
            <w:tcBorders>
              <w:top w:val="single" w:sz="4" w:space="0" w:color="1F5C99"/>
              <w:left w:val="single" w:sz="4" w:space="0" w:color="1F5C99"/>
              <w:bottom w:val="single" w:sz="4" w:space="0" w:color="1F5C99"/>
              <w:right w:val="single" w:sz="4" w:space="0" w:color="1F5C99"/>
            </w:tcBorders>
            <w:shd w:val="clear" w:color="auto" w:fill="D6E4F0"/>
            <w:tcMar>
              <w:top w:w="120" w:type="dxa"/>
              <w:left w:w="180" w:type="dxa"/>
              <w:bottom w:w="120" w:type="dxa"/>
              <w:right w:w="180" w:type="dxa"/>
            </w:tcMar>
          </w:tcPr>
          <w:p w14:paraId="56EA35F0" w14:textId="77777777" w:rsidR="00A102B7" w:rsidRDefault="00DC5D83" w:rsidP="00D608D2">
            <w:r>
              <w:t>Consultation Question 6</w:t>
            </w:r>
          </w:p>
          <w:p w14:paraId="72240B94" w14:textId="77777777" w:rsidR="00A102B7" w:rsidRDefault="00DC5D83" w:rsidP="00D608D2">
            <w:r>
              <w:t>To what extent would the proposed themes in the consultation paper (inclusion, universal design and inherent requirements) drive a more inclusive and equitable higher education system and improved student outcomes?</w:t>
            </w:r>
          </w:p>
        </w:tc>
      </w:tr>
    </w:tbl>
    <w:p w14:paraId="53191C5F" w14:textId="0596B679" w:rsidR="00A102B7" w:rsidRDefault="00DC5D83" w:rsidP="00D608D2">
      <w:r>
        <w:t>The proposed themes represent a sound foundation, but their effectiveness depends entirely on how they are operationalised and enforced. Aspirational language without measurable expectations will not drive systemic change.</w:t>
      </w:r>
    </w:p>
    <w:p w14:paraId="29ABB96C" w14:textId="3C9019F5" w:rsidR="00A102B7" w:rsidRDefault="00DC5D83" w:rsidP="00D608D2">
      <w:r>
        <w:t>Inclusion, universal design and inherent requirements reform can improve outcomes</w:t>
      </w:r>
      <w:r w:rsidR="000A2D7B">
        <w:t>,</w:t>
      </w:r>
      <w:r>
        <w:t xml:space="preserve"> but implementation clarity is critical. The Standards must require providers to demonstrate integration of inclusive practice across the student lifecycle, from pre-entry through to graduate outcomes, not merely assert it in policy documents.</w:t>
      </w:r>
      <w:r w:rsidR="00DB5E06">
        <w:t xml:space="preserve"> </w:t>
      </w:r>
      <w:r w:rsidR="001B0AA4">
        <w:t>Evidence from higher education providers should consider the relevant policy architecture, evidence of implementation in practice across the institution, and with clear review or feedback mechanisms from people with disability and actions taken from this feedback.</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02B7" w14:paraId="5C90131E" w14:textId="77777777">
        <w:tc>
          <w:tcPr>
            <w:tcW w:w="9026" w:type="dxa"/>
            <w:tcBorders>
              <w:top w:val="single" w:sz="4" w:space="0" w:color="1F5C99"/>
              <w:left w:val="single" w:sz="4" w:space="0" w:color="1F5C99"/>
              <w:bottom w:val="single" w:sz="4" w:space="0" w:color="1F5C99"/>
              <w:right w:val="single" w:sz="4" w:space="0" w:color="1F5C99"/>
            </w:tcBorders>
            <w:shd w:val="clear" w:color="auto" w:fill="D6E4F0"/>
            <w:tcMar>
              <w:top w:w="120" w:type="dxa"/>
              <w:left w:w="180" w:type="dxa"/>
              <w:bottom w:w="120" w:type="dxa"/>
              <w:right w:w="180" w:type="dxa"/>
            </w:tcMar>
          </w:tcPr>
          <w:p w14:paraId="3BF53DD9" w14:textId="77777777" w:rsidR="00A102B7" w:rsidRDefault="00DC5D83" w:rsidP="00D608D2">
            <w:r>
              <w:t>Consultation Question 7</w:t>
            </w:r>
          </w:p>
          <w:p w14:paraId="4A5290F6" w14:textId="77777777" w:rsidR="00A102B7" w:rsidRDefault="00DC5D83" w:rsidP="00D608D2">
            <w:r>
              <w:t>To what extent would the proposed themes promote accountability, better governance and improved provider practice to support people with disability in higher education?</w:t>
            </w:r>
          </w:p>
        </w:tc>
      </w:tr>
    </w:tbl>
    <w:p w14:paraId="3F831B1A" w14:textId="448BB9ED" w:rsidR="00A102B7" w:rsidRDefault="00DC5D83" w:rsidP="00D608D2">
      <w:r>
        <w:t xml:space="preserve">For the proposed themes to genuinely promote accountability, the Standards must address the fundamental failure mode we observe in practice: governance processes that are superficially compliant but substantively inadequate — </w:t>
      </w:r>
      <w:r w:rsidR="00690B81">
        <w:t>aspirational policy</w:t>
      </w:r>
      <w:r>
        <w:t xml:space="preserve"> documents </w:t>
      </w:r>
      <w:r w:rsidR="00690B81">
        <w:t>that lack</w:t>
      </w:r>
      <w:r>
        <w:t xml:space="preserve"> meaningful </w:t>
      </w:r>
      <w:r w:rsidR="00690B81">
        <w:t>application</w:t>
      </w:r>
      <w:r>
        <w:t>, conducting consultation that does not influence outcomes, and applying equity considerations as an afterthought rather than integrating them into core business.</w:t>
      </w:r>
    </w:p>
    <w:p w14:paraId="2258CDFF" w14:textId="77777777" w:rsidR="00262806" w:rsidRDefault="00262806" w:rsidP="00D608D2"/>
    <w:p w14:paraId="23B397E1" w14:textId="77777777" w:rsidR="00A102B7" w:rsidRDefault="00DC5D83" w:rsidP="00D608D2">
      <w:r>
        <w:t>We recommend:</w:t>
      </w:r>
    </w:p>
    <w:p w14:paraId="3BD647A3" w14:textId="09D729A7" w:rsidR="00A102B7" w:rsidRDefault="00DC5D83" w:rsidP="00D608D2">
      <w:pPr>
        <w:pStyle w:val="ListParagraph"/>
        <w:ind w:left="720" w:hanging="360"/>
      </w:pPr>
      <w:r>
        <w:t>Explicit requirements for lived experience voices</w:t>
      </w:r>
      <w:r w:rsidR="009C6B2B">
        <w:t>, both</w:t>
      </w:r>
      <w:r>
        <w:t xml:space="preserve"> students and staff with disability in governance processes, with structures ensuring participation is genuine and not performative. Payment for student participation in governance must be the norm.</w:t>
      </w:r>
    </w:p>
    <w:p w14:paraId="40AD63BD" w14:textId="69EEA32D" w:rsidR="00A43EA2" w:rsidRDefault="00A43EA2" w:rsidP="00D608D2">
      <w:pPr>
        <w:pStyle w:val="ListParagraph"/>
        <w:ind w:left="720" w:hanging="360"/>
      </w:pPr>
      <w:r>
        <w:t>Inclusion of senior leadership oversight and integration of disability inclusion with institutional strategies.</w:t>
      </w:r>
    </w:p>
    <w:p w14:paraId="26871B32" w14:textId="77777777" w:rsidR="00A102B7" w:rsidRDefault="00DC5D83" w:rsidP="00D608D2">
      <w:pPr>
        <w:pStyle w:val="ListParagraph"/>
        <w:ind w:left="720" w:hanging="360"/>
      </w:pPr>
      <w:r>
        <w:t>Public reporting on outcomes for students with disability, disaggregated by institution, enabling TEQSA to assess whether standards are met in practice.</w:t>
      </w:r>
    </w:p>
    <w:p w14:paraId="38D3BE9D" w14:textId="3632F63D" w:rsidR="00A102B7" w:rsidRDefault="00DC5D83" w:rsidP="00D608D2">
      <w:pPr>
        <w:pStyle w:val="ListParagraph"/>
        <w:ind w:left="720" w:hanging="360"/>
      </w:pPr>
      <w:r>
        <w:t xml:space="preserve">Mechanisms for collaboration between TEQSA and the National Student Ombudsman (NSO) to identify systemic issues. </w:t>
      </w:r>
      <w:r w:rsidR="00247D17">
        <w:t>T</w:t>
      </w:r>
      <w:r>
        <w:t>he Standards should require providers to ensure consistent quality in complaints handling for students with disability.</w:t>
      </w:r>
    </w:p>
    <w:p w14:paraId="2E445125" w14:textId="77777777" w:rsidR="00A102B7" w:rsidRDefault="00DC5D83" w:rsidP="00CA7B4A">
      <w:pPr>
        <w:pStyle w:val="Heading1"/>
      </w:pPr>
      <w:r>
        <w:t>2. Emerging Technologies and Assistive Technology</w:t>
      </w:r>
    </w:p>
    <w:p w14:paraId="0DE9D68E" w14:textId="50969C5D" w:rsidR="00A102B7" w:rsidRDefault="00DC5D83" w:rsidP="00D608D2">
      <w:r>
        <w:t>The intersection of emerging technologies and disability inclusion is a critical and currently under-addressed area. While the consultation paper rightly focuses on risks posed by AI and generative technologies, any amendments must carefully distinguish between the risks of new commercial technologies and the vital, longstanding role of assistive technologies</w:t>
      </w:r>
      <w:r w:rsidR="00BB22AE">
        <w:t>,</w:t>
      </w:r>
      <w:r>
        <w:t xml:space="preserve"> many of which now incorporate AI components</w:t>
      </w:r>
      <w:r w:rsidR="00BB22AE">
        <w:t>,</w:t>
      </w:r>
      <w:r>
        <w:t xml:space="preserve"> in enabling equitable access to education for students with disability.</w:t>
      </w:r>
    </w:p>
    <w:p w14:paraId="5ED8BE74" w14:textId="77777777" w:rsidR="00A102B7" w:rsidRDefault="00DC5D83" w:rsidP="00513D9D">
      <w:pPr>
        <w:pStyle w:val="Heading2"/>
      </w:pPr>
      <w:r>
        <w:t>2.1 Assistive Technologies Must Be Explicitly Protected</w:t>
      </w:r>
    </w:p>
    <w:p w14:paraId="3C0F632C" w14:textId="1EA581FA" w:rsidR="00A102B7" w:rsidRDefault="00DC5D83" w:rsidP="00D608D2">
      <w:r>
        <w:t>An urgent concern identified is that universities are increasingly restricting or removing access to assistive technologies due to fears about AI and academic integrity. This is causing direct harm to students with disability who rely on these tools as access requirements, not academic aids.</w:t>
      </w:r>
    </w:p>
    <w:p w14:paraId="355C7291" w14:textId="2228C201" w:rsidR="00A102B7" w:rsidRDefault="00DC5D83" w:rsidP="00D608D2">
      <w:r>
        <w:t xml:space="preserve">Many established assistive technologies </w:t>
      </w:r>
      <w:r w:rsidR="00776F70">
        <w:t>including</w:t>
      </w:r>
      <w:r>
        <w:t xml:space="preserve"> screen readers, speech-to-text and text-to-speech software, captioning and transcription tools, caption glasses </w:t>
      </w:r>
      <w:r w:rsidR="00776F70">
        <w:t>etc.</w:t>
      </w:r>
      <w:r>
        <w:t xml:space="preserve"> have incorporated AI components for many years. These are not academic misconduct enablers. Restricting them constitutes a failure of disability inclusion obligations. The Standards must make this clear.</w:t>
      </w:r>
    </w:p>
    <w:p w14:paraId="093DD498" w14:textId="77777777" w:rsidR="00262806" w:rsidRDefault="00262806" w:rsidP="00D608D2"/>
    <w:p w14:paraId="4DCBE91F" w14:textId="77777777" w:rsidR="00262806" w:rsidRDefault="00262806" w:rsidP="00D608D2"/>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02B7" w14:paraId="0989DA16" w14:textId="77777777">
        <w:tc>
          <w:tcPr>
            <w:tcW w:w="9026" w:type="dxa"/>
            <w:tcBorders>
              <w:top w:val="single" w:sz="4" w:space="0" w:color="1F5C99"/>
              <w:left w:val="single" w:sz="4" w:space="0" w:color="1F5C99"/>
              <w:bottom w:val="single" w:sz="4" w:space="0" w:color="1F5C99"/>
              <w:right w:val="single" w:sz="4" w:space="0" w:color="1F5C99"/>
            </w:tcBorders>
            <w:shd w:val="clear" w:color="auto" w:fill="D6E4F0"/>
            <w:tcMar>
              <w:top w:w="120" w:type="dxa"/>
              <w:left w:w="180" w:type="dxa"/>
              <w:bottom w:w="120" w:type="dxa"/>
              <w:right w:w="180" w:type="dxa"/>
            </w:tcMar>
          </w:tcPr>
          <w:p w14:paraId="36A3E783" w14:textId="77777777" w:rsidR="00A102B7" w:rsidRDefault="00DC5D83" w:rsidP="00D608D2">
            <w:r>
              <w:t>Consultation Question 8</w:t>
            </w:r>
          </w:p>
          <w:p w14:paraId="48F56754" w14:textId="77777777" w:rsidR="00A102B7" w:rsidRDefault="00DC5D83" w:rsidP="00D608D2">
            <w:r>
              <w:t>Does the term 'emerging technologies' adequately capture the range of innovations and digital technologies that are transforming higher education? If not, please suggest alternative terminology.</w:t>
            </w:r>
          </w:p>
        </w:tc>
      </w:tr>
    </w:tbl>
    <w:p w14:paraId="373BEE2F" w14:textId="77777777" w:rsidR="00A102B7" w:rsidRDefault="00DC5D83" w:rsidP="00D608D2">
      <w:r>
        <w:t>The term 'emerging technologies' does not adequately distinguish between genuinely new commercial tools and longstanding assistive technologies that happen to incorporate AI or digital components. We recommend:</w:t>
      </w:r>
    </w:p>
    <w:p w14:paraId="112D48EF" w14:textId="77777777" w:rsidR="00A102B7" w:rsidRDefault="00DC5D83" w:rsidP="00D608D2">
      <w:pPr>
        <w:pStyle w:val="ListParagraph"/>
        <w:ind w:left="720" w:hanging="360"/>
      </w:pPr>
      <w:r>
        <w:t>Explicitly recognising 'assistive and accessible technologies' as a distinct category with specific protections and obligations, separate from governance requirements around emerging commercial technologies.</w:t>
      </w:r>
    </w:p>
    <w:p w14:paraId="1153B3B9" w14:textId="77777777" w:rsidR="00A102B7" w:rsidRDefault="00DC5D83" w:rsidP="00D608D2">
      <w:pPr>
        <w:pStyle w:val="ListParagraph"/>
        <w:ind w:left="720" w:hanging="360"/>
      </w:pPr>
      <w:r>
        <w:t>Supplementing the term 'emerging technologies' with specific reference to 'assistive and accessible technologies' throughout any amended Standards.</w:t>
      </w:r>
    </w:p>
    <w:p w14:paraId="53226AD7" w14:textId="77777777" w:rsidR="00A102B7" w:rsidRDefault="00DC5D83" w:rsidP="00D608D2">
      <w:pPr>
        <w:pStyle w:val="ListParagraph"/>
        <w:ind w:left="720" w:hanging="360"/>
      </w:pPr>
      <w:r>
        <w:t>Clarifying that AI-enhanced assistive technologies are an established category of access tool, not subject to blanket restrictions based on general AI governance concerns.</w:t>
      </w:r>
    </w:p>
    <w:p w14:paraId="6A69A181" w14:textId="4789C5B5" w:rsidR="00A102B7" w:rsidRDefault="00DC5D83" w:rsidP="00513D9D">
      <w:pPr>
        <w:pStyle w:val="Heading2"/>
      </w:pPr>
      <w:r>
        <w:t xml:space="preserve">2.2 </w:t>
      </w:r>
      <w:r w:rsidR="00511536">
        <w:t>Clearer Guidance Required on Assistive Technology Use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02B7" w14:paraId="033CE42E" w14:textId="77777777">
        <w:tc>
          <w:tcPr>
            <w:tcW w:w="9026" w:type="dxa"/>
            <w:tcBorders>
              <w:top w:val="single" w:sz="4" w:space="0" w:color="1F5C99"/>
              <w:left w:val="single" w:sz="4" w:space="0" w:color="1F5C99"/>
              <w:bottom w:val="single" w:sz="4" w:space="0" w:color="1F5C99"/>
              <w:right w:val="single" w:sz="4" w:space="0" w:color="1F5C99"/>
            </w:tcBorders>
            <w:shd w:val="clear" w:color="auto" w:fill="D6E4F0"/>
            <w:tcMar>
              <w:top w:w="120" w:type="dxa"/>
              <w:left w:w="180" w:type="dxa"/>
              <w:bottom w:w="120" w:type="dxa"/>
              <w:right w:w="180" w:type="dxa"/>
            </w:tcMar>
          </w:tcPr>
          <w:p w14:paraId="7165C52D" w14:textId="77777777" w:rsidR="00A102B7" w:rsidRDefault="00DC5D83" w:rsidP="00D608D2">
            <w:r>
              <w:t>Consultation Question 9</w:t>
            </w:r>
          </w:p>
          <w:p w14:paraId="684A3E17" w14:textId="77777777" w:rsidR="00A102B7" w:rsidRDefault="00DC5D83" w:rsidP="00D608D2">
            <w:r>
              <w:t>Do the standards currently provide adequate guidance to manage risks related to emerging technologies?</w:t>
            </w:r>
          </w:p>
        </w:tc>
      </w:tr>
    </w:tbl>
    <w:p w14:paraId="7715C5E4" w14:textId="180CEF04" w:rsidR="00A102B7" w:rsidRDefault="00DC5D83" w:rsidP="00D608D2">
      <w:r>
        <w:t>The current Standards do not provide adequate guidance</w:t>
      </w:r>
      <w:r w:rsidR="00E3017C">
        <w:t>,</w:t>
      </w:r>
      <w:r>
        <w:t xml:space="preserve"> particularly at the intersection of assistive technology access and emerging technology governance. Specific implementation failures identified include:</w:t>
      </w:r>
    </w:p>
    <w:p w14:paraId="1955AE3F" w14:textId="77777777" w:rsidR="00A102B7" w:rsidRDefault="00DC5D83" w:rsidP="00D608D2">
      <w:pPr>
        <w:pStyle w:val="ListParagraph"/>
        <w:ind w:left="720" w:hanging="360"/>
      </w:pPr>
      <w:r>
        <w:t>Lecturers refusing to permit transcription or captioning software in class due to intellectual property concerns, effectively denying access to students who are deaf or hard of hearing.</w:t>
      </w:r>
    </w:p>
    <w:p w14:paraId="070A6874" w14:textId="77777777" w:rsidR="00A102B7" w:rsidRDefault="00DC5D83" w:rsidP="00D608D2">
      <w:pPr>
        <w:pStyle w:val="ListParagraph"/>
        <w:ind w:left="720" w:hanging="360"/>
      </w:pPr>
      <w:r>
        <w:t>Privacy and cybersecurity policies applied in ways that prevent students from using approved access tools (such as caption glasses) in official university settings.</w:t>
      </w:r>
    </w:p>
    <w:p w14:paraId="3555DB25" w14:textId="77777777" w:rsidR="00A102B7" w:rsidRDefault="00DC5D83" w:rsidP="00D608D2">
      <w:pPr>
        <w:pStyle w:val="ListParagraph"/>
        <w:ind w:left="720" w:hanging="360"/>
      </w:pPr>
      <w:r>
        <w:t>Students with disability experiencing anxiety and inequity due to uncertainty about whether AI-enhanced assistive tools breach academic integrity policies.</w:t>
      </w:r>
    </w:p>
    <w:p w14:paraId="7FEA4EB5" w14:textId="7806FFF3" w:rsidR="000540FC" w:rsidRPr="000540FC" w:rsidRDefault="000540FC" w:rsidP="00D608D2">
      <w:pPr>
        <w:pStyle w:val="ListParagraph"/>
        <w:ind w:left="720" w:hanging="360"/>
      </w:pPr>
      <w:r w:rsidRPr="000540FC">
        <w:lastRenderedPageBreak/>
        <w:t>Academic staff refusing to allow students to record classes, effectively limit</w:t>
      </w:r>
      <w:r w:rsidR="00CD38F1">
        <w:t>ing</w:t>
      </w:r>
      <w:r w:rsidRPr="000540FC">
        <w:t> students</w:t>
      </w:r>
      <w:r w:rsidR="00CD38F1">
        <w:t>’</w:t>
      </w:r>
      <w:r w:rsidRPr="000540FC">
        <w:t> ability to </w:t>
      </w:r>
      <w:r w:rsidR="00522485">
        <w:t>take notes</w:t>
      </w:r>
      <w:r w:rsidRPr="000540FC">
        <w:t>, review, reflect and engage with the content outside of the class. </w:t>
      </w:r>
    </w:p>
    <w:p w14:paraId="39C4EC57" w14:textId="77777777" w:rsidR="00A102B7" w:rsidRDefault="00DC5D83" w:rsidP="00D608D2">
      <w:r>
        <w:t>We recommend the Threshold Standards require universities to establish clear guidelines specifying that:</w:t>
      </w:r>
    </w:p>
    <w:p w14:paraId="52AB8D89" w14:textId="77777777" w:rsidR="00A102B7" w:rsidRDefault="00DC5D83" w:rsidP="00D608D2">
      <w:pPr>
        <w:pStyle w:val="ListParagraph"/>
        <w:ind w:left="720" w:hanging="360"/>
      </w:pPr>
      <w:r>
        <w:t>Formal disability access plan requirements take precedence over general technology restriction policies, unless there is a specific and documented justification.</w:t>
      </w:r>
    </w:p>
    <w:p w14:paraId="1A61A8FF" w14:textId="77777777" w:rsidR="00A102B7" w:rsidRDefault="00DC5D83" w:rsidP="00D608D2">
      <w:pPr>
        <w:pStyle w:val="ListParagraph"/>
        <w:ind w:left="720" w:hanging="360"/>
      </w:pPr>
      <w:r>
        <w:t>Disability and accessibility services must be consulted before implementing technology restrictions that could affect students with disability.</w:t>
      </w:r>
    </w:p>
    <w:p w14:paraId="2F9D0B84" w14:textId="77777777" w:rsidR="00A102B7" w:rsidRDefault="00DC5D83" w:rsidP="00D608D2">
      <w:pPr>
        <w:pStyle w:val="ListParagraph"/>
        <w:ind w:left="720" w:hanging="360"/>
      </w:pPr>
      <w:r>
        <w:t>Academic integrity policies must clearly distinguish between assistive use of AI tools and academic misconduct.</w:t>
      </w:r>
    </w:p>
    <w:p w14:paraId="36CF885E" w14:textId="093A772F" w:rsidR="00A102B7" w:rsidRDefault="00DC5D83" w:rsidP="00D608D2">
      <w:pPr>
        <w:pStyle w:val="ListParagraph"/>
        <w:ind w:left="720" w:hanging="360"/>
      </w:pPr>
      <w:r>
        <w:t xml:space="preserve">Universities must not assume </w:t>
      </w:r>
      <w:r w:rsidR="006829CC">
        <w:t>ill</w:t>
      </w:r>
      <w:r>
        <w:t xml:space="preserve"> intent when students with disability use assistive technologies, including those incorporating AI.</w:t>
      </w:r>
    </w:p>
    <w:p w14:paraId="7ADBC0E1" w14:textId="08C78BDE" w:rsidR="004409F7" w:rsidRDefault="004409F7" w:rsidP="00D608D2">
      <w:pPr>
        <w:pStyle w:val="ListParagraph"/>
        <w:ind w:left="720" w:hanging="360"/>
      </w:pPr>
      <w:r>
        <w:t>Provide clear guidelines for students on the capture, use and retention of class recordings.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02B7" w14:paraId="75FCD576" w14:textId="77777777">
        <w:tc>
          <w:tcPr>
            <w:tcW w:w="9026" w:type="dxa"/>
            <w:tcBorders>
              <w:top w:val="single" w:sz="4" w:space="0" w:color="1F5C99"/>
              <w:left w:val="single" w:sz="4" w:space="0" w:color="1F5C99"/>
              <w:bottom w:val="single" w:sz="4" w:space="0" w:color="1F5C99"/>
              <w:right w:val="single" w:sz="4" w:space="0" w:color="1F5C99"/>
            </w:tcBorders>
            <w:shd w:val="clear" w:color="auto" w:fill="D6E4F0"/>
            <w:tcMar>
              <w:top w:w="120" w:type="dxa"/>
              <w:left w:w="180" w:type="dxa"/>
              <w:bottom w:w="120" w:type="dxa"/>
              <w:right w:w="180" w:type="dxa"/>
            </w:tcMar>
          </w:tcPr>
          <w:p w14:paraId="52AF4794" w14:textId="77777777" w:rsidR="00A102B7" w:rsidRDefault="00DC5D83" w:rsidP="00D608D2">
            <w:r>
              <w:t>Consultation Question 10</w:t>
            </w:r>
          </w:p>
          <w:p w14:paraId="2959D2E8" w14:textId="77777777" w:rsidR="00A102B7" w:rsidRDefault="00DC5D83" w:rsidP="00D608D2">
            <w:r>
              <w:t xml:space="preserve">How should amended standards appropriately balance the management of risks with the need to preserve provider flexibility, </w:t>
            </w:r>
            <w:proofErr w:type="gramStart"/>
            <w:r>
              <w:t>so as to</w:t>
            </w:r>
            <w:proofErr w:type="gramEnd"/>
            <w:r>
              <w:t xml:space="preserve"> support ongoing innovation?</w:t>
            </w:r>
          </w:p>
        </w:tc>
      </w:tr>
    </w:tbl>
    <w:p w14:paraId="49CBD9A9" w14:textId="65A8B622" w:rsidR="00A102B7" w:rsidRDefault="00DC5D83" w:rsidP="00D608D2">
      <w:r>
        <w:t>In balancing risk management with innovation, the Standards must ensure risk frameworks do not disproportionately burden students with disability. We recommend a presumption of access: where technology restrictions are being considered, institutions must assess and document the impact on students with disability before implementation,</w:t>
      </w:r>
      <w:r w:rsidR="001D7704">
        <w:t xml:space="preserve"> develop proactive measures to remove or mitigate negative impacts of technology restrictions, </w:t>
      </w:r>
      <w:r>
        <w:t>and co-design technology governance frameworks with disability services and students with lived experience.</w:t>
      </w:r>
    </w:p>
    <w:p w14:paraId="2C6A17E4" w14:textId="77777777" w:rsidR="00A102B7" w:rsidRDefault="00DC5D83" w:rsidP="00CA7B4A">
      <w:pPr>
        <w:pStyle w:val="Heading1"/>
      </w:pPr>
      <w:r>
        <w:t>3. Governance and Transparency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102B7" w14:paraId="6698B185" w14:textId="77777777">
        <w:tc>
          <w:tcPr>
            <w:tcW w:w="9026" w:type="dxa"/>
            <w:tcBorders>
              <w:top w:val="single" w:sz="4" w:space="0" w:color="1F5C99"/>
              <w:left w:val="single" w:sz="4" w:space="0" w:color="1F5C99"/>
              <w:bottom w:val="single" w:sz="4" w:space="0" w:color="1F5C99"/>
              <w:right w:val="single" w:sz="4" w:space="0" w:color="1F5C99"/>
            </w:tcBorders>
            <w:shd w:val="clear" w:color="auto" w:fill="D6E4F0"/>
            <w:tcMar>
              <w:top w:w="120" w:type="dxa"/>
              <w:left w:w="180" w:type="dxa"/>
              <w:bottom w:w="120" w:type="dxa"/>
              <w:right w:w="180" w:type="dxa"/>
            </w:tcMar>
          </w:tcPr>
          <w:p w14:paraId="7D234417" w14:textId="77777777" w:rsidR="00A102B7" w:rsidRDefault="00DC5D83" w:rsidP="00D608D2">
            <w:r>
              <w:t>Consultation Question 5</w:t>
            </w:r>
          </w:p>
          <w:p w14:paraId="4CF82462" w14:textId="77777777" w:rsidR="00A102B7" w:rsidRDefault="00DC5D83" w:rsidP="00D608D2">
            <w:r>
              <w:t>How might strengthened standards on academic oversight, staffing profiles, and teaching quality affect student outcomes and experience?</w:t>
            </w:r>
          </w:p>
        </w:tc>
      </w:tr>
    </w:tbl>
    <w:p w14:paraId="2DEA724C" w14:textId="77777777" w:rsidR="00A102B7" w:rsidRDefault="00DC5D83" w:rsidP="00D608D2">
      <w:r>
        <w:t xml:space="preserve">Strengthened governance requirements are essential but will only be effective if they address the specific failure modes observed in practice. Institutions can satisfy current </w:t>
      </w:r>
      <w:r>
        <w:lastRenderedPageBreak/>
        <w:t>requirements through documentation alone without demonstrating genuine outcomes for students with disability.</w:t>
      </w:r>
    </w:p>
    <w:p w14:paraId="002E2D94" w14:textId="77777777" w:rsidR="00262806" w:rsidRDefault="00262806" w:rsidP="00D608D2"/>
    <w:p w14:paraId="162F8D27" w14:textId="77777777" w:rsidR="00A102B7" w:rsidRDefault="00DC5D83" w:rsidP="00D608D2">
      <w:r>
        <w:t>We recommend strengthened governance standards include:</w:t>
      </w:r>
    </w:p>
    <w:p w14:paraId="3946C5D8" w14:textId="77777777" w:rsidR="00A102B7" w:rsidRDefault="00DC5D83" w:rsidP="00D608D2">
      <w:pPr>
        <w:pStyle w:val="ListParagraph"/>
        <w:ind w:left="720" w:hanging="360"/>
      </w:pPr>
      <w:r>
        <w:t>Explicit requirements for disability and accessibility expertise at governance levels responsible for policies affecting students with disability.</w:t>
      </w:r>
    </w:p>
    <w:p w14:paraId="6B20BD8B" w14:textId="501FF337" w:rsidR="00A102B7" w:rsidRDefault="00DC5D83" w:rsidP="00D608D2">
      <w:pPr>
        <w:pStyle w:val="ListParagraph"/>
        <w:ind w:left="720" w:hanging="360"/>
      </w:pPr>
      <w:r>
        <w:t>Lived experience voices</w:t>
      </w:r>
      <w:r w:rsidR="009A2083">
        <w:t>,</w:t>
      </w:r>
      <w:r>
        <w:t xml:space="preserve"> including students and staff with disability</w:t>
      </w:r>
      <w:r w:rsidR="009A2083">
        <w:t>,</w:t>
      </w:r>
      <w:r>
        <w:t xml:space="preserve"> in governance processes, with payment for student participation as standard practice. </w:t>
      </w:r>
    </w:p>
    <w:p w14:paraId="621461AC" w14:textId="137C061C" w:rsidR="00A102B7" w:rsidRDefault="00DC5D83" w:rsidP="00D608D2">
      <w:pPr>
        <w:pStyle w:val="ListParagraph"/>
        <w:ind w:left="720" w:hanging="360"/>
      </w:pPr>
      <w:r>
        <w:t>Minimum disability services staffing requirements, proportionate to student enrolment and disability disclosure rates, to ensure services are adequately resourced.</w:t>
      </w:r>
      <w:r w:rsidR="00C77D88">
        <w:t xml:space="preserve"> It is essential this is resourced via core university funding, so that the Disability Support </w:t>
      </w:r>
      <w:r w:rsidR="001D2587">
        <w:t>Fund remains genuinely supplemental</w:t>
      </w:r>
      <w:r w:rsidR="004C2890">
        <w:t xml:space="preserve"> as intended</w:t>
      </w:r>
      <w:r w:rsidR="0050673B">
        <w:t xml:space="preserve">. </w:t>
      </w:r>
    </w:p>
    <w:p w14:paraId="723805EA" w14:textId="4AAA64FB" w:rsidR="00EA211B" w:rsidRDefault="00853CC4" w:rsidP="00D608D2">
      <w:pPr>
        <w:pStyle w:val="ListParagraph"/>
        <w:ind w:left="720" w:hanging="360"/>
      </w:pPr>
      <w:r w:rsidRPr="00853CC4">
        <w:t>Require all institutions to maintain robust, publicly accessible disability accessibility policies that cascade into mandatory staff competency requirements in inclusive practice. Training must be embedded in educator induction programs and available on</w:t>
      </w:r>
      <w:r>
        <w:t xml:space="preserve"> </w:t>
      </w:r>
      <w:r w:rsidRPr="00853CC4">
        <w:t>demand in accessible formats, enabling staff to respond to student needs in a timely and informed way. This ensures that institutional policy translates into consistent frontline practice, rather than remaining aspirational.</w:t>
      </w:r>
    </w:p>
    <w:p w14:paraId="5E19C627" w14:textId="77777777" w:rsidR="00A102B7" w:rsidRDefault="00DC5D83" w:rsidP="00D608D2">
      <w:pPr>
        <w:pStyle w:val="ListParagraph"/>
        <w:ind w:left="720" w:hanging="360"/>
      </w:pPr>
      <w:r>
        <w:t>Public reporting on outcomes for students with disability disaggregated by institution, enabling meaningful sector comparison and TEQSA oversight.</w:t>
      </w:r>
    </w:p>
    <w:p w14:paraId="5A88E014" w14:textId="24AC5685" w:rsidR="00A102B7" w:rsidRDefault="00DC5D83" w:rsidP="00D608D2">
      <w:pPr>
        <w:pStyle w:val="ListParagraph"/>
        <w:ind w:left="720" w:hanging="360"/>
      </w:pPr>
      <w:r>
        <w:t>Intersectionality must be explicitly addressed in governance frameworks: disability intersects with other forms of disadvantage, and equity groups should not be treated in silos.</w:t>
      </w:r>
    </w:p>
    <w:p w14:paraId="500947DD" w14:textId="77777777" w:rsidR="00A102B7" w:rsidRDefault="00DC5D83" w:rsidP="00CA7B4A">
      <w:pPr>
        <w:pStyle w:val="Heading1"/>
      </w:pPr>
      <w:r>
        <w:t>Conclusion and Summary of Recommendations</w:t>
      </w:r>
    </w:p>
    <w:p w14:paraId="0F16D902" w14:textId="687D2B80" w:rsidR="00A102B7" w:rsidRDefault="004165A1" w:rsidP="00D608D2">
      <w:r>
        <w:t>We</w:t>
      </w:r>
      <w:r w:rsidR="00DC5D83">
        <w:t xml:space="preserve"> strongly support the intent of the proposed amendments and urge HESP to ensure requirements are specific, measurable, and enforceable — not aspirational. </w:t>
      </w:r>
    </w:p>
    <w:p w14:paraId="27577FB2" w14:textId="53DD2A5A" w:rsidR="002C5B67" w:rsidRDefault="002C5B67" w:rsidP="00D608D2">
      <w:r>
        <w:t>Our key recommendations are summarised below:</w:t>
      </w:r>
    </w:p>
    <w:p w14:paraId="7A8FCE88" w14:textId="77777777" w:rsidR="00A102B7" w:rsidRDefault="00DC5D83" w:rsidP="00D608D2">
      <w:r>
        <w:t>Universal Design and Curriculum</w:t>
      </w:r>
    </w:p>
    <w:p w14:paraId="79F32912" w14:textId="77777777" w:rsidR="00A102B7" w:rsidRDefault="00DC5D83" w:rsidP="00D608D2">
      <w:pPr>
        <w:pStyle w:val="ListParagraph"/>
        <w:ind w:left="720" w:hanging="360"/>
      </w:pPr>
      <w:r>
        <w:t>Explicitly address both Universal Design (UD) broadly and Universal Design for Learning (UDL) specifically, recognising their distinct but complementary scopes.</w:t>
      </w:r>
    </w:p>
    <w:p w14:paraId="007B8683" w14:textId="77777777" w:rsidR="00A102B7" w:rsidRDefault="00DC5D83" w:rsidP="00D608D2">
      <w:pPr>
        <w:pStyle w:val="ListParagraph"/>
        <w:ind w:left="720" w:hanging="360"/>
      </w:pPr>
      <w:r>
        <w:t>Frame UDL within curriculum development as a quality assurance matter, not solely a disability support issue.</w:t>
      </w:r>
    </w:p>
    <w:p w14:paraId="1DE40384" w14:textId="77777777" w:rsidR="00A102B7" w:rsidRDefault="00DC5D83" w:rsidP="00D608D2">
      <w:pPr>
        <w:pStyle w:val="ListParagraph"/>
        <w:ind w:left="720" w:hanging="360"/>
      </w:pPr>
      <w:r>
        <w:t>Address the absence of curriculum in the current Standards as a priority.</w:t>
      </w:r>
    </w:p>
    <w:p w14:paraId="58740911" w14:textId="77777777" w:rsidR="00A102B7" w:rsidRDefault="00DC5D83" w:rsidP="00D608D2">
      <w:r>
        <w:lastRenderedPageBreak/>
        <w:t>Terminology, Language and Intersectionality</w:t>
      </w:r>
    </w:p>
    <w:p w14:paraId="768CB055" w14:textId="77777777" w:rsidR="00A102B7" w:rsidRDefault="00DC5D83" w:rsidP="00D608D2">
      <w:pPr>
        <w:pStyle w:val="ListParagraph"/>
        <w:ind w:left="720" w:hanging="360"/>
      </w:pPr>
      <w:r>
        <w:t>Retain explicit disability-specific language; use the CRPD as the definitional starting point.</w:t>
      </w:r>
    </w:p>
    <w:p w14:paraId="0E55A0F2" w14:textId="77777777" w:rsidR="00A102B7" w:rsidRDefault="00DC5D83" w:rsidP="00D608D2">
      <w:pPr>
        <w:pStyle w:val="ListParagraph"/>
        <w:ind w:left="720" w:hanging="360"/>
      </w:pPr>
      <w:r>
        <w:t>Replace outdated language ('special needs') with contemporary, rights-based framing.</w:t>
      </w:r>
    </w:p>
    <w:p w14:paraId="060C2555" w14:textId="255F7B3E" w:rsidR="00A102B7" w:rsidRDefault="00DC5D83" w:rsidP="00D608D2">
      <w:pPr>
        <w:pStyle w:val="ListParagraph"/>
        <w:ind w:left="720" w:hanging="360"/>
      </w:pPr>
      <w:r>
        <w:t>Explicitly address intersectionality in the amended Standards.</w:t>
      </w:r>
    </w:p>
    <w:p w14:paraId="18985299" w14:textId="517C12EB" w:rsidR="00FC66B4" w:rsidRDefault="00DC5D83" w:rsidP="00D608D2">
      <w:r>
        <w:t>Inherent Requirements and Progression</w:t>
      </w:r>
    </w:p>
    <w:p w14:paraId="3755DE97" w14:textId="7CF03A4D" w:rsidR="00FC66B4" w:rsidRDefault="00FF0D27" w:rsidP="00D608D2">
      <w:pPr>
        <w:pStyle w:val="ListParagraph"/>
        <w:ind w:left="720" w:hanging="360"/>
      </w:pPr>
      <w:r>
        <w:t>Provide clear</w:t>
      </w:r>
      <w:r w:rsidR="00EA4A1E">
        <w:t xml:space="preserve"> guidance on how and when inherent requirements are measured</w:t>
      </w:r>
      <w:r>
        <w:t xml:space="preserve"> (i.e. at the commencement or completion of course)</w:t>
      </w:r>
      <w:r w:rsidR="00EA4A1E">
        <w:t xml:space="preserve"> </w:t>
      </w:r>
      <w:r w:rsidR="004E368C">
        <w:t>and how these are communicated to prospective and current students, ensuring they are informative rather than deterrent</w:t>
      </w:r>
      <w:r w:rsidR="00856E55">
        <w:t>.</w:t>
      </w:r>
    </w:p>
    <w:p w14:paraId="5A0A2DBD" w14:textId="26A587C2" w:rsidR="00A102B7" w:rsidRDefault="00DC5D83" w:rsidP="00D608D2">
      <w:pPr>
        <w:pStyle w:val="ListParagraph"/>
        <w:ind w:left="720" w:hanging="360"/>
      </w:pPr>
      <w:r>
        <w:t>Require disability services involvement in development and review of all inherent requirements.</w:t>
      </w:r>
    </w:p>
    <w:p w14:paraId="60A4D0B6" w14:textId="77777777" w:rsidR="00A102B7" w:rsidRDefault="00DC5D83" w:rsidP="00D608D2">
      <w:pPr>
        <w:pStyle w:val="ListParagraph"/>
        <w:ind w:left="720" w:hanging="360"/>
      </w:pPr>
      <w:r>
        <w:t>Establish independent review mechanisms for students who believe requirements are being applied inappropriately.</w:t>
      </w:r>
    </w:p>
    <w:p w14:paraId="2DE7B0EF" w14:textId="77777777" w:rsidR="00A102B7" w:rsidRDefault="00DC5D83" w:rsidP="00D608D2">
      <w:r>
        <w:t>Assistive Technologies and Emerging Technologies</w:t>
      </w:r>
    </w:p>
    <w:p w14:paraId="2C7B79FF" w14:textId="77777777" w:rsidR="00A102B7" w:rsidRDefault="00DC5D83" w:rsidP="00D608D2">
      <w:pPr>
        <w:pStyle w:val="ListParagraph"/>
        <w:ind w:left="720" w:hanging="360"/>
      </w:pPr>
      <w:r>
        <w:t>Explicitly distinguish assistive technologies (including AI-enhanced tools) from general emerging technology governance requirements.</w:t>
      </w:r>
    </w:p>
    <w:p w14:paraId="1803F5D2" w14:textId="77777777" w:rsidR="00A102B7" w:rsidRDefault="00DC5D83" w:rsidP="00D608D2">
      <w:pPr>
        <w:pStyle w:val="ListParagraph"/>
        <w:ind w:left="720" w:hanging="360"/>
      </w:pPr>
      <w:r>
        <w:t>Require access plans to take precedence over general technology restrictions.</w:t>
      </w:r>
    </w:p>
    <w:p w14:paraId="6AFA2605" w14:textId="77777777" w:rsidR="00A102B7" w:rsidRDefault="00DC5D83" w:rsidP="00D608D2">
      <w:pPr>
        <w:pStyle w:val="ListParagraph"/>
        <w:ind w:left="720" w:hanging="360"/>
      </w:pPr>
      <w:r>
        <w:t>Require disability services consultation before implementing technology restrictions affecting students with disability.</w:t>
      </w:r>
    </w:p>
    <w:p w14:paraId="19917884" w14:textId="77777777" w:rsidR="00A102B7" w:rsidRDefault="00DC5D83" w:rsidP="00D608D2">
      <w:pPr>
        <w:pStyle w:val="ListParagraph"/>
        <w:ind w:left="720" w:hanging="360"/>
      </w:pPr>
      <w:r>
        <w:t>Mandate clear academic integrity guidance distinguishing assistive AI tool use from academic misconduct.</w:t>
      </w:r>
    </w:p>
    <w:p w14:paraId="7CC92C9A" w14:textId="77777777" w:rsidR="00A102B7" w:rsidRDefault="00DC5D83" w:rsidP="00D608D2">
      <w:r>
        <w:t>Governance and Accountability</w:t>
      </w:r>
    </w:p>
    <w:p w14:paraId="4CC1092E" w14:textId="77777777" w:rsidR="00A102B7" w:rsidRDefault="00DC5D83" w:rsidP="00D608D2">
      <w:pPr>
        <w:pStyle w:val="ListParagraph"/>
        <w:ind w:left="720" w:hanging="360"/>
      </w:pPr>
      <w:r>
        <w:t>Require disability expertise and lived experience voices at governance levels, with payment for student participation.</w:t>
      </w:r>
    </w:p>
    <w:p w14:paraId="2489FFA8" w14:textId="77777777" w:rsidR="00A102B7" w:rsidRDefault="00DC5D83" w:rsidP="00D608D2">
      <w:pPr>
        <w:pStyle w:val="ListParagraph"/>
        <w:ind w:left="720" w:hanging="360"/>
      </w:pPr>
      <w:r>
        <w:t>Require public reporting on disability outcomes disaggregated by institution.</w:t>
      </w:r>
    </w:p>
    <w:p w14:paraId="5D21909E" w14:textId="77777777" w:rsidR="00A102B7" w:rsidRDefault="00DC5D83" w:rsidP="00D608D2">
      <w:pPr>
        <w:pStyle w:val="ListParagraph"/>
        <w:ind w:left="720" w:hanging="360"/>
      </w:pPr>
      <w:r>
        <w:t>Establish minimum disability services staffing standards.</w:t>
      </w:r>
    </w:p>
    <w:p w14:paraId="2583BA71" w14:textId="7EDB4A5F" w:rsidR="0052585D" w:rsidRDefault="0052585D" w:rsidP="00D608D2">
      <w:pPr>
        <w:pStyle w:val="ListParagraph"/>
        <w:ind w:left="720" w:hanging="360"/>
      </w:pPr>
      <w:r w:rsidRPr="0052585D">
        <w:t xml:space="preserve">Require disability accessibility policies to cascade into mandatory staff training in inclusive practice, embedded in induction and available </w:t>
      </w:r>
      <w:proofErr w:type="gramStart"/>
      <w:r w:rsidRPr="0052585D">
        <w:t>on-demand</w:t>
      </w:r>
      <w:proofErr w:type="gramEnd"/>
      <w:r w:rsidRPr="0052585D">
        <w:t xml:space="preserve"> to support timely student support.</w:t>
      </w:r>
    </w:p>
    <w:p w14:paraId="3D5C2AD0" w14:textId="77777777" w:rsidR="00A102B7" w:rsidRDefault="00DC5D83" w:rsidP="00D608D2">
      <w:pPr>
        <w:pStyle w:val="ListParagraph"/>
        <w:ind w:left="720" w:hanging="360"/>
      </w:pPr>
      <w:r>
        <w:t>Strengthen TEQSA–NSO collaboration to identify and address systemic issues in complaints handling.</w:t>
      </w:r>
    </w:p>
    <w:sectPr w:rsidR="00A102B7">
      <w:headerReference w:type="default" r:id="rId8"/>
      <w:footerReference w:type="even" r:id="rId9"/>
      <w:footerReference w:type="default" r:id="rId10"/>
      <w:footerReference w:type="firs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AA51" w14:textId="77777777" w:rsidR="00080D39" w:rsidRDefault="00080D39" w:rsidP="00D608D2">
      <w:r>
        <w:separator/>
      </w:r>
    </w:p>
  </w:endnote>
  <w:endnote w:type="continuationSeparator" w:id="0">
    <w:p w14:paraId="083038D6" w14:textId="77777777" w:rsidR="00080D39" w:rsidRDefault="00080D39" w:rsidP="00D6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C96B" w14:textId="5D9D386A" w:rsidR="00D608D2" w:rsidRDefault="00D608D2">
    <w:pPr>
      <w:pStyle w:val="Footer"/>
    </w:pPr>
    <w:r>
      <w:rPr>
        <w:noProof/>
      </w:rPr>
      <mc:AlternateContent>
        <mc:Choice Requires="wps">
          <w:drawing>
            <wp:anchor distT="0" distB="0" distL="0" distR="0" simplePos="0" relativeHeight="251659264" behindDoc="0" locked="0" layoutInCell="1" allowOverlap="1" wp14:anchorId="738A2B7F" wp14:editId="62C02063">
              <wp:simplePos x="635" y="635"/>
              <wp:positionH relativeFrom="page">
                <wp:align>center</wp:align>
              </wp:positionH>
              <wp:positionV relativeFrom="page">
                <wp:align>bottom</wp:align>
              </wp:positionV>
              <wp:extent cx="1548765" cy="455295"/>
              <wp:effectExtent l="0" t="0" r="13335" b="0"/>
              <wp:wrapNone/>
              <wp:docPr id="229512927"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455295"/>
                      </a:xfrm>
                      <a:prstGeom prst="rect">
                        <a:avLst/>
                      </a:prstGeom>
                      <a:noFill/>
                      <a:ln>
                        <a:noFill/>
                      </a:ln>
                    </wps:spPr>
                    <wps:txbx>
                      <w:txbxContent>
                        <w:p w14:paraId="643FD7DD" w14:textId="00491946" w:rsidR="00D608D2" w:rsidRPr="00D608D2" w:rsidRDefault="00D608D2" w:rsidP="00D608D2">
                          <w:pPr>
                            <w:spacing w:after="0"/>
                            <w:rPr>
                              <w:rFonts w:eastAsia="Calibri"/>
                              <w:noProof/>
                              <w:color w:val="000000"/>
                            </w:rPr>
                          </w:pPr>
                          <w:r w:rsidRPr="00D608D2">
                            <w:rPr>
                              <w:rFonts w:eastAsia="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A2B7F" id="_x0000_t202" coordsize="21600,21600" o:spt="202" path="m,l,21600r21600,l21600,xe">
              <v:stroke joinstyle="miter"/>
              <v:path gradientshapeok="t" o:connecttype="rect"/>
            </v:shapetype>
            <v:shape id="Text Box 2" o:spid="_x0000_s1026" type="#_x0000_t202" alt="ECU Internal Information" style="position:absolute;margin-left:0;margin-top:0;width:121.95pt;height:35.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ASCwIAABYEAAAOAAAAZHJzL2Uyb0RvYy54bWysU8Fu2zAMvQ/YPwi6L3aCumuNOEXWIsOA&#10;oC2QDj0rshQbkERBUmJnXz9Ktput22nYRaZJ6pF8fFre9VqRk3C+BVPR+SynRBgOdWsOFf3+svl0&#10;Q4kPzNRMgREVPQtP71YfPyw7W4oFNKBq4QiCGF92tqJNCLbMMs8boZmfgRUGgxKcZgF/3SGrHesQ&#10;XatskefXWQeutg648B69D0OQrhK+lIKHJym9CERVFHsL6XTp3MczWy1ZeXDMNi0f22D/0IVmrcGi&#10;b1APLDBydO0fULrlDjzIMOOgM5Cy5SLNgNPM83fT7BpmRZoFyfH2jSb//2D542lnnx0J/RfocYGR&#10;kM760qMzztNLp+MXOyUYRwrPb7SJPhAeLxVXN5+vC0o4xq6KYnFbRJjscts6H74K0CQaFXW4lsQW&#10;O219GFKnlFjMwKZVKq1Gmd8ciBk92aXFaIV+349976E+4zgOhk17yzct1twyH56Zw9XiBCjX8ISH&#10;VNBVFEaLkgbcj7/5Yz4yjlFKOpRKRQ1qmRL1zeAmoqomw03GPhnz27zIMW6O+h5QgHN8C5YnE70u&#10;qMmUDvQrCnkdC2GIGY7lKrqfzPswaBYfAhfrdUpCAVkWtmZneYSOPEUSX/pX5uzIdMAdPcKkI1a+&#10;I3zIjTe9XR8D0p62ETkdiBypRvGlfY4PJar71/+UdXnOq58AAAD//wMAUEsDBBQABgAIAAAAIQCf&#10;myfo3AAAAAQBAAAPAAAAZHJzL2Rvd25yZXYueG1sTI/NTsMwEITvSH0Haytxo04TaCFkU6FKnIqQ&#10;+nPh5trbJBCvo9hp07fHcIHLSqMZzXxbrEbbijP1vnGMMJ8lIIi1Mw1XCIf9690jCB8UG9U6JoQr&#10;eViVk5tC5cZdeEvnXahELGGfK4Q6hC6X0uuarPIz1xFH7+R6q0KUfSVNry6x3LYyTZKFtKrhuFCr&#10;jtY16a/dYBEetuFteOd99jGm189Nt9bZaaMRb6fjyzOIQGP4C8MPfkSHMjId3cDGixYhPhJ+b/TS&#10;++wJxBFhOV+CLAv5H778BgAA//8DAFBLAQItABQABgAIAAAAIQC2gziS/gAAAOEBAAATAAAAAAAA&#10;AAAAAAAAAAAAAABbQ29udGVudF9UeXBlc10ueG1sUEsBAi0AFAAGAAgAAAAhADj9If/WAAAAlAEA&#10;AAsAAAAAAAAAAAAAAAAALwEAAF9yZWxzLy5yZWxzUEsBAi0AFAAGAAgAAAAhAGHa8BILAgAAFgQA&#10;AA4AAAAAAAAAAAAAAAAALgIAAGRycy9lMm9Eb2MueG1sUEsBAi0AFAAGAAgAAAAhAJ+bJ+jcAAAA&#10;BAEAAA8AAAAAAAAAAAAAAAAAZQQAAGRycy9kb3ducmV2LnhtbFBLBQYAAAAABAAEAPMAAABuBQAA&#10;AAA=&#10;" filled="f" stroked="f">
              <v:textbox style="mso-fit-shape-to-text:t" inset="0,0,0,15pt">
                <w:txbxContent>
                  <w:p w14:paraId="643FD7DD" w14:textId="00491946" w:rsidR="00D608D2" w:rsidRPr="00D608D2" w:rsidRDefault="00D608D2" w:rsidP="00D608D2">
                    <w:pPr>
                      <w:spacing w:after="0"/>
                      <w:rPr>
                        <w:rFonts w:eastAsia="Calibri"/>
                        <w:noProof/>
                        <w:color w:val="000000"/>
                      </w:rPr>
                    </w:pPr>
                    <w:r w:rsidRPr="00D608D2">
                      <w:rPr>
                        <w:rFonts w:eastAsia="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5F4C" w14:textId="06495788" w:rsidR="004C2890" w:rsidRPr="003367F9" w:rsidRDefault="003367F9" w:rsidP="00D608D2">
    <w:pPr>
      <w:pStyle w:val="Footer"/>
    </w:pPr>
    <w:r w:rsidRPr="003367F9">
      <w:fldChar w:fldCharType="begin"/>
    </w:r>
    <w:r w:rsidRPr="003367F9">
      <w:instrText xml:space="preserve"> PAGE   \* MERGEFORMAT </w:instrText>
    </w:r>
    <w:r w:rsidRPr="003367F9">
      <w:fldChar w:fldCharType="separate"/>
    </w:r>
    <w:r w:rsidRPr="003367F9">
      <w:rPr>
        <w:noProof/>
      </w:rPr>
      <w:t>1</w:t>
    </w:r>
    <w:r w:rsidRPr="003367F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A56E" w14:textId="08560F7A" w:rsidR="00D608D2" w:rsidRDefault="00D608D2">
    <w:pPr>
      <w:pStyle w:val="Footer"/>
    </w:pPr>
    <w:r>
      <w:rPr>
        <w:noProof/>
      </w:rPr>
      <mc:AlternateContent>
        <mc:Choice Requires="wps">
          <w:drawing>
            <wp:anchor distT="0" distB="0" distL="0" distR="0" simplePos="0" relativeHeight="251658240" behindDoc="0" locked="0" layoutInCell="1" allowOverlap="1" wp14:anchorId="689C7995" wp14:editId="6F46C198">
              <wp:simplePos x="635" y="635"/>
              <wp:positionH relativeFrom="page">
                <wp:align>center</wp:align>
              </wp:positionH>
              <wp:positionV relativeFrom="page">
                <wp:align>bottom</wp:align>
              </wp:positionV>
              <wp:extent cx="1548765" cy="455295"/>
              <wp:effectExtent l="0" t="0" r="13335" b="0"/>
              <wp:wrapNone/>
              <wp:docPr id="184148225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455295"/>
                      </a:xfrm>
                      <a:prstGeom prst="rect">
                        <a:avLst/>
                      </a:prstGeom>
                      <a:noFill/>
                      <a:ln>
                        <a:noFill/>
                      </a:ln>
                    </wps:spPr>
                    <wps:txbx>
                      <w:txbxContent>
                        <w:p w14:paraId="54DBE2C8" w14:textId="1297FC62" w:rsidR="00D608D2" w:rsidRPr="00D608D2" w:rsidRDefault="00D608D2" w:rsidP="00D608D2">
                          <w:pPr>
                            <w:spacing w:after="0"/>
                            <w:rPr>
                              <w:rFonts w:eastAsia="Calibri"/>
                              <w:noProof/>
                              <w:color w:val="000000"/>
                            </w:rPr>
                          </w:pPr>
                          <w:r w:rsidRPr="00D608D2">
                            <w:rPr>
                              <w:rFonts w:eastAsia="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C7995" id="_x0000_t202" coordsize="21600,21600" o:spt="202" path="m,l,21600r21600,l21600,xe">
              <v:stroke joinstyle="miter"/>
              <v:path gradientshapeok="t" o:connecttype="rect"/>
            </v:shapetype>
            <v:shape id="Text Box 1" o:spid="_x0000_s1027" type="#_x0000_t202" alt="ECU Internal Information" style="position:absolute;margin-left:0;margin-top:0;width:121.95pt;height:35.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MDQIAAB0EAAAOAAAAZHJzL2Uyb0RvYy54bWysU8Fu2zAMvQ/YPwi6L3aCumuNOEXWIsOA&#10;oC2QDj0rshQbkERBUmJnXz9KjpO222nYRaZJ6pF8fJrf9VqRg3C+BVPR6SSnRBgOdWt2Ff35svpy&#10;Q4kPzNRMgREVPQpP7xafP807W4oZNKBq4QiCGF92tqJNCLbMMs8boZmfgBUGgxKcZgF/3S6rHesQ&#10;XatslufXWQeutg648B69D0OQLhK+lIKHJym9CERVFHsL6XTp3MYzW8xZuXPMNi0/tcH+oQvNWoNF&#10;z1APLDCyd+0fULrlDjzIMOGgM5Cy5SLNgNNM8w/TbBpmRZoFyfH2TJP/f7D88bCxz46E/hv0uMBI&#10;SGd96dEZ5+ml0/GLnRKMI4XHM22iD4THS8XVzdfrghKOsauimN0WESa73LbOh+8CNIlGRR2uJbHF&#10;DmsfhtQxJRYzsGqVSqtR5p0DMaMnu7QYrdBve9LWb9rfQn3EqRwMC/eWr1osvWY+PDOHG8ZBULXh&#10;CQ+poKsonCxKGnC//uaP+Ug8RinpUDEVNShpStQPgwuJ4hoNNxrbZExv8yLHuNnre0AdTvFJWJ5M&#10;9LqgRlM60K+o52UshCFmOJar6HY078MgXXwPXCyXKQl1ZFlYm43lETrSFbl86V+ZsyfCA67qEUY5&#10;sfID70NuvOntch+Q/bSUSO1A5Ilx1GBa6+m9RJG//U9Zl1e9+A0AAP//AwBQSwMEFAAGAAgAAAAh&#10;AJ+bJ+jcAAAABAEAAA8AAABkcnMvZG93bnJldi54bWxMj81OwzAQhO9IfQdrK3GjThNoIWRToUqc&#10;ipD6c+Hm2tskEK+j2GnTt8dwgctKoxnNfFusRtuKM/W+cYwwnyUgiLUzDVcIh/3r3SMIHxQb1Tom&#10;hCt5WJWTm0Llxl14S+ddqEQsYZ8rhDqELpfS65qs8jPXEUfv5HqrQpR9JU2vLrHctjJNkoW0quG4&#10;UKuO1jXpr91gER624W145332MabXz0231tlpoxFvp+PLM4hAY/gLww9+RIcyMh3dwMaLFiE+En5v&#10;9NL77AnEEWE5X4IsC/kfvvwGAAD//wMAUEsBAi0AFAAGAAgAAAAhALaDOJL+AAAA4QEAABMAAAAA&#10;AAAAAAAAAAAAAAAAAFtDb250ZW50X1R5cGVzXS54bWxQSwECLQAUAAYACAAAACEAOP0h/9YAAACU&#10;AQAACwAAAAAAAAAAAAAAAAAvAQAAX3JlbHMvLnJlbHNQSwECLQAUAAYACAAAACEA/i0aTA0CAAAd&#10;BAAADgAAAAAAAAAAAAAAAAAuAgAAZHJzL2Uyb0RvYy54bWxQSwECLQAUAAYACAAAACEAn5sn6NwA&#10;AAAEAQAADwAAAAAAAAAAAAAAAABnBAAAZHJzL2Rvd25yZXYueG1sUEsFBgAAAAAEAAQA8wAAAHAF&#10;AAAAAA==&#10;" filled="f" stroked="f">
              <v:textbox style="mso-fit-shape-to-text:t" inset="0,0,0,15pt">
                <w:txbxContent>
                  <w:p w14:paraId="54DBE2C8" w14:textId="1297FC62" w:rsidR="00D608D2" w:rsidRPr="00D608D2" w:rsidRDefault="00D608D2" w:rsidP="00D608D2">
                    <w:pPr>
                      <w:spacing w:after="0"/>
                      <w:rPr>
                        <w:rFonts w:eastAsia="Calibri"/>
                        <w:noProof/>
                        <w:color w:val="000000"/>
                      </w:rPr>
                    </w:pPr>
                    <w:r w:rsidRPr="00D608D2">
                      <w:rPr>
                        <w:rFonts w:eastAsia="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3A13" w14:textId="77777777" w:rsidR="00080D39" w:rsidRDefault="00080D39" w:rsidP="00D608D2">
      <w:r>
        <w:separator/>
      </w:r>
    </w:p>
  </w:footnote>
  <w:footnote w:type="continuationSeparator" w:id="0">
    <w:p w14:paraId="715665DD" w14:textId="77777777" w:rsidR="00080D39" w:rsidRDefault="00080D39" w:rsidP="00D60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17EE" w14:textId="13A95292" w:rsidR="00A102B7" w:rsidRPr="00C71ED0" w:rsidRDefault="00C71ED0" w:rsidP="00D608D2">
    <w:r w:rsidRPr="00C71ED0">
      <w:t xml:space="preserve">ADCET </w:t>
    </w:r>
    <w:r w:rsidR="00DC5D83" w:rsidRPr="00C71ED0">
      <w:t>Submission: Higher Education Standards Framework (Threshold Standards) Consultation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99C"/>
    <w:multiLevelType w:val="hybridMultilevel"/>
    <w:tmpl w:val="4B4AC66A"/>
    <w:lvl w:ilvl="0" w:tplc="52B42DD2">
      <w:start w:val="1"/>
      <w:numFmt w:val="bullet"/>
      <w:pStyle w:val="ListParagraph"/>
      <w:lvlText w:val="•"/>
      <w:lvlJc w:val="left"/>
      <w:pPr>
        <w:ind w:left="720" w:hanging="360"/>
      </w:pPr>
    </w:lvl>
    <w:lvl w:ilvl="1" w:tplc="87C2A612">
      <w:numFmt w:val="decimal"/>
      <w:lvlText w:val=""/>
      <w:lvlJc w:val="left"/>
    </w:lvl>
    <w:lvl w:ilvl="2" w:tplc="8F6C84EA">
      <w:numFmt w:val="decimal"/>
      <w:lvlText w:val=""/>
      <w:lvlJc w:val="left"/>
    </w:lvl>
    <w:lvl w:ilvl="3" w:tplc="7680A24C">
      <w:numFmt w:val="decimal"/>
      <w:lvlText w:val=""/>
      <w:lvlJc w:val="left"/>
    </w:lvl>
    <w:lvl w:ilvl="4" w:tplc="EC0C2CDE">
      <w:numFmt w:val="decimal"/>
      <w:lvlText w:val=""/>
      <w:lvlJc w:val="left"/>
    </w:lvl>
    <w:lvl w:ilvl="5" w:tplc="9CFAA4AA">
      <w:numFmt w:val="decimal"/>
      <w:lvlText w:val=""/>
      <w:lvlJc w:val="left"/>
    </w:lvl>
    <w:lvl w:ilvl="6" w:tplc="994EDE7A">
      <w:numFmt w:val="decimal"/>
      <w:lvlText w:val=""/>
      <w:lvlJc w:val="left"/>
    </w:lvl>
    <w:lvl w:ilvl="7" w:tplc="91ACD6A8">
      <w:numFmt w:val="decimal"/>
      <w:lvlText w:val=""/>
      <w:lvlJc w:val="left"/>
    </w:lvl>
    <w:lvl w:ilvl="8" w:tplc="8362AD76">
      <w:numFmt w:val="decimal"/>
      <w:lvlText w:val=""/>
      <w:lvlJc w:val="left"/>
    </w:lvl>
  </w:abstractNum>
  <w:abstractNum w:abstractNumId="1" w15:restartNumberingAfterBreak="0">
    <w:nsid w:val="27EE00EC"/>
    <w:multiLevelType w:val="hybridMultilevel"/>
    <w:tmpl w:val="32926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6C0675"/>
    <w:multiLevelType w:val="hybridMultilevel"/>
    <w:tmpl w:val="1A385534"/>
    <w:lvl w:ilvl="0" w:tplc="0EFC2E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425FB"/>
    <w:multiLevelType w:val="hybridMultilevel"/>
    <w:tmpl w:val="872627F4"/>
    <w:lvl w:ilvl="0" w:tplc="40FECF02">
      <w:start w:val="1"/>
      <w:numFmt w:val="bullet"/>
      <w:lvlText w:val="●"/>
      <w:lvlJc w:val="left"/>
      <w:pPr>
        <w:ind w:left="720" w:hanging="360"/>
      </w:pPr>
    </w:lvl>
    <w:lvl w:ilvl="1" w:tplc="1460F2A4">
      <w:start w:val="1"/>
      <w:numFmt w:val="bullet"/>
      <w:lvlText w:val="○"/>
      <w:lvlJc w:val="left"/>
      <w:pPr>
        <w:ind w:left="1440" w:hanging="360"/>
      </w:pPr>
    </w:lvl>
    <w:lvl w:ilvl="2" w:tplc="30BC0B24">
      <w:start w:val="1"/>
      <w:numFmt w:val="bullet"/>
      <w:lvlText w:val="■"/>
      <w:lvlJc w:val="left"/>
      <w:pPr>
        <w:ind w:left="2160" w:hanging="360"/>
      </w:pPr>
    </w:lvl>
    <w:lvl w:ilvl="3" w:tplc="C6A42794">
      <w:start w:val="1"/>
      <w:numFmt w:val="bullet"/>
      <w:lvlText w:val="●"/>
      <w:lvlJc w:val="left"/>
      <w:pPr>
        <w:ind w:left="2880" w:hanging="360"/>
      </w:pPr>
    </w:lvl>
    <w:lvl w:ilvl="4" w:tplc="CEA2B2A6">
      <w:start w:val="1"/>
      <w:numFmt w:val="bullet"/>
      <w:lvlText w:val="○"/>
      <w:lvlJc w:val="left"/>
      <w:pPr>
        <w:ind w:left="3600" w:hanging="360"/>
      </w:pPr>
    </w:lvl>
    <w:lvl w:ilvl="5" w:tplc="0DFE1E20">
      <w:start w:val="1"/>
      <w:numFmt w:val="bullet"/>
      <w:lvlText w:val="■"/>
      <w:lvlJc w:val="left"/>
      <w:pPr>
        <w:ind w:left="4320" w:hanging="360"/>
      </w:pPr>
    </w:lvl>
    <w:lvl w:ilvl="6" w:tplc="2F949B9A">
      <w:start w:val="1"/>
      <w:numFmt w:val="bullet"/>
      <w:lvlText w:val="●"/>
      <w:lvlJc w:val="left"/>
      <w:pPr>
        <w:ind w:left="5040" w:hanging="360"/>
      </w:pPr>
    </w:lvl>
    <w:lvl w:ilvl="7" w:tplc="06F2BC02">
      <w:start w:val="1"/>
      <w:numFmt w:val="bullet"/>
      <w:lvlText w:val="●"/>
      <w:lvlJc w:val="left"/>
      <w:pPr>
        <w:ind w:left="5760" w:hanging="360"/>
      </w:pPr>
    </w:lvl>
    <w:lvl w:ilvl="8" w:tplc="18A0189C">
      <w:start w:val="1"/>
      <w:numFmt w:val="bullet"/>
      <w:lvlText w:val="●"/>
      <w:lvlJc w:val="left"/>
      <w:pPr>
        <w:ind w:left="6480" w:hanging="360"/>
      </w:pPr>
    </w:lvl>
  </w:abstractNum>
  <w:abstractNum w:abstractNumId="4" w15:restartNumberingAfterBreak="0">
    <w:nsid w:val="676547F3"/>
    <w:multiLevelType w:val="hybridMultilevel"/>
    <w:tmpl w:val="D6203748"/>
    <w:lvl w:ilvl="0" w:tplc="1EA8855E">
      <w:start w:val="1"/>
      <w:numFmt w:val="bullet"/>
      <w:lvlText w:val="•"/>
      <w:lvlJc w:val="left"/>
      <w:pPr>
        <w:ind w:left="720" w:hanging="360"/>
      </w:pPr>
    </w:lvl>
    <w:lvl w:ilvl="1" w:tplc="D88C1A80">
      <w:numFmt w:val="decimal"/>
      <w:lvlText w:val=""/>
      <w:lvlJc w:val="left"/>
    </w:lvl>
    <w:lvl w:ilvl="2" w:tplc="FD484772">
      <w:numFmt w:val="decimal"/>
      <w:lvlText w:val=""/>
      <w:lvlJc w:val="left"/>
    </w:lvl>
    <w:lvl w:ilvl="3" w:tplc="43DE2792">
      <w:numFmt w:val="decimal"/>
      <w:lvlText w:val=""/>
      <w:lvlJc w:val="left"/>
    </w:lvl>
    <w:lvl w:ilvl="4" w:tplc="57943456">
      <w:numFmt w:val="decimal"/>
      <w:lvlText w:val=""/>
      <w:lvlJc w:val="left"/>
    </w:lvl>
    <w:lvl w:ilvl="5" w:tplc="4C4675EA">
      <w:numFmt w:val="decimal"/>
      <w:lvlText w:val=""/>
      <w:lvlJc w:val="left"/>
    </w:lvl>
    <w:lvl w:ilvl="6" w:tplc="EFE6CF7E">
      <w:numFmt w:val="decimal"/>
      <w:lvlText w:val=""/>
      <w:lvlJc w:val="left"/>
    </w:lvl>
    <w:lvl w:ilvl="7" w:tplc="C53E954A">
      <w:numFmt w:val="decimal"/>
      <w:lvlText w:val=""/>
      <w:lvlJc w:val="left"/>
    </w:lvl>
    <w:lvl w:ilvl="8" w:tplc="D854C2EC">
      <w:numFmt w:val="decimal"/>
      <w:lvlText w:val=""/>
      <w:lvlJc w:val="left"/>
    </w:lvl>
  </w:abstractNum>
  <w:num w:numId="1" w16cid:durableId="35207843">
    <w:abstractNumId w:val="3"/>
    <w:lvlOverride w:ilvl="0">
      <w:startOverride w:val="1"/>
    </w:lvlOverride>
  </w:num>
  <w:num w:numId="2" w16cid:durableId="386993175">
    <w:abstractNumId w:val="0"/>
    <w:lvlOverride w:ilvl="0">
      <w:startOverride w:val="1"/>
    </w:lvlOverride>
  </w:num>
  <w:num w:numId="3" w16cid:durableId="1053310710">
    <w:abstractNumId w:val="1"/>
  </w:num>
  <w:num w:numId="4" w16cid:durableId="1250501872">
    <w:abstractNumId w:val="2"/>
  </w:num>
  <w:num w:numId="5" w16cid:durableId="19374410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B7"/>
    <w:rsid w:val="000076F5"/>
    <w:rsid w:val="00012EDE"/>
    <w:rsid w:val="00025985"/>
    <w:rsid w:val="000271E3"/>
    <w:rsid w:val="0003023C"/>
    <w:rsid w:val="000341DF"/>
    <w:rsid w:val="000540FC"/>
    <w:rsid w:val="00056CE4"/>
    <w:rsid w:val="0006384C"/>
    <w:rsid w:val="00072EF4"/>
    <w:rsid w:val="00080D39"/>
    <w:rsid w:val="000869BD"/>
    <w:rsid w:val="000917EA"/>
    <w:rsid w:val="000A2D7B"/>
    <w:rsid w:val="000B1A00"/>
    <w:rsid w:val="001138FC"/>
    <w:rsid w:val="00146991"/>
    <w:rsid w:val="0017296D"/>
    <w:rsid w:val="00192322"/>
    <w:rsid w:val="001B0AA4"/>
    <w:rsid w:val="001B4286"/>
    <w:rsid w:val="001B59FA"/>
    <w:rsid w:val="001C0637"/>
    <w:rsid w:val="001C391D"/>
    <w:rsid w:val="001D2587"/>
    <w:rsid w:val="001D7704"/>
    <w:rsid w:val="001E797A"/>
    <w:rsid w:val="00205A45"/>
    <w:rsid w:val="0023363B"/>
    <w:rsid w:val="00240275"/>
    <w:rsid w:val="00247D17"/>
    <w:rsid w:val="0025594E"/>
    <w:rsid w:val="00262806"/>
    <w:rsid w:val="00271026"/>
    <w:rsid w:val="0029142C"/>
    <w:rsid w:val="002A33E1"/>
    <w:rsid w:val="002C3BC3"/>
    <w:rsid w:val="002C5B67"/>
    <w:rsid w:val="0030589B"/>
    <w:rsid w:val="00317BE3"/>
    <w:rsid w:val="00335B09"/>
    <w:rsid w:val="003367F9"/>
    <w:rsid w:val="003615A0"/>
    <w:rsid w:val="003B6530"/>
    <w:rsid w:val="003E08CF"/>
    <w:rsid w:val="003E6132"/>
    <w:rsid w:val="004040B6"/>
    <w:rsid w:val="004165A1"/>
    <w:rsid w:val="00434B27"/>
    <w:rsid w:val="00440517"/>
    <w:rsid w:val="004409F7"/>
    <w:rsid w:val="00477A46"/>
    <w:rsid w:val="004819BB"/>
    <w:rsid w:val="00483576"/>
    <w:rsid w:val="00483ED2"/>
    <w:rsid w:val="004C1CEE"/>
    <w:rsid w:val="004C2890"/>
    <w:rsid w:val="004D77A2"/>
    <w:rsid w:val="004E368C"/>
    <w:rsid w:val="004F7062"/>
    <w:rsid w:val="0050673B"/>
    <w:rsid w:val="00511536"/>
    <w:rsid w:val="00513D9D"/>
    <w:rsid w:val="00522485"/>
    <w:rsid w:val="0052585D"/>
    <w:rsid w:val="00536710"/>
    <w:rsid w:val="00537183"/>
    <w:rsid w:val="00540D50"/>
    <w:rsid w:val="005964CD"/>
    <w:rsid w:val="005A6D22"/>
    <w:rsid w:val="0062469D"/>
    <w:rsid w:val="0065074E"/>
    <w:rsid w:val="00670A8F"/>
    <w:rsid w:val="00673CE9"/>
    <w:rsid w:val="00673D7B"/>
    <w:rsid w:val="006829CC"/>
    <w:rsid w:val="00684DA9"/>
    <w:rsid w:val="00690682"/>
    <w:rsid w:val="00690B81"/>
    <w:rsid w:val="006B749A"/>
    <w:rsid w:val="00702B88"/>
    <w:rsid w:val="00714C5A"/>
    <w:rsid w:val="00734911"/>
    <w:rsid w:val="00776216"/>
    <w:rsid w:val="00776F70"/>
    <w:rsid w:val="007854F7"/>
    <w:rsid w:val="007912C1"/>
    <w:rsid w:val="007A27E1"/>
    <w:rsid w:val="007D3358"/>
    <w:rsid w:val="007E2000"/>
    <w:rsid w:val="00800E2C"/>
    <w:rsid w:val="00810548"/>
    <w:rsid w:val="008516B3"/>
    <w:rsid w:val="00853CC4"/>
    <w:rsid w:val="00856E55"/>
    <w:rsid w:val="00875906"/>
    <w:rsid w:val="008856E9"/>
    <w:rsid w:val="008A6A2A"/>
    <w:rsid w:val="008D4A36"/>
    <w:rsid w:val="008E3CD6"/>
    <w:rsid w:val="008F7084"/>
    <w:rsid w:val="0096496C"/>
    <w:rsid w:val="009A2083"/>
    <w:rsid w:val="009B722C"/>
    <w:rsid w:val="009C1B49"/>
    <w:rsid w:val="009C26CD"/>
    <w:rsid w:val="009C6B2B"/>
    <w:rsid w:val="009D6015"/>
    <w:rsid w:val="00A03FDC"/>
    <w:rsid w:val="00A102B7"/>
    <w:rsid w:val="00A14BE1"/>
    <w:rsid w:val="00A1773F"/>
    <w:rsid w:val="00A35848"/>
    <w:rsid w:val="00A400B4"/>
    <w:rsid w:val="00A43EA2"/>
    <w:rsid w:val="00A4646A"/>
    <w:rsid w:val="00A61D64"/>
    <w:rsid w:val="00A76125"/>
    <w:rsid w:val="00A82D0C"/>
    <w:rsid w:val="00A920F0"/>
    <w:rsid w:val="00AB74E3"/>
    <w:rsid w:val="00AC2501"/>
    <w:rsid w:val="00B35502"/>
    <w:rsid w:val="00B42742"/>
    <w:rsid w:val="00B42ECC"/>
    <w:rsid w:val="00B43604"/>
    <w:rsid w:val="00B71FC0"/>
    <w:rsid w:val="00B868AE"/>
    <w:rsid w:val="00B872E6"/>
    <w:rsid w:val="00B9067C"/>
    <w:rsid w:val="00BA197D"/>
    <w:rsid w:val="00BB22AE"/>
    <w:rsid w:val="00BB46B2"/>
    <w:rsid w:val="00C07315"/>
    <w:rsid w:val="00C12292"/>
    <w:rsid w:val="00C22100"/>
    <w:rsid w:val="00C369CA"/>
    <w:rsid w:val="00C52009"/>
    <w:rsid w:val="00C575C3"/>
    <w:rsid w:val="00C71ED0"/>
    <w:rsid w:val="00C77D88"/>
    <w:rsid w:val="00C851C2"/>
    <w:rsid w:val="00C87D93"/>
    <w:rsid w:val="00CA121E"/>
    <w:rsid w:val="00CA7B4A"/>
    <w:rsid w:val="00CD096B"/>
    <w:rsid w:val="00CD38F1"/>
    <w:rsid w:val="00D55A0D"/>
    <w:rsid w:val="00D608D2"/>
    <w:rsid w:val="00D65A0B"/>
    <w:rsid w:val="00D67F30"/>
    <w:rsid w:val="00D96CAA"/>
    <w:rsid w:val="00DB434F"/>
    <w:rsid w:val="00DB4DD0"/>
    <w:rsid w:val="00DB5E06"/>
    <w:rsid w:val="00DB6461"/>
    <w:rsid w:val="00DC2306"/>
    <w:rsid w:val="00DC5D83"/>
    <w:rsid w:val="00DE681D"/>
    <w:rsid w:val="00E0487D"/>
    <w:rsid w:val="00E3017C"/>
    <w:rsid w:val="00E51127"/>
    <w:rsid w:val="00E71801"/>
    <w:rsid w:val="00E72A26"/>
    <w:rsid w:val="00EA211B"/>
    <w:rsid w:val="00EA4A1E"/>
    <w:rsid w:val="00EB4106"/>
    <w:rsid w:val="00F03B97"/>
    <w:rsid w:val="00F33EA1"/>
    <w:rsid w:val="00F55C9E"/>
    <w:rsid w:val="00F612E5"/>
    <w:rsid w:val="00FC66B4"/>
    <w:rsid w:val="00FD1495"/>
    <w:rsid w:val="00FD7156"/>
    <w:rsid w:val="00FF0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E0B63"/>
  <w15:docId w15:val="{AEEA39B0-3F0D-4D3C-9284-39095370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04040"/>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8D2"/>
    <w:pPr>
      <w:spacing w:before="80" w:after="160" w:line="276" w:lineRule="auto"/>
    </w:pPr>
    <w:rPr>
      <w:rFonts w:ascii="Calibri" w:hAnsi="Calibri" w:cs="Calibri"/>
      <w:sz w:val="24"/>
      <w:szCs w:val="24"/>
    </w:rPr>
  </w:style>
  <w:style w:type="paragraph" w:styleId="Heading1">
    <w:name w:val="heading 1"/>
    <w:uiPriority w:val="9"/>
    <w:qFormat/>
    <w:rsid w:val="00CA7B4A"/>
    <w:pPr>
      <w:spacing w:before="400" w:after="160"/>
      <w:outlineLvl w:val="0"/>
    </w:pPr>
    <w:rPr>
      <w:rFonts w:ascii="Calibri" w:hAnsi="Calibri" w:cs="Calibri"/>
      <w:b/>
      <w:bCs/>
      <w:color w:val="1F5C99"/>
      <w:sz w:val="44"/>
      <w:szCs w:val="44"/>
    </w:rPr>
  </w:style>
  <w:style w:type="paragraph" w:styleId="Heading2">
    <w:name w:val="heading 2"/>
    <w:uiPriority w:val="9"/>
    <w:unhideWhenUsed/>
    <w:qFormat/>
    <w:rsid w:val="00513D9D"/>
    <w:pPr>
      <w:spacing w:before="280" w:after="120"/>
      <w:outlineLvl w:val="1"/>
    </w:pPr>
    <w:rPr>
      <w:rFonts w:ascii="Calibri" w:hAnsi="Calibri" w:cs="Calibri"/>
      <w:b/>
      <w:bCs/>
      <w:color w:val="215E99" w:themeColor="text2" w:themeTint="BF"/>
      <w:sz w:val="36"/>
      <w:szCs w:val="3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rsid w:val="00D608D2"/>
    <w:pPr>
      <w:numPr>
        <w:numId w:val="2"/>
      </w:numPr>
      <w:spacing w:after="120" w:line="276" w:lineRule="auto"/>
      <w:ind w:left="714" w:hanging="357"/>
    </w:pPr>
    <w:rPr>
      <w:rFonts w:ascii="Calibri" w:hAnsi="Calibri" w:cs="Calibri"/>
      <w:sz w:val="24"/>
      <w:szCs w:val="24"/>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ED0"/>
    <w:pPr>
      <w:tabs>
        <w:tab w:val="center" w:pos="4513"/>
        <w:tab w:val="right" w:pos="9026"/>
      </w:tabs>
      <w:spacing w:before="0" w:after="0"/>
    </w:pPr>
  </w:style>
  <w:style w:type="character" w:customStyle="1" w:styleId="HeaderChar">
    <w:name w:val="Header Char"/>
    <w:basedOn w:val="DefaultParagraphFont"/>
    <w:link w:val="Header"/>
    <w:uiPriority w:val="99"/>
    <w:rsid w:val="00C71ED0"/>
    <w:rPr>
      <w:rFonts w:ascii="Calibri" w:hAnsi="Calibri" w:cs="Calibri"/>
      <w:sz w:val="24"/>
      <w:szCs w:val="24"/>
    </w:rPr>
  </w:style>
  <w:style w:type="paragraph" w:styleId="Footer">
    <w:name w:val="footer"/>
    <w:basedOn w:val="Normal"/>
    <w:link w:val="FooterChar"/>
    <w:uiPriority w:val="99"/>
    <w:unhideWhenUsed/>
    <w:rsid w:val="00C71ED0"/>
    <w:pPr>
      <w:tabs>
        <w:tab w:val="center" w:pos="4513"/>
        <w:tab w:val="right" w:pos="9026"/>
      </w:tabs>
      <w:spacing w:before="0" w:after="0"/>
    </w:pPr>
  </w:style>
  <w:style w:type="character" w:customStyle="1" w:styleId="FooterChar">
    <w:name w:val="Footer Char"/>
    <w:basedOn w:val="DefaultParagraphFont"/>
    <w:link w:val="Footer"/>
    <w:uiPriority w:val="99"/>
    <w:rsid w:val="00C71ED0"/>
    <w:rPr>
      <w:rFonts w:ascii="Calibri" w:hAnsi="Calibri" w:cs="Calibri"/>
      <w:sz w:val="24"/>
      <w:szCs w:val="24"/>
    </w:rPr>
  </w:style>
  <w:style w:type="paragraph" w:styleId="Revision">
    <w:name w:val="Revision"/>
    <w:hidden/>
    <w:uiPriority w:val="99"/>
    <w:semiHidden/>
    <w:rsid w:val="001C391D"/>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CAC68D15-5842-4B19-AEC4-12CAF8701E22}"/>
</file>

<file path=customXml/itemProps2.xml><?xml version="1.0" encoding="utf-8"?>
<ds:datastoreItem xmlns:ds="http://schemas.openxmlformats.org/officeDocument/2006/customXml" ds:itemID="{465180F8-7030-45F6-A74E-1C1E8E2F8D1B}"/>
</file>

<file path=customXml/itemProps3.xml><?xml version="1.0" encoding="utf-8"?>
<ds:datastoreItem xmlns:ds="http://schemas.openxmlformats.org/officeDocument/2006/customXml" ds:itemID="{3ACBA3CB-0DD6-4F5E-9CAE-95262941324A}"/>
</file>

<file path=docProps/app.xml><?xml version="1.0" encoding="utf-8"?>
<Properties xmlns="http://schemas.openxmlformats.org/officeDocument/2006/extended-properties" xmlns:vt="http://schemas.openxmlformats.org/officeDocument/2006/docPropsVTypes">
  <Template>Normal.dotm</Template>
  <TotalTime>1</TotalTime>
  <Pages>11</Pages>
  <Words>3255</Words>
  <Characters>21509</Characters>
  <Application>Microsoft Office Word</Application>
  <DocSecurity>0</DocSecurity>
  <Lines>362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LEI, Melissa</cp:lastModifiedBy>
  <cp:revision>4</cp:revision>
  <dcterms:created xsi:type="dcterms:W3CDTF">2026-04-16T08:26:00Z</dcterms:created>
  <dcterms:modified xsi:type="dcterms:W3CDTF">2026-04-16T08:26:00Z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6dc2ca0b,dae16df,18dd84a6</vt:lpwstr>
  </property>
  <property fmtid="{D5CDD505-2E9C-101B-9397-08002B2CF9AE}" pid="3" name="ClassificationContentMarkingFooterFontProps">
    <vt:lpwstr>#000000,12,Calibri</vt:lpwstr>
  </property>
  <property fmtid="{D5CDD505-2E9C-101B-9397-08002B2CF9AE}" pid="4" name="ClassificationContentMarkingFooterText">
    <vt:lpwstr>ECU Internal Information</vt:lpwstr>
  </property>
  <property fmtid="{D5CDD505-2E9C-101B-9397-08002B2CF9AE}" pid="5" name="MSIP_Label_03081eab-cc3f-49a2-9582-7dfc12a01625_Enabled">
    <vt:lpwstr>true</vt:lpwstr>
  </property>
  <property fmtid="{D5CDD505-2E9C-101B-9397-08002B2CF9AE}" pid="6" name="MSIP_Label_03081eab-cc3f-49a2-9582-7dfc12a01625_SetDate">
    <vt:lpwstr>2026-03-14T04:08:15Z</vt:lpwstr>
  </property>
  <property fmtid="{D5CDD505-2E9C-101B-9397-08002B2CF9AE}" pid="7" name="MSIP_Label_03081eab-cc3f-49a2-9582-7dfc12a01625_Method">
    <vt:lpwstr>Standard</vt:lpwstr>
  </property>
  <property fmtid="{D5CDD505-2E9C-101B-9397-08002B2CF9AE}" pid="8" name="MSIP_Label_03081eab-cc3f-49a2-9582-7dfc12a01625_Name">
    <vt:lpwstr>Internal</vt:lpwstr>
  </property>
  <property fmtid="{D5CDD505-2E9C-101B-9397-08002B2CF9AE}" pid="9" name="MSIP_Label_03081eab-cc3f-49a2-9582-7dfc12a01625_SiteId">
    <vt:lpwstr>9bcb323d-7fa3-45e7-a36f-6d9cfdbcc272</vt:lpwstr>
  </property>
  <property fmtid="{D5CDD505-2E9C-101B-9397-08002B2CF9AE}" pid="10" name="MSIP_Label_03081eab-cc3f-49a2-9582-7dfc12a01625_ActionId">
    <vt:lpwstr>262b72ae-4482-49ba-ac8b-d1a873c4c340</vt:lpwstr>
  </property>
  <property fmtid="{D5CDD505-2E9C-101B-9397-08002B2CF9AE}" pid="11" name="MSIP_Label_03081eab-cc3f-49a2-9582-7dfc12a01625_ContentBits">
    <vt:lpwstr>2</vt:lpwstr>
  </property>
  <property fmtid="{D5CDD505-2E9C-101B-9397-08002B2CF9AE}" pid="12" name="MSIP_Label_03081eab-cc3f-49a2-9582-7dfc12a01625_Tag">
    <vt:lpwstr>10, 3, 0, 1</vt:lpwstr>
  </property>
  <property fmtid="{D5CDD505-2E9C-101B-9397-08002B2CF9AE}" pid="13" name="MSIP_Label_79d889eb-932f-4752-8739-64d25806ef64_Enabled">
    <vt:lpwstr>true</vt:lpwstr>
  </property>
  <property fmtid="{D5CDD505-2E9C-101B-9397-08002B2CF9AE}" pid="14" name="MSIP_Label_79d889eb-932f-4752-8739-64d25806ef64_SetDate">
    <vt:lpwstr>2026-04-16T08:26:20Z</vt:lpwstr>
  </property>
  <property fmtid="{D5CDD505-2E9C-101B-9397-08002B2CF9AE}" pid="15" name="MSIP_Label_79d889eb-932f-4752-8739-64d25806ef64_Method">
    <vt:lpwstr>Privileged</vt:lpwstr>
  </property>
  <property fmtid="{D5CDD505-2E9C-101B-9397-08002B2CF9AE}" pid="16" name="MSIP_Label_79d889eb-932f-4752-8739-64d25806ef64_Name">
    <vt:lpwstr>79d889eb-932f-4752-8739-64d25806ef64</vt:lpwstr>
  </property>
  <property fmtid="{D5CDD505-2E9C-101B-9397-08002B2CF9AE}" pid="17" name="MSIP_Label_79d889eb-932f-4752-8739-64d25806ef64_SiteId">
    <vt:lpwstr>dd0cfd15-4558-4b12-8bad-ea26984fc417</vt:lpwstr>
  </property>
  <property fmtid="{D5CDD505-2E9C-101B-9397-08002B2CF9AE}" pid="18" name="MSIP_Label_79d889eb-932f-4752-8739-64d25806ef64_ActionId">
    <vt:lpwstr>00beae00-44b1-45a2-a842-f74171987156</vt:lpwstr>
  </property>
  <property fmtid="{D5CDD505-2E9C-101B-9397-08002B2CF9AE}" pid="19" name="MSIP_Label_79d889eb-932f-4752-8739-64d25806ef64_ContentBits">
    <vt:lpwstr>0</vt:lpwstr>
  </property>
  <property fmtid="{D5CDD505-2E9C-101B-9397-08002B2CF9AE}" pid="20" name="MSIP_Label_79d889eb-932f-4752-8739-64d25806ef64_Tag">
    <vt:lpwstr>10, 0, 1, 1</vt:lpwstr>
  </property>
  <property fmtid="{D5CDD505-2E9C-101B-9397-08002B2CF9AE}" pid="21" name="ContentTypeId">
    <vt:lpwstr>0x010100E098083483EAF54BBE19C56BE4F7D597</vt:lpwstr>
  </property>
</Properties>
</file>