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E8B5" w14:textId="77777777" w:rsidR="00557D56" w:rsidRDefault="00557D56" w:rsidP="00EB743E">
      <w:pPr>
        <w:pStyle w:val="Heading1"/>
        <w:spacing w:before="120" w:after="120" w:line="240" w:lineRule="auto"/>
      </w:pPr>
      <w:bookmarkStart w:id="0" w:name="_Toc200484938"/>
      <w:r w:rsidRPr="00557D56">
        <w:t>UDL 3.0 in Action: Reducing Stress and Enhancing Inclusion for Students in Higher Education</w:t>
      </w:r>
      <w:bookmarkEnd w:id="0"/>
      <w:r w:rsidRPr="00557D56">
        <w:t xml:space="preserve"> </w:t>
      </w:r>
    </w:p>
    <w:p w14:paraId="686168BD" w14:textId="0F6340B4" w:rsidR="00557D56" w:rsidRPr="00557D56" w:rsidRDefault="00557D56" w:rsidP="00EB743E">
      <w:pPr>
        <w:spacing w:after="120" w:line="240" w:lineRule="auto"/>
      </w:pPr>
      <w:r w:rsidRPr="00557D56">
        <w:t>Elizabeth Hitches, Stuart Woodcock, Melissa Johnstone &amp; Dean Dudley</w:t>
      </w:r>
    </w:p>
    <w:p w14:paraId="70D2DD64" w14:textId="77777777" w:rsidR="00557D56" w:rsidRDefault="00557D56" w:rsidP="00EB743E">
      <w:pPr>
        <w:pStyle w:val="Heading2"/>
      </w:pPr>
      <w:bookmarkStart w:id="1" w:name="_Toc200484939"/>
      <w:r w:rsidRPr="00EB743E">
        <w:t>Acknowledgement</w:t>
      </w:r>
      <w:r w:rsidRPr="00557D56">
        <w:t xml:space="preserve"> of Country</w:t>
      </w:r>
      <w:bookmarkEnd w:id="1"/>
      <w:r w:rsidRPr="00557D56">
        <w:t xml:space="preserve"> </w:t>
      </w:r>
    </w:p>
    <w:p w14:paraId="1165E48C" w14:textId="605FE859" w:rsidR="00557D56" w:rsidRPr="00557D56" w:rsidRDefault="00557D56" w:rsidP="007F5A51">
      <w:r w:rsidRPr="00557D56">
        <w:t>I acknowledge the Traditional Custodians of the lands on which we join from today and recognize their valuable contributions to Australian and global society. I pay my respects to their Elders, Ancestors and their descendants, who continue cultural and spiritual connections to Country. I acknowledge Aboriginal and Torres Strait Islander people participating in this event.</w:t>
      </w:r>
    </w:p>
    <w:sdt>
      <w:sdtPr>
        <w:rPr>
          <w:rFonts w:asciiTheme="minorHAnsi" w:eastAsiaTheme="minorHAnsi" w:hAnsiTheme="minorHAnsi" w:cstheme="minorBidi"/>
          <w:color w:val="auto"/>
          <w:kern w:val="2"/>
          <w:sz w:val="24"/>
          <w:szCs w:val="22"/>
          <w:lang w:val="en-AU"/>
          <w14:ligatures w14:val="standardContextual"/>
        </w:rPr>
        <w:id w:val="393010157"/>
        <w:docPartObj>
          <w:docPartGallery w:val="Table of Contents"/>
          <w:docPartUnique/>
        </w:docPartObj>
      </w:sdtPr>
      <w:sdtEndPr>
        <w:rPr>
          <w:b/>
          <w:bCs/>
          <w:noProof/>
        </w:rPr>
      </w:sdtEndPr>
      <w:sdtContent>
        <w:p w14:paraId="6F943CB9" w14:textId="28680B74" w:rsidR="007F5A51" w:rsidRDefault="007F5A51">
          <w:pPr>
            <w:pStyle w:val="TOCHeading"/>
          </w:pPr>
          <w:r>
            <w:t>Contents</w:t>
          </w:r>
        </w:p>
        <w:p w14:paraId="738A5EE3" w14:textId="38E98E3D" w:rsidR="007F5A51" w:rsidRPr="007F5A51" w:rsidRDefault="007F5A51" w:rsidP="007F5A51">
          <w:pPr>
            <w:pStyle w:val="TOC1"/>
            <w:tabs>
              <w:tab w:val="right" w:leader="underscore" w:pos="9016"/>
            </w:tabs>
            <w:rPr>
              <w:rFonts w:eastAsiaTheme="minorEastAsia"/>
              <w:b w:val="0"/>
              <w:bCs w:val="0"/>
              <w:noProof/>
              <w:lang w:eastAsia="en-AU"/>
            </w:rPr>
          </w:pPr>
          <w:r w:rsidRPr="007F5A51">
            <w:rPr>
              <w:b w:val="0"/>
              <w:bCs w:val="0"/>
              <w:i w:val="0"/>
              <w:iCs w:val="0"/>
            </w:rPr>
            <w:fldChar w:fldCharType="begin"/>
          </w:r>
          <w:r w:rsidRPr="007F5A51">
            <w:rPr>
              <w:b w:val="0"/>
              <w:bCs w:val="0"/>
              <w:i w:val="0"/>
              <w:iCs w:val="0"/>
            </w:rPr>
            <w:instrText xml:space="preserve"> TOC \o "1-3" \h \z \u </w:instrText>
          </w:r>
          <w:r w:rsidRPr="007F5A51">
            <w:rPr>
              <w:b w:val="0"/>
              <w:bCs w:val="0"/>
              <w:i w:val="0"/>
              <w:iCs w:val="0"/>
            </w:rPr>
            <w:fldChar w:fldCharType="separate"/>
          </w:r>
          <w:hyperlink w:anchor="_Toc200484941" w:history="1">
            <w:r w:rsidRPr="007F5A51">
              <w:rPr>
                <w:rStyle w:val="Hyperlink"/>
                <w:noProof/>
              </w:rPr>
              <w:t>Students’ Academic Stress</w:t>
            </w:r>
            <w:r w:rsidRPr="007F5A51">
              <w:rPr>
                <w:noProof/>
                <w:webHidden/>
              </w:rPr>
              <w:tab/>
            </w:r>
            <w:r w:rsidRPr="007F5A51">
              <w:rPr>
                <w:noProof/>
                <w:webHidden/>
              </w:rPr>
              <w:fldChar w:fldCharType="begin"/>
            </w:r>
            <w:r w:rsidRPr="007F5A51">
              <w:rPr>
                <w:noProof/>
                <w:webHidden/>
              </w:rPr>
              <w:instrText xml:space="preserve"> PAGEREF _Toc200484941 \h </w:instrText>
            </w:r>
            <w:r w:rsidRPr="007F5A51">
              <w:rPr>
                <w:noProof/>
                <w:webHidden/>
              </w:rPr>
            </w:r>
            <w:r w:rsidRPr="007F5A51">
              <w:rPr>
                <w:noProof/>
                <w:webHidden/>
              </w:rPr>
              <w:fldChar w:fldCharType="separate"/>
            </w:r>
            <w:r>
              <w:rPr>
                <w:noProof/>
                <w:webHidden/>
              </w:rPr>
              <w:t>2</w:t>
            </w:r>
            <w:r w:rsidRPr="007F5A51">
              <w:rPr>
                <w:noProof/>
                <w:webHidden/>
              </w:rPr>
              <w:fldChar w:fldCharType="end"/>
            </w:r>
          </w:hyperlink>
        </w:p>
        <w:p w14:paraId="1E672174" w14:textId="44819AD8" w:rsidR="007F5A51" w:rsidRPr="007F5A51" w:rsidRDefault="007F5A51">
          <w:pPr>
            <w:pStyle w:val="TOC2"/>
            <w:tabs>
              <w:tab w:val="right" w:leader="underscore" w:pos="9016"/>
            </w:tabs>
            <w:rPr>
              <w:rFonts w:eastAsiaTheme="minorEastAsia"/>
              <w:b w:val="0"/>
              <w:bCs w:val="0"/>
              <w:noProof/>
              <w:sz w:val="24"/>
              <w:szCs w:val="24"/>
              <w:lang w:eastAsia="en-AU"/>
            </w:rPr>
          </w:pPr>
          <w:hyperlink w:anchor="_Toc200484942" w:history="1">
            <w:r w:rsidRPr="007F5A51">
              <w:rPr>
                <w:rStyle w:val="Hyperlink"/>
                <w:noProof/>
                <w:sz w:val="24"/>
                <w:szCs w:val="24"/>
              </w:rPr>
              <w:t>What’s the Challenge?</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_Toc200484942 \h </w:instrText>
            </w:r>
            <w:r w:rsidRPr="007F5A51">
              <w:rPr>
                <w:noProof/>
                <w:webHidden/>
                <w:sz w:val="24"/>
                <w:szCs w:val="24"/>
              </w:rPr>
            </w:r>
            <w:r w:rsidRPr="007F5A51">
              <w:rPr>
                <w:noProof/>
                <w:webHidden/>
                <w:sz w:val="24"/>
                <w:szCs w:val="24"/>
              </w:rPr>
              <w:fldChar w:fldCharType="separate"/>
            </w:r>
            <w:r>
              <w:rPr>
                <w:noProof/>
                <w:webHidden/>
                <w:sz w:val="24"/>
                <w:szCs w:val="24"/>
              </w:rPr>
              <w:t>2</w:t>
            </w:r>
            <w:r w:rsidRPr="007F5A51">
              <w:rPr>
                <w:noProof/>
                <w:webHidden/>
                <w:sz w:val="24"/>
                <w:szCs w:val="24"/>
              </w:rPr>
              <w:fldChar w:fldCharType="end"/>
            </w:r>
          </w:hyperlink>
        </w:p>
        <w:p w14:paraId="757B23B2" w14:textId="10F3573C" w:rsidR="007F5A51" w:rsidRPr="007F5A51" w:rsidRDefault="007F5A51">
          <w:pPr>
            <w:pStyle w:val="TOC3"/>
            <w:tabs>
              <w:tab w:val="right" w:leader="underscore" w:pos="9016"/>
            </w:tabs>
            <w:rPr>
              <w:rFonts w:eastAsiaTheme="minorEastAsia"/>
              <w:noProof/>
              <w:sz w:val="24"/>
              <w:szCs w:val="24"/>
              <w:lang w:eastAsia="en-AU"/>
            </w:rPr>
          </w:pPr>
          <w:hyperlink w:anchor="_Toc200484943" w:history="1">
            <w:r w:rsidRPr="007F5A51">
              <w:rPr>
                <w:rStyle w:val="Hyperlink"/>
                <w:noProof/>
                <w:sz w:val="24"/>
                <w:szCs w:val="24"/>
              </w:rPr>
              <w:t>Impact of academic stress</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_Toc200484943 \h </w:instrText>
            </w:r>
            <w:r w:rsidRPr="007F5A51">
              <w:rPr>
                <w:noProof/>
                <w:webHidden/>
                <w:sz w:val="24"/>
                <w:szCs w:val="24"/>
              </w:rPr>
            </w:r>
            <w:r w:rsidRPr="007F5A51">
              <w:rPr>
                <w:noProof/>
                <w:webHidden/>
                <w:sz w:val="24"/>
                <w:szCs w:val="24"/>
              </w:rPr>
              <w:fldChar w:fldCharType="separate"/>
            </w:r>
            <w:r>
              <w:rPr>
                <w:noProof/>
                <w:webHidden/>
                <w:sz w:val="24"/>
                <w:szCs w:val="24"/>
              </w:rPr>
              <w:t>2</w:t>
            </w:r>
            <w:r w:rsidRPr="007F5A51">
              <w:rPr>
                <w:noProof/>
                <w:webHidden/>
                <w:sz w:val="24"/>
                <w:szCs w:val="24"/>
              </w:rPr>
              <w:fldChar w:fldCharType="end"/>
            </w:r>
          </w:hyperlink>
        </w:p>
        <w:p w14:paraId="10156B96" w14:textId="0A0D2528" w:rsidR="007F5A51" w:rsidRPr="007F5A51" w:rsidRDefault="007F5A51">
          <w:pPr>
            <w:pStyle w:val="TOC3"/>
            <w:tabs>
              <w:tab w:val="right" w:leader="underscore" w:pos="9016"/>
            </w:tabs>
            <w:rPr>
              <w:rFonts w:eastAsiaTheme="minorEastAsia"/>
              <w:noProof/>
              <w:sz w:val="24"/>
              <w:szCs w:val="24"/>
              <w:lang w:eastAsia="en-AU"/>
            </w:rPr>
          </w:pPr>
          <w:hyperlink w:anchor="_Toc200484944" w:history="1">
            <w:r w:rsidRPr="007F5A51">
              <w:rPr>
                <w:rStyle w:val="Hyperlink"/>
                <w:noProof/>
                <w:sz w:val="24"/>
                <w:szCs w:val="24"/>
              </w:rPr>
              <w:t>Context</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_Toc200484944 \h </w:instrText>
            </w:r>
            <w:r w:rsidRPr="007F5A51">
              <w:rPr>
                <w:noProof/>
                <w:webHidden/>
                <w:sz w:val="24"/>
                <w:szCs w:val="24"/>
              </w:rPr>
            </w:r>
            <w:r w:rsidRPr="007F5A51">
              <w:rPr>
                <w:noProof/>
                <w:webHidden/>
                <w:sz w:val="24"/>
                <w:szCs w:val="24"/>
              </w:rPr>
              <w:fldChar w:fldCharType="separate"/>
            </w:r>
            <w:r>
              <w:rPr>
                <w:noProof/>
                <w:webHidden/>
                <w:sz w:val="24"/>
                <w:szCs w:val="24"/>
              </w:rPr>
              <w:t>2</w:t>
            </w:r>
            <w:r w:rsidRPr="007F5A51">
              <w:rPr>
                <w:noProof/>
                <w:webHidden/>
                <w:sz w:val="24"/>
                <w:szCs w:val="24"/>
              </w:rPr>
              <w:fldChar w:fldCharType="end"/>
            </w:r>
          </w:hyperlink>
        </w:p>
        <w:p w14:paraId="20CD2027" w14:textId="6B2BD24B" w:rsidR="007F5A51" w:rsidRPr="007F5A51" w:rsidRDefault="007F5A51">
          <w:pPr>
            <w:pStyle w:val="TOC3"/>
            <w:tabs>
              <w:tab w:val="right" w:leader="underscore" w:pos="9016"/>
            </w:tabs>
            <w:rPr>
              <w:rFonts w:eastAsiaTheme="minorEastAsia"/>
              <w:noProof/>
              <w:sz w:val="24"/>
              <w:szCs w:val="24"/>
              <w:lang w:eastAsia="en-AU"/>
            </w:rPr>
          </w:pPr>
          <w:hyperlink w:anchor="_Toc200484945" w:history="1">
            <w:r w:rsidRPr="007F5A51">
              <w:rPr>
                <w:rStyle w:val="Hyperlink"/>
                <w:noProof/>
                <w:sz w:val="24"/>
                <w:szCs w:val="24"/>
              </w:rPr>
              <w:t>Emerging Research</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_Toc200484945 \h </w:instrText>
            </w:r>
            <w:r w:rsidRPr="007F5A51">
              <w:rPr>
                <w:noProof/>
                <w:webHidden/>
                <w:sz w:val="24"/>
                <w:szCs w:val="24"/>
              </w:rPr>
            </w:r>
            <w:r w:rsidRPr="007F5A51">
              <w:rPr>
                <w:noProof/>
                <w:webHidden/>
                <w:sz w:val="24"/>
                <w:szCs w:val="24"/>
              </w:rPr>
              <w:fldChar w:fldCharType="separate"/>
            </w:r>
            <w:r>
              <w:rPr>
                <w:noProof/>
                <w:webHidden/>
                <w:sz w:val="24"/>
                <w:szCs w:val="24"/>
              </w:rPr>
              <w:t>2</w:t>
            </w:r>
            <w:r w:rsidRPr="007F5A51">
              <w:rPr>
                <w:noProof/>
                <w:webHidden/>
                <w:sz w:val="24"/>
                <w:szCs w:val="24"/>
              </w:rPr>
              <w:fldChar w:fldCharType="end"/>
            </w:r>
          </w:hyperlink>
        </w:p>
        <w:p w14:paraId="785736A8" w14:textId="3607FF95" w:rsidR="007F5A51" w:rsidRPr="007F5A51" w:rsidRDefault="007F5A51">
          <w:pPr>
            <w:pStyle w:val="TOC2"/>
            <w:tabs>
              <w:tab w:val="right" w:leader="underscore" w:pos="9016"/>
            </w:tabs>
            <w:rPr>
              <w:rFonts w:eastAsiaTheme="minorEastAsia"/>
              <w:b w:val="0"/>
              <w:bCs w:val="0"/>
              <w:noProof/>
              <w:sz w:val="24"/>
              <w:szCs w:val="24"/>
              <w:lang w:eastAsia="en-AU"/>
            </w:rPr>
          </w:pPr>
          <w:hyperlink w:anchor="_Toc200484946" w:history="1">
            <w:r w:rsidRPr="007F5A51">
              <w:rPr>
                <w:rStyle w:val="Hyperlink"/>
                <w:noProof/>
                <w:sz w:val="24"/>
                <w:szCs w:val="24"/>
              </w:rPr>
              <w:t>Knowledge Seeking</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_Toc200484946 \h </w:instrText>
            </w:r>
            <w:r w:rsidRPr="007F5A51">
              <w:rPr>
                <w:noProof/>
                <w:webHidden/>
                <w:sz w:val="24"/>
                <w:szCs w:val="24"/>
              </w:rPr>
            </w:r>
            <w:r w:rsidRPr="007F5A51">
              <w:rPr>
                <w:noProof/>
                <w:webHidden/>
                <w:sz w:val="24"/>
                <w:szCs w:val="24"/>
              </w:rPr>
              <w:fldChar w:fldCharType="separate"/>
            </w:r>
            <w:r>
              <w:rPr>
                <w:noProof/>
                <w:webHidden/>
                <w:sz w:val="24"/>
                <w:szCs w:val="24"/>
              </w:rPr>
              <w:t>3</w:t>
            </w:r>
            <w:r w:rsidRPr="007F5A51">
              <w:rPr>
                <w:noProof/>
                <w:webHidden/>
                <w:sz w:val="24"/>
                <w:szCs w:val="24"/>
              </w:rPr>
              <w:fldChar w:fldCharType="end"/>
            </w:r>
          </w:hyperlink>
        </w:p>
        <w:p w14:paraId="44D8B79A" w14:textId="41F58580" w:rsidR="007F5A51" w:rsidRPr="007F5A51" w:rsidRDefault="007F5A51">
          <w:pPr>
            <w:pStyle w:val="TOC3"/>
            <w:tabs>
              <w:tab w:val="right" w:leader="underscore" w:pos="9016"/>
            </w:tabs>
            <w:rPr>
              <w:rFonts w:eastAsiaTheme="minorEastAsia"/>
              <w:noProof/>
              <w:sz w:val="24"/>
              <w:szCs w:val="24"/>
              <w:lang w:eastAsia="en-AU"/>
            </w:rPr>
          </w:pPr>
          <w:hyperlink w:anchor="_Toc200484947" w:history="1">
            <w:r w:rsidRPr="007F5A51">
              <w:rPr>
                <w:rStyle w:val="Hyperlink"/>
                <w:noProof/>
                <w:sz w:val="24"/>
                <w:szCs w:val="24"/>
              </w:rPr>
              <w:t>Current Doctoral Research</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_Toc200484947 \h </w:instrText>
            </w:r>
            <w:r w:rsidRPr="007F5A51">
              <w:rPr>
                <w:noProof/>
                <w:webHidden/>
                <w:sz w:val="24"/>
                <w:szCs w:val="24"/>
              </w:rPr>
            </w:r>
            <w:r w:rsidRPr="007F5A51">
              <w:rPr>
                <w:noProof/>
                <w:webHidden/>
                <w:sz w:val="24"/>
                <w:szCs w:val="24"/>
              </w:rPr>
              <w:fldChar w:fldCharType="separate"/>
            </w:r>
            <w:r>
              <w:rPr>
                <w:noProof/>
                <w:webHidden/>
                <w:sz w:val="24"/>
                <w:szCs w:val="24"/>
              </w:rPr>
              <w:t>3</w:t>
            </w:r>
            <w:r w:rsidRPr="007F5A51">
              <w:rPr>
                <w:noProof/>
                <w:webHidden/>
                <w:sz w:val="24"/>
                <w:szCs w:val="24"/>
              </w:rPr>
              <w:fldChar w:fldCharType="end"/>
            </w:r>
          </w:hyperlink>
        </w:p>
        <w:p w14:paraId="4908706D" w14:textId="00FF97F8" w:rsidR="007F5A51" w:rsidRPr="007F5A51" w:rsidRDefault="007F5A51">
          <w:pPr>
            <w:pStyle w:val="TOC3"/>
            <w:tabs>
              <w:tab w:val="right" w:leader="underscore" w:pos="9016"/>
            </w:tabs>
            <w:rPr>
              <w:rFonts w:eastAsiaTheme="minorEastAsia"/>
              <w:noProof/>
              <w:sz w:val="24"/>
              <w:szCs w:val="24"/>
              <w:lang w:eastAsia="en-AU"/>
            </w:rPr>
          </w:pPr>
          <w:hyperlink w:anchor="_Toc200484948" w:history="1">
            <w:r w:rsidRPr="007F5A51">
              <w:rPr>
                <w:rStyle w:val="Hyperlink"/>
                <w:noProof/>
                <w:sz w:val="24"/>
                <w:szCs w:val="24"/>
              </w:rPr>
              <w:t>Students’ Voices Through the Lens of UDL</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_Toc200484948 \h </w:instrText>
            </w:r>
            <w:r w:rsidRPr="007F5A51">
              <w:rPr>
                <w:noProof/>
                <w:webHidden/>
                <w:sz w:val="24"/>
                <w:szCs w:val="24"/>
              </w:rPr>
            </w:r>
            <w:r w:rsidRPr="007F5A51">
              <w:rPr>
                <w:noProof/>
                <w:webHidden/>
                <w:sz w:val="24"/>
                <w:szCs w:val="24"/>
              </w:rPr>
              <w:fldChar w:fldCharType="separate"/>
            </w:r>
            <w:r>
              <w:rPr>
                <w:noProof/>
                <w:webHidden/>
                <w:sz w:val="24"/>
                <w:szCs w:val="24"/>
              </w:rPr>
              <w:t>3</w:t>
            </w:r>
            <w:r w:rsidRPr="007F5A51">
              <w:rPr>
                <w:noProof/>
                <w:webHidden/>
                <w:sz w:val="24"/>
                <w:szCs w:val="24"/>
              </w:rPr>
              <w:fldChar w:fldCharType="end"/>
            </w:r>
          </w:hyperlink>
        </w:p>
        <w:p w14:paraId="63CDEB80" w14:textId="0605EF6C" w:rsidR="007F5A51" w:rsidRPr="007F5A51" w:rsidRDefault="007F5A51">
          <w:pPr>
            <w:pStyle w:val="TOC3"/>
            <w:tabs>
              <w:tab w:val="right" w:leader="underscore" w:pos="9016"/>
            </w:tabs>
            <w:rPr>
              <w:rFonts w:eastAsiaTheme="minorEastAsia"/>
              <w:noProof/>
              <w:sz w:val="24"/>
              <w:szCs w:val="24"/>
              <w:lang w:eastAsia="en-AU"/>
            </w:rPr>
          </w:pPr>
          <w:hyperlink w:anchor="_Toc200484949" w:history="1">
            <w:r w:rsidRPr="007F5A51">
              <w:rPr>
                <w:rStyle w:val="Hyperlink"/>
                <w:noProof/>
                <w:sz w:val="24"/>
                <w:szCs w:val="24"/>
              </w:rPr>
              <w:t>Assessment-Related Stressors Through a UDL Lens</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_Toc200484949 \h </w:instrText>
            </w:r>
            <w:r w:rsidRPr="007F5A51">
              <w:rPr>
                <w:noProof/>
                <w:webHidden/>
                <w:sz w:val="24"/>
                <w:szCs w:val="24"/>
              </w:rPr>
            </w:r>
            <w:r w:rsidRPr="007F5A51">
              <w:rPr>
                <w:noProof/>
                <w:webHidden/>
                <w:sz w:val="24"/>
                <w:szCs w:val="24"/>
              </w:rPr>
              <w:fldChar w:fldCharType="separate"/>
            </w:r>
            <w:r>
              <w:rPr>
                <w:noProof/>
                <w:webHidden/>
                <w:sz w:val="24"/>
                <w:szCs w:val="24"/>
              </w:rPr>
              <w:t>3</w:t>
            </w:r>
            <w:r w:rsidRPr="007F5A51">
              <w:rPr>
                <w:noProof/>
                <w:webHidden/>
                <w:sz w:val="24"/>
                <w:szCs w:val="24"/>
              </w:rPr>
              <w:fldChar w:fldCharType="end"/>
            </w:r>
          </w:hyperlink>
        </w:p>
        <w:p w14:paraId="6DD06889" w14:textId="293CF096" w:rsidR="007F5A51" w:rsidRPr="007F5A51" w:rsidRDefault="007F5A51">
          <w:pPr>
            <w:pStyle w:val="TOC3"/>
            <w:tabs>
              <w:tab w:val="right" w:leader="underscore" w:pos="9016"/>
            </w:tabs>
            <w:rPr>
              <w:rFonts w:eastAsiaTheme="minorEastAsia"/>
              <w:noProof/>
              <w:sz w:val="24"/>
              <w:szCs w:val="24"/>
              <w:lang w:eastAsia="en-AU"/>
            </w:rPr>
          </w:pPr>
          <w:hyperlink w:anchor="_Toc200484950" w:history="1">
            <w:r w:rsidRPr="007F5A51">
              <w:rPr>
                <w:rStyle w:val="Hyperlink"/>
                <w:noProof/>
                <w:sz w:val="24"/>
                <w:szCs w:val="24"/>
              </w:rPr>
              <w:t>Participation-Related Stressors Through a UDL Lens</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_Toc200484950 \h </w:instrText>
            </w:r>
            <w:r w:rsidRPr="007F5A51">
              <w:rPr>
                <w:noProof/>
                <w:webHidden/>
                <w:sz w:val="24"/>
                <w:szCs w:val="24"/>
              </w:rPr>
            </w:r>
            <w:r w:rsidRPr="007F5A51">
              <w:rPr>
                <w:noProof/>
                <w:webHidden/>
                <w:sz w:val="24"/>
                <w:szCs w:val="24"/>
              </w:rPr>
              <w:fldChar w:fldCharType="separate"/>
            </w:r>
            <w:r>
              <w:rPr>
                <w:noProof/>
                <w:webHidden/>
                <w:sz w:val="24"/>
                <w:szCs w:val="24"/>
              </w:rPr>
              <w:t>4</w:t>
            </w:r>
            <w:r w:rsidRPr="007F5A51">
              <w:rPr>
                <w:noProof/>
                <w:webHidden/>
                <w:sz w:val="24"/>
                <w:szCs w:val="24"/>
              </w:rPr>
              <w:fldChar w:fldCharType="end"/>
            </w:r>
          </w:hyperlink>
        </w:p>
        <w:p w14:paraId="6F474435" w14:textId="220552D9" w:rsidR="007F5A51" w:rsidRPr="007F5A51" w:rsidRDefault="007F5A51">
          <w:pPr>
            <w:pStyle w:val="TOC2"/>
            <w:tabs>
              <w:tab w:val="right" w:leader="underscore" w:pos="9016"/>
            </w:tabs>
            <w:rPr>
              <w:rFonts w:eastAsiaTheme="minorEastAsia"/>
              <w:b w:val="0"/>
              <w:bCs w:val="0"/>
              <w:noProof/>
              <w:sz w:val="24"/>
              <w:szCs w:val="24"/>
              <w:lang w:eastAsia="en-AU"/>
            </w:rPr>
          </w:pPr>
          <w:hyperlink w:anchor="_Toc200484951" w:history="1">
            <w:r w:rsidRPr="007F5A51">
              <w:rPr>
                <w:rStyle w:val="Hyperlink"/>
                <w:noProof/>
                <w:sz w:val="24"/>
                <w:szCs w:val="24"/>
              </w:rPr>
              <w:t>Impacts of Academic Stress</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_Toc200484951 \h </w:instrText>
            </w:r>
            <w:r w:rsidRPr="007F5A51">
              <w:rPr>
                <w:noProof/>
                <w:webHidden/>
                <w:sz w:val="24"/>
                <w:szCs w:val="24"/>
              </w:rPr>
            </w:r>
            <w:r w:rsidRPr="007F5A51">
              <w:rPr>
                <w:noProof/>
                <w:webHidden/>
                <w:sz w:val="24"/>
                <w:szCs w:val="24"/>
              </w:rPr>
              <w:fldChar w:fldCharType="separate"/>
            </w:r>
            <w:r>
              <w:rPr>
                <w:noProof/>
                <w:webHidden/>
                <w:sz w:val="24"/>
                <w:szCs w:val="24"/>
              </w:rPr>
              <w:t>6</w:t>
            </w:r>
            <w:r w:rsidRPr="007F5A51">
              <w:rPr>
                <w:noProof/>
                <w:webHidden/>
                <w:sz w:val="24"/>
                <w:szCs w:val="24"/>
              </w:rPr>
              <w:fldChar w:fldCharType="end"/>
            </w:r>
          </w:hyperlink>
        </w:p>
        <w:p w14:paraId="1C108996" w14:textId="058FBFB7" w:rsidR="007F5A51" w:rsidRPr="007F5A51" w:rsidRDefault="007F5A51">
          <w:pPr>
            <w:pStyle w:val="TOC2"/>
            <w:tabs>
              <w:tab w:val="right" w:leader="underscore" w:pos="9016"/>
            </w:tabs>
            <w:rPr>
              <w:rFonts w:eastAsiaTheme="minorEastAsia"/>
              <w:b w:val="0"/>
              <w:bCs w:val="0"/>
              <w:noProof/>
              <w:sz w:val="24"/>
              <w:szCs w:val="24"/>
              <w:lang w:eastAsia="en-AU"/>
            </w:rPr>
          </w:pPr>
          <w:hyperlink w:anchor="_Toc200484952" w:history="1">
            <w:r w:rsidRPr="007F5A51">
              <w:rPr>
                <w:rStyle w:val="Hyperlink"/>
                <w:noProof/>
                <w:sz w:val="24"/>
                <w:szCs w:val="24"/>
              </w:rPr>
              <w:t>What Can We Each Take Away?</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_Toc200484952 \h </w:instrText>
            </w:r>
            <w:r w:rsidRPr="007F5A51">
              <w:rPr>
                <w:noProof/>
                <w:webHidden/>
                <w:sz w:val="24"/>
                <w:szCs w:val="24"/>
              </w:rPr>
            </w:r>
            <w:r w:rsidRPr="007F5A51">
              <w:rPr>
                <w:noProof/>
                <w:webHidden/>
                <w:sz w:val="24"/>
                <w:szCs w:val="24"/>
              </w:rPr>
              <w:fldChar w:fldCharType="separate"/>
            </w:r>
            <w:r>
              <w:rPr>
                <w:noProof/>
                <w:webHidden/>
                <w:sz w:val="24"/>
                <w:szCs w:val="24"/>
              </w:rPr>
              <w:t>6</w:t>
            </w:r>
            <w:r w:rsidRPr="007F5A51">
              <w:rPr>
                <w:noProof/>
                <w:webHidden/>
                <w:sz w:val="24"/>
                <w:szCs w:val="24"/>
              </w:rPr>
              <w:fldChar w:fldCharType="end"/>
            </w:r>
          </w:hyperlink>
        </w:p>
        <w:p w14:paraId="417AFB5C" w14:textId="6D63F57B" w:rsidR="007F5A51" w:rsidRPr="007F5A51" w:rsidRDefault="007F5A51">
          <w:pPr>
            <w:pStyle w:val="TOC2"/>
            <w:tabs>
              <w:tab w:val="right" w:leader="underscore" w:pos="9016"/>
            </w:tabs>
            <w:rPr>
              <w:rFonts w:eastAsiaTheme="minorEastAsia"/>
              <w:b w:val="0"/>
              <w:bCs w:val="0"/>
              <w:noProof/>
              <w:sz w:val="24"/>
              <w:szCs w:val="24"/>
              <w:lang w:eastAsia="en-AU"/>
            </w:rPr>
          </w:pPr>
          <w:hyperlink w:anchor="_Toc200484953" w:history="1">
            <w:r w:rsidRPr="007F5A51">
              <w:rPr>
                <w:rStyle w:val="Hyperlink"/>
                <w:noProof/>
                <w:sz w:val="24"/>
                <w:szCs w:val="24"/>
              </w:rPr>
              <w:t>What’s Next?</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_Toc200484953 \h </w:instrText>
            </w:r>
            <w:r w:rsidRPr="007F5A51">
              <w:rPr>
                <w:noProof/>
                <w:webHidden/>
                <w:sz w:val="24"/>
                <w:szCs w:val="24"/>
              </w:rPr>
            </w:r>
            <w:r w:rsidRPr="007F5A51">
              <w:rPr>
                <w:noProof/>
                <w:webHidden/>
                <w:sz w:val="24"/>
                <w:szCs w:val="24"/>
              </w:rPr>
              <w:fldChar w:fldCharType="separate"/>
            </w:r>
            <w:r>
              <w:rPr>
                <w:noProof/>
                <w:webHidden/>
                <w:sz w:val="24"/>
                <w:szCs w:val="24"/>
              </w:rPr>
              <w:t>7</w:t>
            </w:r>
            <w:r w:rsidRPr="007F5A51">
              <w:rPr>
                <w:noProof/>
                <w:webHidden/>
                <w:sz w:val="24"/>
                <w:szCs w:val="24"/>
              </w:rPr>
              <w:fldChar w:fldCharType="end"/>
            </w:r>
          </w:hyperlink>
        </w:p>
        <w:p w14:paraId="2609D748" w14:textId="1A782725" w:rsidR="007F5A51" w:rsidRPr="007F5A51" w:rsidRDefault="007F5A51">
          <w:pPr>
            <w:pStyle w:val="TOC2"/>
            <w:tabs>
              <w:tab w:val="right" w:leader="underscore" w:pos="9016"/>
            </w:tabs>
            <w:rPr>
              <w:rFonts w:eastAsiaTheme="minorEastAsia"/>
              <w:b w:val="0"/>
              <w:bCs w:val="0"/>
              <w:noProof/>
              <w:sz w:val="24"/>
              <w:szCs w:val="24"/>
              <w:lang w:eastAsia="en-AU"/>
            </w:rPr>
          </w:pPr>
          <w:hyperlink w:anchor="_Toc200484954" w:history="1">
            <w:r w:rsidRPr="007F5A51">
              <w:rPr>
                <w:rStyle w:val="Hyperlink"/>
                <w:noProof/>
                <w:sz w:val="24"/>
                <w:szCs w:val="24"/>
              </w:rPr>
              <w:t>Contact</w:t>
            </w:r>
            <w:r w:rsidRPr="007F5A51">
              <w:rPr>
                <w:noProof/>
                <w:webHidden/>
                <w:sz w:val="24"/>
                <w:szCs w:val="24"/>
              </w:rPr>
              <w:tab/>
            </w:r>
            <w:r w:rsidRPr="007F5A51">
              <w:rPr>
                <w:noProof/>
                <w:webHidden/>
                <w:sz w:val="24"/>
                <w:szCs w:val="24"/>
              </w:rPr>
              <w:fldChar w:fldCharType="begin"/>
            </w:r>
            <w:r w:rsidRPr="007F5A51">
              <w:rPr>
                <w:noProof/>
                <w:webHidden/>
                <w:sz w:val="24"/>
                <w:szCs w:val="24"/>
              </w:rPr>
              <w:instrText xml:space="preserve"> PAGEREF _Toc200484954 \h </w:instrText>
            </w:r>
            <w:r w:rsidRPr="007F5A51">
              <w:rPr>
                <w:noProof/>
                <w:webHidden/>
                <w:sz w:val="24"/>
                <w:szCs w:val="24"/>
              </w:rPr>
            </w:r>
            <w:r w:rsidRPr="007F5A51">
              <w:rPr>
                <w:noProof/>
                <w:webHidden/>
                <w:sz w:val="24"/>
                <w:szCs w:val="24"/>
              </w:rPr>
              <w:fldChar w:fldCharType="separate"/>
            </w:r>
            <w:r>
              <w:rPr>
                <w:noProof/>
                <w:webHidden/>
                <w:sz w:val="24"/>
                <w:szCs w:val="24"/>
              </w:rPr>
              <w:t>7</w:t>
            </w:r>
            <w:r w:rsidRPr="007F5A51">
              <w:rPr>
                <w:noProof/>
                <w:webHidden/>
                <w:sz w:val="24"/>
                <w:szCs w:val="24"/>
              </w:rPr>
              <w:fldChar w:fldCharType="end"/>
            </w:r>
          </w:hyperlink>
        </w:p>
        <w:p w14:paraId="24EA663E" w14:textId="6294BD58" w:rsidR="007F5A51" w:rsidRDefault="007F5A51">
          <w:r w:rsidRPr="007F5A51">
            <w:rPr>
              <w:b/>
              <w:bCs/>
              <w:i/>
              <w:iCs/>
              <w:szCs w:val="24"/>
            </w:rPr>
            <w:fldChar w:fldCharType="end"/>
          </w:r>
        </w:p>
      </w:sdtContent>
    </w:sdt>
    <w:p w14:paraId="7EA9A713" w14:textId="77777777" w:rsidR="00557D56" w:rsidRDefault="00557D56" w:rsidP="00EB743E">
      <w:pPr>
        <w:spacing w:after="120" w:line="240" w:lineRule="auto"/>
        <w:rPr>
          <w:b/>
          <w:bCs/>
        </w:rPr>
      </w:pPr>
    </w:p>
    <w:p w14:paraId="15F53814" w14:textId="77777777" w:rsidR="00557D56" w:rsidRDefault="00557D56" w:rsidP="00EB743E">
      <w:pPr>
        <w:pStyle w:val="Heading2"/>
      </w:pPr>
      <w:bookmarkStart w:id="2" w:name="_Toc200484941"/>
      <w:r w:rsidRPr="00557D56">
        <w:lastRenderedPageBreak/>
        <w:t xml:space="preserve">Students’ </w:t>
      </w:r>
      <w:r w:rsidRPr="00EB743E">
        <w:t>Academic</w:t>
      </w:r>
      <w:r w:rsidRPr="00557D56">
        <w:t xml:space="preserve"> Stress</w:t>
      </w:r>
      <w:bookmarkEnd w:id="2"/>
      <w:r w:rsidRPr="00557D56">
        <w:t xml:space="preserve"> </w:t>
      </w:r>
    </w:p>
    <w:p w14:paraId="074C85F5" w14:textId="443765A6" w:rsidR="00557D56" w:rsidRPr="00557D56" w:rsidRDefault="00557D56" w:rsidP="00645E6B">
      <w:r>
        <w:t>Academic stress is s</w:t>
      </w:r>
      <w:r w:rsidRPr="00557D56">
        <w:t>tress</w:t>
      </w:r>
      <w:r>
        <w:t xml:space="preserve"> students</w:t>
      </w:r>
      <w:r w:rsidRPr="00557D56">
        <w:t xml:space="preserve"> experience in relation to academic studies (learning, achievement, navigating university life, managing study alongside other commitments).</w:t>
      </w:r>
    </w:p>
    <w:p w14:paraId="1D5E539F" w14:textId="19A65701" w:rsidR="00557D56" w:rsidRPr="00557D56" w:rsidRDefault="00557D56" w:rsidP="00EB743E">
      <w:pPr>
        <w:pStyle w:val="Heading2"/>
        <w:spacing w:before="120" w:after="120"/>
      </w:pPr>
      <w:bookmarkStart w:id="3" w:name="_Toc200484942"/>
      <w:r w:rsidRPr="00557D56">
        <w:t>What’s the Challenge?</w:t>
      </w:r>
      <w:bookmarkEnd w:id="3"/>
    </w:p>
    <w:p w14:paraId="2DD01D3B" w14:textId="3C5B4826" w:rsidR="00A07DBF" w:rsidRDefault="00A07DBF" w:rsidP="00A239A6">
      <w:pPr>
        <w:pStyle w:val="Heading3"/>
      </w:pPr>
      <w:bookmarkStart w:id="4" w:name="_Toc200484943"/>
      <w:r>
        <w:t xml:space="preserve">Impact of </w:t>
      </w:r>
      <w:r w:rsidRPr="00A239A6">
        <w:t>academic</w:t>
      </w:r>
      <w:r>
        <w:t xml:space="preserve"> stress</w:t>
      </w:r>
      <w:bookmarkEnd w:id="4"/>
    </w:p>
    <w:p w14:paraId="1DBBC359" w14:textId="60D38632" w:rsidR="00557D56" w:rsidRPr="00557D56" w:rsidRDefault="00557D56" w:rsidP="00EB743E">
      <w:pPr>
        <w:spacing w:after="120" w:line="240" w:lineRule="auto"/>
      </w:pPr>
      <w:r w:rsidRPr="00557D56">
        <w:t>For higher education students, on its own, high academic stress can impact:</w:t>
      </w:r>
    </w:p>
    <w:p w14:paraId="474201C7" w14:textId="77777777" w:rsidR="00557D56" w:rsidRPr="00557D56" w:rsidRDefault="00557D56" w:rsidP="00EB743E">
      <w:pPr>
        <w:pStyle w:val="ListParagraph"/>
        <w:numPr>
          <w:ilvl w:val="0"/>
          <w:numId w:val="11"/>
        </w:numPr>
        <w:spacing w:after="120" w:line="240" w:lineRule="auto"/>
        <w:ind w:left="709"/>
        <w:contextualSpacing w:val="0"/>
      </w:pPr>
      <w:r w:rsidRPr="00557D56">
        <w:t>Physical health</w:t>
      </w:r>
    </w:p>
    <w:p w14:paraId="4A4AFDF8" w14:textId="77777777" w:rsidR="00557D56" w:rsidRPr="00557D56" w:rsidRDefault="00557D56" w:rsidP="00EB743E">
      <w:pPr>
        <w:pStyle w:val="ListParagraph"/>
        <w:numPr>
          <w:ilvl w:val="0"/>
          <w:numId w:val="11"/>
        </w:numPr>
        <w:spacing w:after="120" w:line="240" w:lineRule="auto"/>
        <w:ind w:left="709"/>
        <w:contextualSpacing w:val="0"/>
      </w:pPr>
      <w:r w:rsidRPr="00557D56">
        <w:t>Mental health</w:t>
      </w:r>
    </w:p>
    <w:p w14:paraId="39FDE24B" w14:textId="77777777" w:rsidR="00557D56" w:rsidRPr="00557D56" w:rsidRDefault="00557D56" w:rsidP="00EB743E">
      <w:pPr>
        <w:pStyle w:val="ListParagraph"/>
        <w:numPr>
          <w:ilvl w:val="0"/>
          <w:numId w:val="11"/>
        </w:numPr>
        <w:spacing w:after="120" w:line="240" w:lineRule="auto"/>
        <w:ind w:left="709"/>
        <w:contextualSpacing w:val="0"/>
      </w:pPr>
      <w:r w:rsidRPr="00557D56">
        <w:t>Quality of life</w:t>
      </w:r>
    </w:p>
    <w:p w14:paraId="5BDF30DC" w14:textId="77777777" w:rsidR="00557D56" w:rsidRPr="00557D56" w:rsidRDefault="00557D56" w:rsidP="00EB743E">
      <w:pPr>
        <w:pStyle w:val="ListParagraph"/>
        <w:numPr>
          <w:ilvl w:val="0"/>
          <w:numId w:val="11"/>
        </w:numPr>
        <w:spacing w:after="120" w:line="240" w:lineRule="auto"/>
        <w:ind w:left="709"/>
        <w:contextualSpacing w:val="0"/>
      </w:pPr>
      <w:r w:rsidRPr="00557D56">
        <w:t>Learning capacity</w:t>
      </w:r>
    </w:p>
    <w:p w14:paraId="1C624B0E" w14:textId="77777777" w:rsidR="00557D56" w:rsidRPr="00557D56" w:rsidRDefault="00557D56" w:rsidP="00EB743E">
      <w:pPr>
        <w:pStyle w:val="ListParagraph"/>
        <w:numPr>
          <w:ilvl w:val="0"/>
          <w:numId w:val="11"/>
        </w:numPr>
        <w:spacing w:after="120" w:line="240" w:lineRule="auto"/>
        <w:ind w:left="709"/>
        <w:contextualSpacing w:val="0"/>
      </w:pPr>
      <w:r w:rsidRPr="00557D56">
        <w:t>Academic achievement (see Pascoe et al., 2020; Ribeiro et al., 2018)</w:t>
      </w:r>
    </w:p>
    <w:p w14:paraId="099C1D45" w14:textId="4981B952" w:rsidR="00557D56" w:rsidRDefault="00557D56" w:rsidP="00A239A6">
      <w:pPr>
        <w:pStyle w:val="Heading3"/>
      </w:pPr>
      <w:bookmarkStart w:id="5" w:name="_Toc200484944"/>
      <w:r w:rsidRPr="00A239A6">
        <w:t>Context</w:t>
      </w:r>
      <w:bookmarkEnd w:id="5"/>
    </w:p>
    <w:p w14:paraId="07F07C11" w14:textId="77777777" w:rsidR="00557D56" w:rsidRDefault="00557D56" w:rsidP="00EB743E">
      <w:pPr>
        <w:pStyle w:val="ListParagraph"/>
        <w:numPr>
          <w:ilvl w:val="0"/>
          <w:numId w:val="14"/>
        </w:numPr>
        <w:spacing w:after="120" w:line="240" w:lineRule="auto"/>
        <w:contextualSpacing w:val="0"/>
      </w:pPr>
      <w:r w:rsidRPr="00557D56">
        <w:t>Pre-COVID-19 pandemic</w:t>
      </w:r>
    </w:p>
    <w:p w14:paraId="12C160DE" w14:textId="77777777" w:rsidR="00557D56" w:rsidRDefault="00557D56" w:rsidP="00EB743E">
      <w:pPr>
        <w:pStyle w:val="ListParagraph"/>
        <w:numPr>
          <w:ilvl w:val="1"/>
          <w:numId w:val="14"/>
        </w:numPr>
        <w:spacing w:after="120" w:line="240" w:lineRule="auto"/>
        <w:contextualSpacing w:val="0"/>
      </w:pPr>
      <w:r w:rsidRPr="00557D56">
        <w:t>84% of students reported high stress compared to 29% of the general population (Stallman, 2010)</w:t>
      </w:r>
    </w:p>
    <w:p w14:paraId="1828B58F" w14:textId="30BB0BD3" w:rsidR="00557D56" w:rsidRPr="00557D56" w:rsidRDefault="00557D56" w:rsidP="00EB743E">
      <w:pPr>
        <w:pStyle w:val="ListParagraph"/>
        <w:numPr>
          <w:ilvl w:val="0"/>
          <w:numId w:val="14"/>
        </w:numPr>
        <w:spacing w:after="120" w:line="240" w:lineRule="auto"/>
        <w:contextualSpacing w:val="0"/>
      </w:pPr>
      <w:r w:rsidRPr="00557D56">
        <w:t>Since the onset of the pandemic</w:t>
      </w:r>
    </w:p>
    <w:p w14:paraId="6CC9DCBA" w14:textId="77777777" w:rsidR="00557D56" w:rsidRPr="00557D56" w:rsidRDefault="00557D56" w:rsidP="00EB743E">
      <w:pPr>
        <w:pStyle w:val="ListParagraph"/>
        <w:numPr>
          <w:ilvl w:val="1"/>
          <w:numId w:val="14"/>
        </w:numPr>
        <w:spacing w:after="120" w:line="240" w:lineRule="auto"/>
        <w:contextualSpacing w:val="0"/>
      </w:pPr>
      <w:r w:rsidRPr="00557D56">
        <w:t xml:space="preserve">Increased stress (von </w:t>
      </w:r>
      <w:proofErr w:type="spellStart"/>
      <w:r w:rsidRPr="00557D56">
        <w:t>Keyserlingk</w:t>
      </w:r>
      <w:proofErr w:type="spellEnd"/>
      <w:r w:rsidRPr="00557D56">
        <w:t xml:space="preserve"> et al., 2022)</w:t>
      </w:r>
    </w:p>
    <w:p w14:paraId="1725CB1A" w14:textId="77777777" w:rsidR="00557D56" w:rsidRPr="00557D56" w:rsidRDefault="00557D56" w:rsidP="00EB743E">
      <w:pPr>
        <w:pStyle w:val="ListParagraph"/>
        <w:numPr>
          <w:ilvl w:val="1"/>
          <w:numId w:val="14"/>
        </w:numPr>
        <w:spacing w:after="120" w:line="240" w:lineRule="auto"/>
        <w:contextualSpacing w:val="0"/>
      </w:pPr>
      <w:r w:rsidRPr="00557D56">
        <w:t>Decreased ability to cope (Headspace, 2021)</w:t>
      </w:r>
    </w:p>
    <w:p w14:paraId="1FED5DEB" w14:textId="77777777" w:rsidR="00557D56" w:rsidRPr="00557D56" w:rsidRDefault="00557D56" w:rsidP="00645E6B">
      <w:pPr>
        <w:pStyle w:val="Heading3"/>
      </w:pPr>
      <w:bookmarkStart w:id="6" w:name="_Toc200484945"/>
      <w:r w:rsidRPr="00557D56">
        <w:t xml:space="preserve">Emerging </w:t>
      </w:r>
      <w:r w:rsidRPr="00645E6B">
        <w:t>Research</w:t>
      </w:r>
      <w:bookmarkEnd w:id="6"/>
    </w:p>
    <w:p w14:paraId="7038C00F" w14:textId="77777777" w:rsidR="00557D56" w:rsidRPr="00557D56" w:rsidRDefault="00557D56" w:rsidP="00EB743E">
      <w:pPr>
        <w:pStyle w:val="ListParagraph"/>
        <w:numPr>
          <w:ilvl w:val="0"/>
          <w:numId w:val="15"/>
        </w:numPr>
        <w:spacing w:after="120" w:line="240" w:lineRule="auto"/>
        <w:ind w:left="709"/>
        <w:contextualSpacing w:val="0"/>
      </w:pPr>
      <w:r w:rsidRPr="00557D56">
        <w:t>Students with accessibility requirements or disability may experience higher stress than their peers</w:t>
      </w:r>
    </w:p>
    <w:p w14:paraId="4C2CE86C" w14:textId="77777777" w:rsidR="00557D56" w:rsidRPr="00557D56" w:rsidRDefault="00557D56" w:rsidP="00EB743E">
      <w:pPr>
        <w:pStyle w:val="ListParagraph"/>
        <w:numPr>
          <w:ilvl w:val="0"/>
          <w:numId w:val="15"/>
        </w:numPr>
        <w:spacing w:after="120" w:line="240" w:lineRule="auto"/>
        <w:ind w:left="709"/>
        <w:contextualSpacing w:val="0"/>
      </w:pPr>
      <w:r w:rsidRPr="00557D56">
        <w:t>No statistically significant difference in stress between those who have and have not sought support from student support services (Ardell et al., 2016; Hitches et al., 2023; 2025 forthcoming)</w:t>
      </w:r>
    </w:p>
    <w:p w14:paraId="71DD6381" w14:textId="77777777" w:rsidR="00557D56" w:rsidRPr="00557D56" w:rsidRDefault="00557D56" w:rsidP="00EB743E">
      <w:pPr>
        <w:pStyle w:val="ListParagraph"/>
        <w:numPr>
          <w:ilvl w:val="0"/>
          <w:numId w:val="15"/>
        </w:numPr>
        <w:spacing w:after="120" w:line="240" w:lineRule="auto"/>
        <w:ind w:left="709"/>
        <w:contextualSpacing w:val="0"/>
      </w:pPr>
      <w:r w:rsidRPr="00557D56">
        <w:t>Overall, we know very little about the experiences of students who aren’t registered with student support services</w:t>
      </w:r>
    </w:p>
    <w:p w14:paraId="553F37C2" w14:textId="77777777" w:rsidR="00557D56" w:rsidRPr="00557D56" w:rsidRDefault="00557D56" w:rsidP="00645E6B">
      <w:pPr>
        <w:pStyle w:val="Heading2"/>
      </w:pPr>
      <w:bookmarkStart w:id="7" w:name="_Toc200484946"/>
      <w:r w:rsidRPr="00557D56">
        <w:lastRenderedPageBreak/>
        <w:t>Knowledge Seeking</w:t>
      </w:r>
      <w:bookmarkEnd w:id="7"/>
    </w:p>
    <w:p w14:paraId="58826345" w14:textId="31CFCD56" w:rsidR="00557D56" w:rsidRPr="00A07DBF" w:rsidRDefault="00557D56" w:rsidP="00645E6B">
      <w:pPr>
        <w:pStyle w:val="Heading3"/>
      </w:pPr>
      <w:bookmarkStart w:id="8" w:name="_Toc200484947"/>
      <w:r w:rsidRPr="00A07DBF">
        <w:t>Current Doctoral Research</w:t>
      </w:r>
      <w:bookmarkEnd w:id="8"/>
    </w:p>
    <w:p w14:paraId="1C282BAE" w14:textId="79D8E095" w:rsidR="00557D56" w:rsidRPr="00A07DBF" w:rsidRDefault="00557D56" w:rsidP="00EB743E">
      <w:pPr>
        <w:pStyle w:val="ListParagraph"/>
        <w:numPr>
          <w:ilvl w:val="0"/>
          <w:numId w:val="17"/>
        </w:numPr>
        <w:spacing w:after="120" w:line="240" w:lineRule="auto"/>
        <w:contextualSpacing w:val="0"/>
      </w:pPr>
      <w:r w:rsidRPr="00A07DBF">
        <w:t xml:space="preserve">Phase 1: A systematic literature review of stress reduction interventions for students </w:t>
      </w:r>
      <w:r w:rsidR="00A07DBF" w:rsidRPr="00A07DBF">
        <w:t>with accessibility requirements and/or disability</w:t>
      </w:r>
      <w:r w:rsidRPr="00A07DBF">
        <w:t xml:space="preserve"> in Higher Education internationally. Findings: a UDL approach is lacking!</w:t>
      </w:r>
      <w:r w:rsidR="00A07DBF" w:rsidRPr="00A07DBF">
        <w:t xml:space="preserve"> </w:t>
      </w:r>
    </w:p>
    <w:p w14:paraId="59244CB2" w14:textId="77777777" w:rsidR="00557D56" w:rsidRPr="00A07DBF" w:rsidRDefault="00557D56" w:rsidP="00EB743E">
      <w:pPr>
        <w:pStyle w:val="ListParagraph"/>
        <w:numPr>
          <w:ilvl w:val="0"/>
          <w:numId w:val="16"/>
        </w:numPr>
        <w:spacing w:after="120" w:line="240" w:lineRule="auto"/>
        <w:contextualSpacing w:val="0"/>
      </w:pPr>
      <w:r w:rsidRPr="00A07DBF">
        <w:t>Phase 2 Stage 1: Information Gathering. Understanding students’ academic stress and how we might reduce this in an accessible and inclusive way. Goal: Viewing stress through a UDL lens.</w:t>
      </w:r>
    </w:p>
    <w:p w14:paraId="74111921" w14:textId="4BD6791D" w:rsidR="00557D56" w:rsidRDefault="00557D56" w:rsidP="00EB743E">
      <w:pPr>
        <w:pStyle w:val="ListParagraph"/>
        <w:numPr>
          <w:ilvl w:val="0"/>
          <w:numId w:val="16"/>
        </w:numPr>
        <w:spacing w:after="120" w:line="240" w:lineRule="auto"/>
        <w:contextualSpacing w:val="0"/>
      </w:pPr>
      <w:r w:rsidRPr="00A07DBF">
        <w:t>Phase 2 Stage 2:</w:t>
      </w:r>
      <w:r>
        <w:t xml:space="preserve"> </w:t>
      </w:r>
      <w:r w:rsidRPr="00557D56">
        <w:t>Designing</w:t>
      </w:r>
      <w:r>
        <w:t xml:space="preserve">. </w:t>
      </w:r>
      <w:r w:rsidRPr="00557D56">
        <w:t>Co-designing an accessible and inclusive stress prevention/reduction intervention. Goal: Planning to prevent/reduce high stress through a UDL lens.</w:t>
      </w:r>
    </w:p>
    <w:p w14:paraId="1DF233EC" w14:textId="424A15B1" w:rsidR="00A07DBF" w:rsidRPr="00557D56" w:rsidRDefault="00A07DBF" w:rsidP="00EB743E">
      <w:pPr>
        <w:spacing w:after="120" w:line="240" w:lineRule="auto"/>
      </w:pPr>
      <w:r>
        <w:t>This presentation focuses on Phase 2 Stage 1.</w:t>
      </w:r>
    </w:p>
    <w:p w14:paraId="37548A62" w14:textId="77777777" w:rsidR="00A07DBF" w:rsidRDefault="00557D56" w:rsidP="00645E6B">
      <w:pPr>
        <w:pStyle w:val="Heading3"/>
      </w:pPr>
      <w:bookmarkStart w:id="9" w:name="_Toc200484948"/>
      <w:r w:rsidRPr="00557D56">
        <w:t>Students’ Voices Through the Lens of UDL</w:t>
      </w:r>
      <w:bookmarkEnd w:id="9"/>
      <w:r w:rsidRPr="00557D56">
        <w:t xml:space="preserve"> </w:t>
      </w:r>
    </w:p>
    <w:p w14:paraId="01ABDD08" w14:textId="7913BF29" w:rsidR="00557D56" w:rsidRPr="00557D56" w:rsidRDefault="00A07DBF" w:rsidP="00645E6B">
      <w:r>
        <w:t>Students’ voices on w</w:t>
      </w:r>
      <w:r w:rsidR="00557D56" w:rsidRPr="00557D56">
        <w:t>hat is contributing to academic stress</w:t>
      </w:r>
      <w:r>
        <w:t xml:space="preserve"> and the themes in the data that emerge from this are then viewed through the lens of UDL</w:t>
      </w:r>
      <w:r w:rsidR="00557D56" w:rsidRPr="00557D56">
        <w:t>:</w:t>
      </w:r>
    </w:p>
    <w:p w14:paraId="394B3C32" w14:textId="77777777" w:rsidR="00557D56" w:rsidRPr="00557D56" w:rsidRDefault="00557D56" w:rsidP="00EB743E">
      <w:pPr>
        <w:pStyle w:val="ListParagraph"/>
        <w:numPr>
          <w:ilvl w:val="0"/>
          <w:numId w:val="6"/>
        </w:numPr>
        <w:spacing w:after="120" w:line="240" w:lineRule="auto"/>
        <w:contextualSpacing w:val="0"/>
      </w:pPr>
      <w:r w:rsidRPr="00557D56">
        <w:t>Multiple means of engagement</w:t>
      </w:r>
    </w:p>
    <w:p w14:paraId="16511E2A" w14:textId="77777777" w:rsidR="00557D56" w:rsidRPr="00557D56" w:rsidRDefault="00557D56" w:rsidP="00EB743E">
      <w:pPr>
        <w:pStyle w:val="ListParagraph"/>
        <w:numPr>
          <w:ilvl w:val="0"/>
          <w:numId w:val="6"/>
        </w:numPr>
        <w:spacing w:after="120" w:line="240" w:lineRule="auto"/>
        <w:contextualSpacing w:val="0"/>
      </w:pPr>
      <w:r w:rsidRPr="00557D56">
        <w:t>Multiple means of representation</w:t>
      </w:r>
    </w:p>
    <w:p w14:paraId="40FEED20" w14:textId="77777777" w:rsidR="00557D56" w:rsidRPr="00557D56" w:rsidRDefault="00557D56" w:rsidP="00EB743E">
      <w:pPr>
        <w:pStyle w:val="ListParagraph"/>
        <w:numPr>
          <w:ilvl w:val="0"/>
          <w:numId w:val="6"/>
        </w:numPr>
        <w:spacing w:after="120" w:line="240" w:lineRule="auto"/>
        <w:contextualSpacing w:val="0"/>
      </w:pPr>
      <w:r w:rsidRPr="00557D56">
        <w:t>Multiple means of action and expression</w:t>
      </w:r>
    </w:p>
    <w:p w14:paraId="0EDBC37D" w14:textId="55EA88AA" w:rsidR="00557D56" w:rsidRDefault="00557D56" w:rsidP="00645E6B">
      <w:r w:rsidRPr="00557D56">
        <w:t xml:space="preserve">Examples of student experiences related to assessment and participation barriers, highlighting </w:t>
      </w:r>
      <w:r w:rsidR="00A07DBF">
        <w:t xml:space="preserve">challenges to </w:t>
      </w:r>
      <w:r w:rsidRPr="00557D56">
        <w:t>engagement, representation, and action/expression</w:t>
      </w:r>
      <w:r w:rsidR="00A07DBF">
        <w:t xml:space="preserve"> are now explored. </w:t>
      </w:r>
    </w:p>
    <w:p w14:paraId="3D163F3A" w14:textId="77777777" w:rsidR="00557D56" w:rsidRPr="00557D56" w:rsidRDefault="00557D56" w:rsidP="00645E6B">
      <w:pPr>
        <w:pStyle w:val="Heading3"/>
      </w:pPr>
      <w:bookmarkStart w:id="10" w:name="_Toc200484949"/>
      <w:r w:rsidRPr="00557D56">
        <w:t>Assessment-Related Stressors Through a UDL Lens</w:t>
      </w:r>
      <w:bookmarkEnd w:id="10"/>
    </w:p>
    <w:p w14:paraId="1984605A" w14:textId="6D39DAF9" w:rsidR="00557D56" w:rsidRPr="00557D56" w:rsidRDefault="00557D56" w:rsidP="00EB743E">
      <w:pPr>
        <w:spacing w:after="120" w:line="240" w:lineRule="auto"/>
      </w:pPr>
      <w:r w:rsidRPr="00557D56">
        <w:t>Assessment with Barriers to Engagement</w:t>
      </w:r>
      <w:r w:rsidR="00A07DBF">
        <w:t>:</w:t>
      </w:r>
    </w:p>
    <w:p w14:paraId="06711831" w14:textId="79FF5174" w:rsidR="00557D56" w:rsidRPr="00557D56" w:rsidRDefault="00A07DBF" w:rsidP="007F5A51">
      <w:pPr>
        <w:pStyle w:val="ListParagraph"/>
        <w:numPr>
          <w:ilvl w:val="0"/>
          <w:numId w:val="18"/>
        </w:numPr>
        <w:spacing w:after="120" w:line="276" w:lineRule="auto"/>
        <w:contextualSpacing w:val="0"/>
      </w:pPr>
      <w:r>
        <w:t xml:space="preserve">Quote 1: </w:t>
      </w:r>
      <w:r w:rsidR="00557D56" w:rsidRPr="00557D56">
        <w:t>"There was not any feedback on my assessment, just a mark. I emailed the subject coordinator and the response I got was that if I wanted a remark (which I didn’t, I just wanted to know how I could improve for part 2) then this could reduce my mark. These things may seem small, but when combined they feel huge." (</w:t>
      </w:r>
      <w:r w:rsidR="00557D56" w:rsidRPr="00EB743E">
        <w:rPr>
          <w:b/>
          <w:bCs/>
        </w:rPr>
        <w:t>Engagement:</w:t>
      </w:r>
      <w:r w:rsidR="00557D56" w:rsidRPr="00557D56">
        <w:t xml:space="preserve"> </w:t>
      </w:r>
      <w:r w:rsidR="00557D56" w:rsidRPr="00A07DBF">
        <w:rPr>
          <w:b/>
          <w:bCs/>
        </w:rPr>
        <w:t>Action-oriented feedback is absent or inconsistent</w:t>
      </w:r>
      <w:r w:rsidR="00557D56" w:rsidRPr="00557D56">
        <w:t>)</w:t>
      </w:r>
    </w:p>
    <w:p w14:paraId="3BB9CBD2" w14:textId="273D2DC0" w:rsidR="00557D56" w:rsidRPr="00557D56" w:rsidRDefault="00A07DBF" w:rsidP="007F5A51">
      <w:pPr>
        <w:pStyle w:val="ListParagraph"/>
        <w:numPr>
          <w:ilvl w:val="0"/>
          <w:numId w:val="18"/>
        </w:numPr>
        <w:spacing w:after="120" w:line="276" w:lineRule="auto"/>
        <w:contextualSpacing w:val="0"/>
      </w:pPr>
      <w:r w:rsidRPr="00A07DBF">
        <w:lastRenderedPageBreak/>
        <w:t xml:space="preserve">Quote 2: </w:t>
      </w:r>
      <w:r w:rsidR="00557D56" w:rsidRPr="00A07DBF">
        <w:t>"Wasted our time on the meaningless/repetitive assessments."</w:t>
      </w:r>
      <w:r w:rsidR="00557D56" w:rsidRPr="00557D56">
        <w:t xml:space="preserve"> (</w:t>
      </w:r>
      <w:r w:rsidR="00557D56" w:rsidRPr="00EB743E">
        <w:rPr>
          <w:b/>
          <w:bCs/>
        </w:rPr>
        <w:t>Engagement:</w:t>
      </w:r>
      <w:r w:rsidR="00557D56" w:rsidRPr="00557D56">
        <w:t xml:space="preserve"> </w:t>
      </w:r>
      <w:r w:rsidR="00557D56" w:rsidRPr="00A07DBF">
        <w:rPr>
          <w:b/>
          <w:bCs/>
        </w:rPr>
        <w:t>The relevance, value, and authenticity of assessment is not optimized</w:t>
      </w:r>
      <w:r w:rsidR="00557D56" w:rsidRPr="00557D56">
        <w:t>)</w:t>
      </w:r>
    </w:p>
    <w:p w14:paraId="61CCFDB8" w14:textId="7110DCB7" w:rsidR="00557D56" w:rsidRPr="00557D56" w:rsidRDefault="00557D56" w:rsidP="00EB743E">
      <w:pPr>
        <w:spacing w:after="120" w:line="240" w:lineRule="auto"/>
      </w:pPr>
      <w:r w:rsidRPr="00557D56">
        <w:t>Assessment with Barriers to Representation</w:t>
      </w:r>
      <w:r w:rsidR="00A07DBF">
        <w:t>:</w:t>
      </w:r>
    </w:p>
    <w:p w14:paraId="102E7229" w14:textId="01916246" w:rsidR="00557D56" w:rsidRPr="00557D56" w:rsidRDefault="00A07DBF" w:rsidP="007F5A51">
      <w:pPr>
        <w:pStyle w:val="ListParagraph"/>
        <w:numPr>
          <w:ilvl w:val="0"/>
          <w:numId w:val="19"/>
        </w:numPr>
        <w:spacing w:after="120" w:line="276" w:lineRule="auto"/>
        <w:contextualSpacing w:val="0"/>
      </w:pPr>
      <w:r>
        <w:t xml:space="preserve">Quote 1: </w:t>
      </w:r>
      <w:r w:rsidR="00557D56" w:rsidRPr="00557D56">
        <w:t>"Assessment details are unclear and ambiguous, requiring reading between lines or ‘winging it,’ and then teachers are surprised when neurodivergent students fail or perform badly repeatedly and as a collective." (</w:t>
      </w:r>
      <w:r w:rsidR="00557D56" w:rsidRPr="00EB743E">
        <w:rPr>
          <w:b/>
          <w:bCs/>
        </w:rPr>
        <w:t>Representation:</w:t>
      </w:r>
      <w:r w:rsidR="00557D56" w:rsidRPr="00557D56">
        <w:t xml:space="preserve"> </w:t>
      </w:r>
      <w:r w:rsidR="00557D56" w:rsidRPr="00A07DBF">
        <w:rPr>
          <w:b/>
          <w:bCs/>
        </w:rPr>
        <w:t>Assessment instructions that are difficult to comprehend</w:t>
      </w:r>
      <w:r w:rsidR="00557D56" w:rsidRPr="00557D56">
        <w:t>)</w:t>
      </w:r>
    </w:p>
    <w:p w14:paraId="60DE3B1A" w14:textId="4173C8CF" w:rsidR="00557D56" w:rsidRPr="00557D56" w:rsidRDefault="00557D56" w:rsidP="00EB743E">
      <w:pPr>
        <w:spacing w:after="120" w:line="240" w:lineRule="auto"/>
      </w:pPr>
      <w:r w:rsidRPr="00557D56">
        <w:t>Assessment with Barriers to Action and Expression</w:t>
      </w:r>
      <w:r w:rsidR="00A07DBF">
        <w:t>:</w:t>
      </w:r>
    </w:p>
    <w:p w14:paraId="55478E80" w14:textId="77777777" w:rsidR="00A07DBF" w:rsidRDefault="00A07DBF" w:rsidP="007F5A51">
      <w:pPr>
        <w:pStyle w:val="ListParagraph"/>
        <w:numPr>
          <w:ilvl w:val="0"/>
          <w:numId w:val="19"/>
        </w:numPr>
        <w:spacing w:after="120" w:line="276" w:lineRule="auto"/>
        <w:contextualSpacing w:val="0"/>
      </w:pPr>
      <w:r>
        <w:t xml:space="preserve">Quote 1: </w:t>
      </w:r>
      <w:r w:rsidR="00557D56" w:rsidRPr="00557D56">
        <w:t>"Having exams, being approved for use of computers yet being made to write and hurt self or overwhelm student. No use of expected extra time." (</w:t>
      </w:r>
      <w:r w:rsidR="00557D56" w:rsidRPr="00EB743E">
        <w:rPr>
          <w:b/>
          <w:bCs/>
        </w:rPr>
        <w:t>Action and expression: Lacking</w:t>
      </w:r>
      <w:r w:rsidR="00557D56" w:rsidRPr="00A07DBF">
        <w:rPr>
          <w:b/>
          <w:bCs/>
        </w:rPr>
        <w:t xml:space="preserve"> access to accessible assessment, including assistive technologies and tools</w:t>
      </w:r>
      <w:r w:rsidR="00557D56" w:rsidRPr="00557D56">
        <w:t>)</w:t>
      </w:r>
    </w:p>
    <w:p w14:paraId="1289AD13" w14:textId="7B19F916" w:rsidR="00557D56" w:rsidRPr="00557D56" w:rsidRDefault="00A07DBF" w:rsidP="007F5A51">
      <w:pPr>
        <w:pStyle w:val="ListParagraph"/>
        <w:numPr>
          <w:ilvl w:val="0"/>
          <w:numId w:val="19"/>
        </w:numPr>
        <w:spacing w:after="120" w:line="276" w:lineRule="auto"/>
        <w:contextualSpacing w:val="0"/>
      </w:pPr>
      <w:r>
        <w:t>Quote 2</w:t>
      </w:r>
      <w:r w:rsidRPr="00A07DBF">
        <w:t xml:space="preserve">: </w:t>
      </w:r>
      <w:r w:rsidR="00557D56" w:rsidRPr="00A07DBF">
        <w:t>"All the assignments are writing essays, which I think is terrible." (</w:t>
      </w:r>
      <w:r w:rsidR="00557D56" w:rsidRPr="00EB743E">
        <w:rPr>
          <w:b/>
          <w:bCs/>
        </w:rPr>
        <w:t>Action and expression:</w:t>
      </w:r>
      <w:r w:rsidR="00557D56" w:rsidRPr="00557D56">
        <w:t xml:space="preserve"> </w:t>
      </w:r>
      <w:r w:rsidR="00557D56" w:rsidRPr="00A07DBF">
        <w:rPr>
          <w:b/>
          <w:bCs/>
        </w:rPr>
        <w:t>Limited modes of assessment or modes that do not account for variability</w:t>
      </w:r>
      <w:r w:rsidR="00557D56" w:rsidRPr="00557D56">
        <w:t>)</w:t>
      </w:r>
    </w:p>
    <w:p w14:paraId="42235F37" w14:textId="11DBF2C0" w:rsidR="007F5A51" w:rsidRDefault="007F5A51" w:rsidP="007F5A51">
      <w:pPr>
        <w:spacing w:before="240" w:after="240" w:line="276" w:lineRule="auto"/>
      </w:pPr>
      <w:bookmarkStart w:id="11" w:name="_Toc200484950"/>
      <w:r>
        <w:t>As a summary of the subthemes within assessment and how these are mapped to the UDL guidelines, Table 1 is provided.</w:t>
      </w:r>
    </w:p>
    <w:p w14:paraId="6208A23C" w14:textId="77777777" w:rsidR="007F5A51" w:rsidRPr="00A07DBF" w:rsidRDefault="007F5A51" w:rsidP="007F5A51">
      <w:pPr>
        <w:pStyle w:val="Caption"/>
        <w:keepNext/>
        <w:spacing w:after="120"/>
        <w:rPr>
          <w:sz w:val="28"/>
          <w:szCs w:val="28"/>
        </w:rPr>
      </w:pPr>
      <w:r w:rsidRPr="00A07DBF">
        <w:rPr>
          <w:sz w:val="28"/>
          <w:szCs w:val="28"/>
        </w:rPr>
        <w:t xml:space="preserve">Table </w:t>
      </w:r>
      <w:r w:rsidRPr="00A07DBF">
        <w:rPr>
          <w:sz w:val="28"/>
          <w:szCs w:val="28"/>
        </w:rPr>
        <w:fldChar w:fldCharType="begin"/>
      </w:r>
      <w:r w:rsidRPr="00A07DBF">
        <w:rPr>
          <w:sz w:val="28"/>
          <w:szCs w:val="28"/>
        </w:rPr>
        <w:instrText xml:space="preserve"> SEQ Table \* ARABIC </w:instrText>
      </w:r>
      <w:r w:rsidRPr="00A07DBF">
        <w:rPr>
          <w:sz w:val="28"/>
          <w:szCs w:val="28"/>
        </w:rPr>
        <w:fldChar w:fldCharType="separate"/>
      </w:r>
      <w:r>
        <w:rPr>
          <w:noProof/>
          <w:sz w:val="28"/>
          <w:szCs w:val="28"/>
        </w:rPr>
        <w:t>1</w:t>
      </w:r>
      <w:r w:rsidRPr="00A07DBF">
        <w:rPr>
          <w:sz w:val="28"/>
          <w:szCs w:val="28"/>
        </w:rPr>
        <w:fldChar w:fldCharType="end"/>
      </w:r>
      <w:r w:rsidRPr="00A07DBF">
        <w:rPr>
          <w:sz w:val="28"/>
          <w:szCs w:val="28"/>
        </w:rPr>
        <w:t>: Assessment-related stressors through a UDL lens</w:t>
      </w:r>
    </w:p>
    <w:tbl>
      <w:tblPr>
        <w:tblW w:w="5000" w:type="pct"/>
        <w:tblCellMar>
          <w:left w:w="0" w:type="dxa"/>
          <w:right w:w="0" w:type="dxa"/>
        </w:tblCellMar>
        <w:tblLook w:val="0420" w:firstRow="1" w:lastRow="0" w:firstColumn="0" w:lastColumn="0" w:noHBand="0" w:noVBand="1"/>
      </w:tblPr>
      <w:tblGrid>
        <w:gridCol w:w="3005"/>
        <w:gridCol w:w="3005"/>
        <w:gridCol w:w="3006"/>
      </w:tblGrid>
      <w:tr w:rsidR="007F5A51" w:rsidRPr="00A07DBF" w14:paraId="23188A23" w14:textId="77777777" w:rsidTr="00F87BAC">
        <w:trPr>
          <w:trHeight w:val="841"/>
        </w:trPr>
        <w:tc>
          <w:tcPr>
            <w:tcW w:w="1666" w:type="pct"/>
            <w:tcBorders>
              <w:top w:val="single" w:sz="4" w:space="0" w:color="4472C4"/>
              <w:left w:val="single" w:sz="4" w:space="0" w:color="4472C4"/>
              <w:bottom w:val="single" w:sz="4" w:space="0" w:color="4472C4"/>
              <w:right w:val="nil"/>
            </w:tcBorders>
            <w:shd w:val="clear" w:color="auto" w:fill="339966"/>
            <w:tcMar>
              <w:top w:w="15" w:type="dxa"/>
              <w:left w:w="108" w:type="dxa"/>
              <w:bottom w:w="0" w:type="dxa"/>
              <w:right w:w="108" w:type="dxa"/>
            </w:tcMar>
            <w:vAlign w:val="center"/>
            <w:hideMark/>
          </w:tcPr>
          <w:p w14:paraId="0044CF29" w14:textId="77777777" w:rsidR="007F5A51" w:rsidRPr="00A625E5" w:rsidRDefault="007F5A51" w:rsidP="00F87BAC">
            <w:pPr>
              <w:spacing w:after="120" w:line="240" w:lineRule="auto"/>
              <w:rPr>
                <w:color w:val="171717" w:themeColor="background2" w:themeShade="1A"/>
              </w:rPr>
            </w:pPr>
            <w:r w:rsidRPr="00A625E5">
              <w:rPr>
                <w:b/>
                <w:bCs/>
                <w:color w:val="171717" w:themeColor="background2" w:themeShade="1A"/>
              </w:rPr>
              <w:t>Engagement</w:t>
            </w:r>
          </w:p>
        </w:tc>
        <w:tc>
          <w:tcPr>
            <w:tcW w:w="1666" w:type="pct"/>
            <w:tcBorders>
              <w:top w:val="single" w:sz="4" w:space="0" w:color="4472C4"/>
              <w:left w:val="nil"/>
              <w:bottom w:val="single" w:sz="4" w:space="0" w:color="4472C4"/>
              <w:right w:val="nil"/>
            </w:tcBorders>
            <w:shd w:val="clear" w:color="auto" w:fill="7030A0"/>
            <w:tcMar>
              <w:top w:w="15" w:type="dxa"/>
              <w:left w:w="108" w:type="dxa"/>
              <w:bottom w:w="0" w:type="dxa"/>
              <w:right w:w="108" w:type="dxa"/>
            </w:tcMar>
            <w:vAlign w:val="center"/>
            <w:hideMark/>
          </w:tcPr>
          <w:p w14:paraId="6ACC18EE" w14:textId="77777777" w:rsidR="007F5A51" w:rsidRPr="00A07DBF" w:rsidRDefault="007F5A51" w:rsidP="00F87BAC">
            <w:pPr>
              <w:spacing w:after="120" w:line="240" w:lineRule="auto"/>
              <w:rPr>
                <w:color w:val="FFFFFF" w:themeColor="background1"/>
              </w:rPr>
            </w:pPr>
            <w:r w:rsidRPr="00A07DBF">
              <w:rPr>
                <w:b/>
                <w:bCs/>
                <w:color w:val="FFFFFF" w:themeColor="background1"/>
              </w:rPr>
              <w:t>Representation</w:t>
            </w:r>
          </w:p>
        </w:tc>
        <w:tc>
          <w:tcPr>
            <w:tcW w:w="1667" w:type="pct"/>
            <w:tcBorders>
              <w:top w:val="single" w:sz="4" w:space="0" w:color="4472C4"/>
              <w:left w:val="nil"/>
              <w:bottom w:val="single" w:sz="4" w:space="0" w:color="4472C4"/>
              <w:right w:val="single" w:sz="4" w:space="0" w:color="4472C4"/>
            </w:tcBorders>
            <w:shd w:val="clear" w:color="auto" w:fill="0070C0"/>
            <w:tcMar>
              <w:top w:w="15" w:type="dxa"/>
              <w:left w:w="108" w:type="dxa"/>
              <w:bottom w:w="0" w:type="dxa"/>
              <w:right w:w="108" w:type="dxa"/>
            </w:tcMar>
            <w:vAlign w:val="center"/>
            <w:hideMark/>
          </w:tcPr>
          <w:p w14:paraId="32E555C7" w14:textId="77777777" w:rsidR="007F5A51" w:rsidRPr="00A07DBF" w:rsidRDefault="007F5A51" w:rsidP="00F87BAC">
            <w:pPr>
              <w:spacing w:after="120" w:line="240" w:lineRule="auto"/>
              <w:rPr>
                <w:color w:val="FFFFFF" w:themeColor="background1"/>
              </w:rPr>
            </w:pPr>
            <w:r w:rsidRPr="00A07DBF">
              <w:rPr>
                <w:b/>
                <w:bCs/>
                <w:color w:val="FFFFFF" w:themeColor="background1"/>
              </w:rPr>
              <w:t>Action and expression</w:t>
            </w:r>
          </w:p>
        </w:tc>
      </w:tr>
      <w:tr w:rsidR="007F5A51" w:rsidRPr="00A07DBF" w14:paraId="3E9CBA97" w14:textId="77777777" w:rsidTr="00F87BAC">
        <w:trPr>
          <w:trHeight w:val="3017"/>
        </w:trPr>
        <w:tc>
          <w:tcPr>
            <w:tcW w:w="1666" w:type="pct"/>
            <w:tcBorders>
              <w:top w:val="single" w:sz="4" w:space="0" w:color="4472C4"/>
              <w:left w:val="single" w:sz="4" w:space="0" w:color="4472C4"/>
              <w:bottom w:val="single" w:sz="4" w:space="0" w:color="4472C4"/>
              <w:right w:val="nil"/>
            </w:tcBorders>
            <w:shd w:val="clear" w:color="auto" w:fill="auto"/>
            <w:tcMar>
              <w:top w:w="15" w:type="dxa"/>
              <w:left w:w="108" w:type="dxa"/>
              <w:bottom w:w="0" w:type="dxa"/>
              <w:right w:w="108" w:type="dxa"/>
            </w:tcMar>
            <w:hideMark/>
          </w:tcPr>
          <w:p w14:paraId="7F782831" w14:textId="77777777" w:rsidR="00A07DBF" w:rsidRPr="00A07DBF" w:rsidRDefault="00A07DBF" w:rsidP="00F87BAC">
            <w:pPr>
              <w:numPr>
                <w:ilvl w:val="0"/>
                <w:numId w:val="22"/>
              </w:numPr>
              <w:spacing w:after="120" w:line="240" w:lineRule="auto"/>
            </w:pPr>
            <w:r w:rsidRPr="00A07DBF">
              <w:t>Action-oriented feedback is absent or inconsistent</w:t>
            </w:r>
          </w:p>
          <w:p w14:paraId="3FAAEAF1" w14:textId="77777777" w:rsidR="00A07DBF" w:rsidRPr="00A07DBF" w:rsidRDefault="00A07DBF" w:rsidP="00F87BAC">
            <w:pPr>
              <w:numPr>
                <w:ilvl w:val="0"/>
                <w:numId w:val="22"/>
              </w:numPr>
              <w:spacing w:after="120" w:line="240" w:lineRule="auto"/>
            </w:pPr>
            <w:r w:rsidRPr="00A07DBF">
              <w:t>The relevance, value, and authenticity of assessment is not optimised</w:t>
            </w:r>
          </w:p>
        </w:tc>
        <w:tc>
          <w:tcPr>
            <w:tcW w:w="1666" w:type="pct"/>
            <w:tcBorders>
              <w:top w:val="single" w:sz="4" w:space="0" w:color="4472C4"/>
              <w:left w:val="nil"/>
              <w:bottom w:val="single" w:sz="4" w:space="0" w:color="4472C4"/>
              <w:right w:val="nil"/>
            </w:tcBorders>
            <w:shd w:val="clear" w:color="auto" w:fill="auto"/>
            <w:tcMar>
              <w:top w:w="15" w:type="dxa"/>
              <w:left w:w="108" w:type="dxa"/>
              <w:bottom w:w="0" w:type="dxa"/>
              <w:right w:w="108" w:type="dxa"/>
            </w:tcMar>
            <w:hideMark/>
          </w:tcPr>
          <w:p w14:paraId="1B04053B" w14:textId="77777777" w:rsidR="00A07DBF" w:rsidRPr="00A07DBF" w:rsidRDefault="00A07DBF" w:rsidP="00F87BAC">
            <w:pPr>
              <w:numPr>
                <w:ilvl w:val="0"/>
                <w:numId w:val="22"/>
              </w:numPr>
              <w:spacing w:after="120" w:line="240" w:lineRule="auto"/>
            </w:pPr>
            <w:r w:rsidRPr="00A07DBF">
              <w:t>Assessment instructions that are difficult to comprehend*</w:t>
            </w:r>
          </w:p>
        </w:tc>
        <w:tc>
          <w:tcPr>
            <w:tcW w:w="1667" w:type="pct"/>
            <w:tcBorders>
              <w:top w:val="single" w:sz="4" w:space="0" w:color="4472C4"/>
              <w:left w:val="nil"/>
              <w:bottom w:val="single" w:sz="4" w:space="0" w:color="4472C4"/>
              <w:right w:val="single" w:sz="4" w:space="0" w:color="4472C4"/>
            </w:tcBorders>
            <w:shd w:val="clear" w:color="auto" w:fill="auto"/>
            <w:tcMar>
              <w:top w:w="15" w:type="dxa"/>
              <w:left w:w="108" w:type="dxa"/>
              <w:bottom w:w="0" w:type="dxa"/>
              <w:right w:w="108" w:type="dxa"/>
            </w:tcMar>
            <w:hideMark/>
          </w:tcPr>
          <w:p w14:paraId="04496E92" w14:textId="77777777" w:rsidR="00A07DBF" w:rsidRPr="00A07DBF" w:rsidRDefault="00A07DBF" w:rsidP="00F87BAC">
            <w:pPr>
              <w:numPr>
                <w:ilvl w:val="0"/>
                <w:numId w:val="22"/>
              </w:numPr>
              <w:spacing w:after="120" w:line="240" w:lineRule="auto"/>
            </w:pPr>
            <w:r w:rsidRPr="00A07DBF">
              <w:t>Lacking access to accessible assessment, including materials and assistive technologies and tools</w:t>
            </w:r>
          </w:p>
          <w:p w14:paraId="10238B1E" w14:textId="77777777" w:rsidR="00A07DBF" w:rsidRPr="00A07DBF" w:rsidRDefault="00A07DBF" w:rsidP="00F87BAC">
            <w:pPr>
              <w:numPr>
                <w:ilvl w:val="0"/>
                <w:numId w:val="22"/>
              </w:numPr>
              <w:spacing w:after="120" w:line="240" w:lineRule="auto"/>
            </w:pPr>
            <w:r w:rsidRPr="00A07DBF">
              <w:t>Limited modes of assessment or modes that do not account for variability*</w:t>
            </w:r>
          </w:p>
        </w:tc>
      </w:tr>
    </w:tbl>
    <w:p w14:paraId="735AD142" w14:textId="77777777" w:rsidR="007F5A51" w:rsidRDefault="007F5A51">
      <w:pPr>
        <w:spacing w:before="0" w:after="160" w:line="259" w:lineRule="auto"/>
        <w:rPr>
          <w:rFonts w:eastAsiaTheme="majorEastAsia" w:cstheme="majorBidi"/>
          <w:color w:val="0F4761" w:themeColor="accent1" w:themeShade="BF"/>
          <w:sz w:val="28"/>
          <w:szCs w:val="28"/>
        </w:rPr>
      </w:pPr>
      <w:r>
        <w:br w:type="page"/>
      </w:r>
    </w:p>
    <w:p w14:paraId="46C15BCA" w14:textId="3E7A42A0" w:rsidR="00557D56" w:rsidRPr="00557D56" w:rsidRDefault="00557D56" w:rsidP="00645E6B">
      <w:pPr>
        <w:pStyle w:val="Heading3"/>
      </w:pPr>
      <w:r w:rsidRPr="00557D56">
        <w:lastRenderedPageBreak/>
        <w:t>Participation-Related Stressors Through a UDL Lens</w:t>
      </w:r>
      <w:bookmarkEnd w:id="11"/>
    </w:p>
    <w:p w14:paraId="02EB1C78" w14:textId="2189BDB2" w:rsidR="00557D56" w:rsidRPr="00557D56" w:rsidRDefault="00557D56" w:rsidP="00EB743E">
      <w:pPr>
        <w:spacing w:after="120" w:line="240" w:lineRule="auto"/>
      </w:pPr>
      <w:r w:rsidRPr="00557D56">
        <w:t>Participation with Barriers to Engagement</w:t>
      </w:r>
      <w:r w:rsidR="00A07DBF">
        <w:t>:</w:t>
      </w:r>
    </w:p>
    <w:p w14:paraId="10AFD108" w14:textId="049B1FE1" w:rsidR="00557D56" w:rsidRPr="00557D56" w:rsidRDefault="00A07DBF" w:rsidP="007F5A51">
      <w:pPr>
        <w:pStyle w:val="ListParagraph"/>
        <w:numPr>
          <w:ilvl w:val="0"/>
          <w:numId w:val="20"/>
        </w:numPr>
        <w:spacing w:after="120" w:line="276" w:lineRule="auto"/>
        <w:contextualSpacing w:val="0"/>
      </w:pPr>
      <w:r>
        <w:t xml:space="preserve">Quote 1: </w:t>
      </w:r>
      <w:r w:rsidR="00557D56" w:rsidRPr="00557D56">
        <w:t>"Being a mature-aged student, I feel quite isolated and don’t fit in or belong due to my age. When it comes to group assessments, I am very worried about not finding a group to join." (</w:t>
      </w:r>
      <w:r w:rsidR="00557D56" w:rsidRPr="00A07DBF">
        <w:rPr>
          <w:b/>
          <w:bCs/>
        </w:rPr>
        <w:t>Engagement:</w:t>
      </w:r>
      <w:r w:rsidR="00557D56" w:rsidRPr="00557D56">
        <w:t xml:space="preserve"> </w:t>
      </w:r>
      <w:r w:rsidR="00557D56" w:rsidRPr="00A07DBF">
        <w:rPr>
          <w:b/>
          <w:bCs/>
        </w:rPr>
        <w:t>Lacking belonging and connection</w:t>
      </w:r>
      <w:r w:rsidR="00557D56" w:rsidRPr="00557D56">
        <w:t>)</w:t>
      </w:r>
    </w:p>
    <w:p w14:paraId="43F2E48B" w14:textId="236FB4A4" w:rsidR="00557D56" w:rsidRPr="00557D56" w:rsidRDefault="00557D56" w:rsidP="00EB743E">
      <w:pPr>
        <w:spacing w:after="120" w:line="240" w:lineRule="auto"/>
      </w:pPr>
      <w:r w:rsidRPr="00557D56">
        <w:t>Participation with Barriers to Representation</w:t>
      </w:r>
      <w:r w:rsidR="00A07DBF">
        <w:t>:</w:t>
      </w:r>
    </w:p>
    <w:p w14:paraId="583681A9" w14:textId="381A1ADF" w:rsidR="00557D56" w:rsidRPr="00557D56" w:rsidRDefault="00A07DBF" w:rsidP="007F5A51">
      <w:pPr>
        <w:pStyle w:val="ListParagraph"/>
        <w:numPr>
          <w:ilvl w:val="0"/>
          <w:numId w:val="20"/>
        </w:numPr>
        <w:spacing w:after="120" w:line="276" w:lineRule="auto"/>
        <w:contextualSpacing w:val="0"/>
      </w:pPr>
      <w:r>
        <w:t xml:space="preserve">Quote 1: </w:t>
      </w:r>
      <w:r w:rsidR="00557D56" w:rsidRPr="00557D56">
        <w:t>"I find it hard to focus… reading 30+ pages is frustrating as a lot of those readings do not have defined points and no conclusion to the questions or issues it arises. My attention span is taking a toll." (</w:t>
      </w:r>
      <w:r w:rsidR="00557D56" w:rsidRPr="00A07DBF">
        <w:rPr>
          <w:b/>
          <w:bCs/>
        </w:rPr>
        <w:t>Representation:</w:t>
      </w:r>
      <w:r w:rsidR="00557D56" w:rsidRPr="00557D56">
        <w:t xml:space="preserve"> </w:t>
      </w:r>
      <w:r w:rsidR="00557D56" w:rsidRPr="00A07DBF">
        <w:rPr>
          <w:b/>
          <w:bCs/>
        </w:rPr>
        <w:t>Difficulties focusing on information dominated by one media (i.e. text) and when it is not optimized for perception and building knowledge</w:t>
      </w:r>
      <w:r w:rsidR="00557D56" w:rsidRPr="00557D56">
        <w:t>)</w:t>
      </w:r>
    </w:p>
    <w:p w14:paraId="3E191014" w14:textId="05ADD7B7" w:rsidR="00557D56" w:rsidRPr="00557D56" w:rsidRDefault="00A07DBF" w:rsidP="007F5A51">
      <w:pPr>
        <w:pStyle w:val="ListParagraph"/>
        <w:numPr>
          <w:ilvl w:val="0"/>
          <w:numId w:val="20"/>
        </w:numPr>
        <w:spacing w:after="120" w:line="276" w:lineRule="auto"/>
        <w:contextualSpacing w:val="0"/>
      </w:pPr>
      <w:r>
        <w:t xml:space="preserve">Quote 2: </w:t>
      </w:r>
      <w:r w:rsidR="00557D56" w:rsidRPr="00557D56">
        <w:t>"The lack of accessible course content has been an ongoing issue for me. White backgrounds on everything and no closed captions on lectures with poor sound quality meant I could not access course content." (</w:t>
      </w:r>
      <w:r w:rsidR="00557D56" w:rsidRPr="00EB743E">
        <w:rPr>
          <w:b/>
          <w:bCs/>
        </w:rPr>
        <w:t>Representation:</w:t>
      </w:r>
      <w:r w:rsidR="00557D56" w:rsidRPr="00557D56">
        <w:t xml:space="preserve"> </w:t>
      </w:r>
      <w:r w:rsidR="00557D56" w:rsidRPr="00A07DBF">
        <w:rPr>
          <w:b/>
          <w:bCs/>
        </w:rPr>
        <w:t>Information not presented in accessible ways</w:t>
      </w:r>
      <w:r w:rsidR="00557D56" w:rsidRPr="00557D56">
        <w:t>)</w:t>
      </w:r>
    </w:p>
    <w:p w14:paraId="628AA761" w14:textId="79393482" w:rsidR="00557D56" w:rsidRPr="00557D56" w:rsidRDefault="00557D56" w:rsidP="00EB743E">
      <w:pPr>
        <w:spacing w:after="120" w:line="240" w:lineRule="auto"/>
      </w:pPr>
      <w:r w:rsidRPr="00557D56">
        <w:t>Participation with Barriers to Action and Expression</w:t>
      </w:r>
      <w:r w:rsidR="00A07DBF">
        <w:t>:</w:t>
      </w:r>
    </w:p>
    <w:p w14:paraId="668E5A65" w14:textId="77777777" w:rsidR="00A07DBF" w:rsidRDefault="00A07DBF" w:rsidP="007F5A51">
      <w:pPr>
        <w:pStyle w:val="ListParagraph"/>
        <w:numPr>
          <w:ilvl w:val="0"/>
          <w:numId w:val="21"/>
        </w:numPr>
        <w:spacing w:after="120" w:line="276" w:lineRule="auto"/>
        <w:contextualSpacing w:val="0"/>
      </w:pPr>
      <w:r>
        <w:t xml:space="preserve">Quote 1: </w:t>
      </w:r>
      <w:r w:rsidR="00557D56" w:rsidRPr="00557D56">
        <w:t>"Not being offered online tutorials… Online tutorials worked better for me with my disabilities, and I got much better grades without going into campus and getting sick as much. More time for hospital appointments where I could watch the tutorial whilst getting treatment, whereas on campus, the distance, parking, walking to class, dealing with the social stress and actively participating with stresses of other students attending unwell were too overwhelming." (</w:t>
      </w:r>
      <w:r w:rsidR="00557D56" w:rsidRPr="00EB743E">
        <w:rPr>
          <w:b/>
          <w:bCs/>
        </w:rPr>
        <w:t xml:space="preserve">Action and expression: </w:t>
      </w:r>
      <w:r w:rsidR="00557D56" w:rsidRPr="00A07DBF">
        <w:rPr>
          <w:b/>
          <w:bCs/>
        </w:rPr>
        <w:t>Mode of attending/participating does not align with student needs</w:t>
      </w:r>
      <w:r w:rsidR="00557D56" w:rsidRPr="00557D56">
        <w:t>)</w:t>
      </w:r>
    </w:p>
    <w:p w14:paraId="5D5DBE96" w14:textId="0BC091CB" w:rsidR="00557D56" w:rsidRPr="00557D56" w:rsidRDefault="00A07DBF" w:rsidP="007F5A51">
      <w:pPr>
        <w:pStyle w:val="ListParagraph"/>
        <w:numPr>
          <w:ilvl w:val="0"/>
          <w:numId w:val="21"/>
        </w:numPr>
        <w:spacing w:after="120" w:line="276" w:lineRule="auto"/>
        <w:contextualSpacing w:val="0"/>
      </w:pPr>
      <w:r>
        <w:t xml:space="preserve">Quote 2: </w:t>
      </w:r>
      <w:r w:rsidR="00557D56" w:rsidRPr="00557D56">
        <w:t xml:space="preserve">"Desks/tables constantly changing/layout change every week = very stressful for an Autistic person!!" (Action and expression: </w:t>
      </w:r>
      <w:r w:rsidR="00557D56" w:rsidRPr="00A07DBF">
        <w:rPr>
          <w:b/>
          <w:bCs/>
        </w:rPr>
        <w:t>Physical spaces lacking accessibility</w:t>
      </w:r>
      <w:r w:rsidR="00557D56" w:rsidRPr="00557D56">
        <w:t>)</w:t>
      </w:r>
    </w:p>
    <w:p w14:paraId="14D3CCA0" w14:textId="77777777" w:rsidR="007F5A51" w:rsidRDefault="007F5A51" w:rsidP="007F5A51">
      <w:pPr>
        <w:spacing w:after="120" w:line="240" w:lineRule="auto"/>
      </w:pPr>
      <w:r>
        <w:t>As a summary of the subthemes within assessment and how these are mapped to the UDL guidelines, Table 1 is provided.</w:t>
      </w:r>
    </w:p>
    <w:p w14:paraId="6BD60B86" w14:textId="7E1AC8B5" w:rsidR="007F5A51" w:rsidRDefault="007F5A51">
      <w:pPr>
        <w:spacing w:before="0" w:after="160" w:line="259" w:lineRule="auto"/>
      </w:pPr>
      <w:r>
        <w:br w:type="page"/>
      </w:r>
    </w:p>
    <w:p w14:paraId="700C8793" w14:textId="284A3EBB" w:rsidR="00A07DBF" w:rsidRPr="00A07DBF" w:rsidRDefault="00A07DBF" w:rsidP="00EB743E">
      <w:pPr>
        <w:pStyle w:val="Caption"/>
        <w:keepNext/>
        <w:spacing w:after="120"/>
        <w:rPr>
          <w:sz w:val="28"/>
          <w:szCs w:val="28"/>
        </w:rPr>
      </w:pPr>
      <w:r w:rsidRPr="00A07DBF">
        <w:rPr>
          <w:sz w:val="28"/>
          <w:szCs w:val="28"/>
        </w:rPr>
        <w:lastRenderedPageBreak/>
        <w:t xml:space="preserve">Table </w:t>
      </w:r>
      <w:r w:rsidRPr="00A07DBF">
        <w:rPr>
          <w:sz w:val="28"/>
          <w:szCs w:val="28"/>
        </w:rPr>
        <w:fldChar w:fldCharType="begin"/>
      </w:r>
      <w:r w:rsidRPr="00A07DBF">
        <w:rPr>
          <w:sz w:val="28"/>
          <w:szCs w:val="28"/>
        </w:rPr>
        <w:instrText xml:space="preserve"> SEQ Table \* ARABIC </w:instrText>
      </w:r>
      <w:r w:rsidRPr="00A07DBF">
        <w:rPr>
          <w:sz w:val="28"/>
          <w:szCs w:val="28"/>
        </w:rPr>
        <w:fldChar w:fldCharType="separate"/>
      </w:r>
      <w:r w:rsidRPr="00A07DBF">
        <w:rPr>
          <w:noProof/>
          <w:sz w:val="28"/>
          <w:szCs w:val="28"/>
        </w:rPr>
        <w:t>2</w:t>
      </w:r>
      <w:r w:rsidRPr="00A07DBF">
        <w:rPr>
          <w:sz w:val="28"/>
          <w:szCs w:val="28"/>
        </w:rPr>
        <w:fldChar w:fldCharType="end"/>
      </w:r>
      <w:r w:rsidRPr="00A07DBF">
        <w:rPr>
          <w:sz w:val="28"/>
          <w:szCs w:val="28"/>
        </w:rPr>
        <w:t>: Participation-related stressors through a UDL lens</w:t>
      </w:r>
    </w:p>
    <w:tbl>
      <w:tblPr>
        <w:tblW w:w="5000" w:type="pct"/>
        <w:tblLayout w:type="fixed"/>
        <w:tblCellMar>
          <w:left w:w="0" w:type="dxa"/>
          <w:right w:w="0" w:type="dxa"/>
        </w:tblCellMar>
        <w:tblLook w:val="0420" w:firstRow="1" w:lastRow="0" w:firstColumn="0" w:lastColumn="0" w:noHBand="0" w:noVBand="1"/>
      </w:tblPr>
      <w:tblGrid>
        <w:gridCol w:w="3005"/>
        <w:gridCol w:w="3005"/>
        <w:gridCol w:w="3006"/>
      </w:tblGrid>
      <w:tr w:rsidR="00A07DBF" w:rsidRPr="00A07DBF" w14:paraId="47428A76" w14:textId="77777777" w:rsidTr="00A07DBF">
        <w:trPr>
          <w:trHeight w:val="841"/>
        </w:trPr>
        <w:tc>
          <w:tcPr>
            <w:tcW w:w="1666" w:type="pct"/>
            <w:tcBorders>
              <w:top w:val="single" w:sz="4" w:space="0" w:color="4472C4"/>
              <w:left w:val="single" w:sz="4" w:space="0" w:color="4472C4"/>
              <w:bottom w:val="single" w:sz="4" w:space="0" w:color="4472C4"/>
              <w:right w:val="nil"/>
            </w:tcBorders>
            <w:shd w:val="clear" w:color="auto" w:fill="339966"/>
            <w:tcMar>
              <w:top w:w="15" w:type="dxa"/>
              <w:left w:w="108" w:type="dxa"/>
              <w:bottom w:w="0" w:type="dxa"/>
              <w:right w:w="108" w:type="dxa"/>
            </w:tcMar>
            <w:vAlign w:val="center"/>
            <w:hideMark/>
          </w:tcPr>
          <w:p w14:paraId="14C275B0" w14:textId="77777777" w:rsidR="00A07DBF" w:rsidRPr="00A625E5" w:rsidRDefault="00A07DBF" w:rsidP="00EB743E">
            <w:pPr>
              <w:spacing w:after="120" w:line="240" w:lineRule="auto"/>
              <w:rPr>
                <w:color w:val="171717" w:themeColor="background2" w:themeShade="1A"/>
              </w:rPr>
            </w:pPr>
            <w:r w:rsidRPr="00A625E5">
              <w:rPr>
                <w:b/>
                <w:bCs/>
                <w:color w:val="171717" w:themeColor="background2" w:themeShade="1A"/>
              </w:rPr>
              <w:t>Engagement</w:t>
            </w:r>
          </w:p>
        </w:tc>
        <w:tc>
          <w:tcPr>
            <w:tcW w:w="1666" w:type="pct"/>
            <w:tcBorders>
              <w:top w:val="single" w:sz="4" w:space="0" w:color="4472C4"/>
              <w:left w:val="nil"/>
              <w:bottom w:val="single" w:sz="4" w:space="0" w:color="4472C4"/>
              <w:right w:val="nil"/>
            </w:tcBorders>
            <w:shd w:val="clear" w:color="auto" w:fill="7030A0"/>
            <w:tcMar>
              <w:top w:w="15" w:type="dxa"/>
              <w:left w:w="108" w:type="dxa"/>
              <w:bottom w:w="0" w:type="dxa"/>
              <w:right w:w="108" w:type="dxa"/>
            </w:tcMar>
            <w:vAlign w:val="center"/>
            <w:hideMark/>
          </w:tcPr>
          <w:p w14:paraId="0329958B" w14:textId="77777777" w:rsidR="00A07DBF" w:rsidRPr="00A07DBF" w:rsidRDefault="00A07DBF" w:rsidP="00EB743E">
            <w:pPr>
              <w:spacing w:after="120" w:line="240" w:lineRule="auto"/>
              <w:rPr>
                <w:color w:val="FFFFFF" w:themeColor="background1"/>
              </w:rPr>
            </w:pPr>
            <w:r w:rsidRPr="00A07DBF">
              <w:rPr>
                <w:b/>
                <w:bCs/>
                <w:color w:val="FFFFFF" w:themeColor="background1"/>
              </w:rPr>
              <w:t>Representation</w:t>
            </w:r>
          </w:p>
        </w:tc>
        <w:tc>
          <w:tcPr>
            <w:tcW w:w="1667" w:type="pct"/>
            <w:tcBorders>
              <w:top w:val="single" w:sz="4" w:space="0" w:color="4472C4"/>
              <w:left w:val="nil"/>
              <w:bottom w:val="single" w:sz="4" w:space="0" w:color="4472C4"/>
              <w:right w:val="single" w:sz="4" w:space="0" w:color="4472C4"/>
            </w:tcBorders>
            <w:shd w:val="clear" w:color="auto" w:fill="0070C0"/>
            <w:tcMar>
              <w:top w:w="15" w:type="dxa"/>
              <w:left w:w="108" w:type="dxa"/>
              <w:bottom w:w="0" w:type="dxa"/>
              <w:right w:w="108" w:type="dxa"/>
            </w:tcMar>
            <w:vAlign w:val="center"/>
            <w:hideMark/>
          </w:tcPr>
          <w:p w14:paraId="6D5A963D" w14:textId="77777777" w:rsidR="00A07DBF" w:rsidRPr="00A07DBF" w:rsidRDefault="00A07DBF" w:rsidP="00EB743E">
            <w:pPr>
              <w:spacing w:after="120" w:line="240" w:lineRule="auto"/>
              <w:rPr>
                <w:color w:val="FFFFFF" w:themeColor="background1"/>
              </w:rPr>
            </w:pPr>
            <w:r w:rsidRPr="00A07DBF">
              <w:rPr>
                <w:b/>
                <w:bCs/>
                <w:color w:val="FFFFFF" w:themeColor="background1"/>
              </w:rPr>
              <w:t>Action and expression</w:t>
            </w:r>
          </w:p>
        </w:tc>
      </w:tr>
      <w:tr w:rsidR="00A07DBF" w:rsidRPr="00A07DBF" w14:paraId="77BE813D" w14:textId="77777777" w:rsidTr="00A07DBF">
        <w:trPr>
          <w:trHeight w:val="3017"/>
        </w:trPr>
        <w:tc>
          <w:tcPr>
            <w:tcW w:w="1666" w:type="pct"/>
            <w:tcBorders>
              <w:top w:val="single" w:sz="4" w:space="0" w:color="4472C4"/>
              <w:left w:val="single" w:sz="4" w:space="0" w:color="4472C4"/>
              <w:bottom w:val="single" w:sz="4" w:space="0" w:color="4472C4"/>
              <w:right w:val="nil"/>
            </w:tcBorders>
            <w:shd w:val="clear" w:color="auto" w:fill="auto"/>
            <w:tcMar>
              <w:top w:w="15" w:type="dxa"/>
              <w:left w:w="108" w:type="dxa"/>
              <w:bottom w:w="0" w:type="dxa"/>
              <w:right w:w="108" w:type="dxa"/>
            </w:tcMar>
            <w:hideMark/>
          </w:tcPr>
          <w:p w14:paraId="5EC6BBCA" w14:textId="77777777" w:rsidR="00A07DBF" w:rsidRPr="00A07DBF" w:rsidRDefault="00A07DBF" w:rsidP="00EB743E">
            <w:pPr>
              <w:numPr>
                <w:ilvl w:val="0"/>
                <w:numId w:val="23"/>
              </w:numPr>
              <w:spacing w:after="120" w:line="240" w:lineRule="auto"/>
            </w:pPr>
            <w:r w:rsidRPr="00A07DBF">
              <w:t>Lacking belonging and connection</w:t>
            </w:r>
          </w:p>
        </w:tc>
        <w:tc>
          <w:tcPr>
            <w:tcW w:w="1666" w:type="pct"/>
            <w:tcBorders>
              <w:top w:val="single" w:sz="4" w:space="0" w:color="4472C4"/>
              <w:left w:val="nil"/>
              <w:bottom w:val="single" w:sz="4" w:space="0" w:color="4472C4"/>
              <w:right w:val="nil"/>
            </w:tcBorders>
            <w:shd w:val="clear" w:color="auto" w:fill="auto"/>
            <w:tcMar>
              <w:top w:w="15" w:type="dxa"/>
              <w:left w:w="108" w:type="dxa"/>
              <w:bottom w:w="0" w:type="dxa"/>
              <w:right w:w="108" w:type="dxa"/>
            </w:tcMar>
            <w:hideMark/>
          </w:tcPr>
          <w:p w14:paraId="091F15F1" w14:textId="77777777" w:rsidR="00A07DBF" w:rsidRPr="00A07DBF" w:rsidRDefault="00A07DBF" w:rsidP="00EB743E">
            <w:pPr>
              <w:numPr>
                <w:ilvl w:val="0"/>
                <w:numId w:val="23"/>
              </w:numPr>
              <w:spacing w:after="120" w:line="240" w:lineRule="auto"/>
            </w:pPr>
            <w:r w:rsidRPr="00A07DBF">
              <w:t>Difficulties focusing on information dominated by one media (i.e. text) and when it is not optimised for perception and building knowledge</w:t>
            </w:r>
          </w:p>
          <w:p w14:paraId="08998510" w14:textId="77777777" w:rsidR="00A07DBF" w:rsidRPr="00A07DBF" w:rsidRDefault="00A07DBF" w:rsidP="00EB743E">
            <w:pPr>
              <w:numPr>
                <w:ilvl w:val="0"/>
                <w:numId w:val="23"/>
              </w:numPr>
              <w:spacing w:after="120" w:line="240" w:lineRule="auto"/>
            </w:pPr>
            <w:r w:rsidRPr="00A07DBF">
              <w:rPr>
                <w:lang w:val="en-US"/>
              </w:rPr>
              <w:t>Information presented in accessible ways</w:t>
            </w:r>
          </w:p>
        </w:tc>
        <w:tc>
          <w:tcPr>
            <w:tcW w:w="1667" w:type="pct"/>
            <w:tcBorders>
              <w:top w:val="single" w:sz="4" w:space="0" w:color="4472C4"/>
              <w:left w:val="nil"/>
              <w:bottom w:val="single" w:sz="4" w:space="0" w:color="4472C4"/>
              <w:right w:val="single" w:sz="4" w:space="0" w:color="4472C4"/>
            </w:tcBorders>
            <w:shd w:val="clear" w:color="auto" w:fill="auto"/>
            <w:tcMar>
              <w:top w:w="15" w:type="dxa"/>
              <w:left w:w="108" w:type="dxa"/>
              <w:bottom w:w="0" w:type="dxa"/>
              <w:right w:w="108" w:type="dxa"/>
            </w:tcMar>
            <w:hideMark/>
          </w:tcPr>
          <w:p w14:paraId="0492675F" w14:textId="77777777" w:rsidR="00A07DBF" w:rsidRPr="00A07DBF" w:rsidRDefault="00A07DBF" w:rsidP="00EB743E">
            <w:pPr>
              <w:numPr>
                <w:ilvl w:val="0"/>
                <w:numId w:val="23"/>
              </w:numPr>
              <w:spacing w:after="120" w:line="240" w:lineRule="auto"/>
            </w:pPr>
            <w:r w:rsidRPr="00A07DBF">
              <w:t>Mode of attending/participating does not align with student needs</w:t>
            </w:r>
          </w:p>
          <w:p w14:paraId="7F944F98" w14:textId="77777777" w:rsidR="00A07DBF" w:rsidRPr="00A07DBF" w:rsidRDefault="00A07DBF" w:rsidP="00EB743E">
            <w:pPr>
              <w:numPr>
                <w:ilvl w:val="0"/>
                <w:numId w:val="23"/>
              </w:numPr>
              <w:spacing w:after="120" w:line="240" w:lineRule="auto"/>
            </w:pPr>
            <w:r w:rsidRPr="00A07DBF">
              <w:t>Physical spaces lacking accessibility</w:t>
            </w:r>
          </w:p>
        </w:tc>
      </w:tr>
    </w:tbl>
    <w:p w14:paraId="1FE7443D" w14:textId="77777777" w:rsidR="00557D56" w:rsidRPr="00557D56" w:rsidRDefault="00557D56" w:rsidP="00645E6B">
      <w:pPr>
        <w:pStyle w:val="Heading2"/>
      </w:pPr>
      <w:bookmarkStart w:id="12" w:name="_Toc200484951"/>
      <w:r w:rsidRPr="00557D56">
        <w:t>Impacts of Academic Stress</w:t>
      </w:r>
      <w:bookmarkEnd w:id="12"/>
    </w:p>
    <w:p w14:paraId="7614E1FC" w14:textId="77777777" w:rsidR="00EB743E" w:rsidRPr="00EB743E" w:rsidRDefault="00EB743E" w:rsidP="00EB743E">
      <w:pPr>
        <w:pStyle w:val="ListParagraph"/>
        <w:numPr>
          <w:ilvl w:val="0"/>
          <w:numId w:val="27"/>
        </w:numPr>
        <w:spacing w:after="120" w:line="240" w:lineRule="auto"/>
        <w:contextualSpacing w:val="0"/>
      </w:pPr>
      <w:r w:rsidRPr="00EB743E">
        <w:rPr>
          <w:b/>
          <w:bCs/>
        </w:rPr>
        <w:t>Health:</w:t>
      </w:r>
      <w:r w:rsidRPr="00EB743E">
        <w:t xml:space="preserve"> “Due to academic stress I have had headaches, stomach ulcer/gastritis, poor sleep, depression, anxiety, panic attacks. Also then when health is impacted, wellbeing declines. I become anxious and depressed. Small things feel bigger, I am teary and short fused. I isolate myself from my friends and family </w:t>
      </w:r>
      <w:proofErr w:type="gramStart"/>
      <w:r w:rsidRPr="00EB743E">
        <w:t>in order to</w:t>
      </w:r>
      <w:proofErr w:type="gramEnd"/>
      <w:r w:rsidRPr="00EB743E">
        <w:t xml:space="preserve"> concentrate more time on my studies. This can cause the academic stress to worsen as you have no other outlets or positive influences.”</w:t>
      </w:r>
    </w:p>
    <w:p w14:paraId="1A2E7596" w14:textId="77777777" w:rsidR="00EB743E" w:rsidRPr="00EB743E" w:rsidRDefault="00EB743E" w:rsidP="00EB743E">
      <w:pPr>
        <w:pStyle w:val="ListParagraph"/>
        <w:numPr>
          <w:ilvl w:val="0"/>
          <w:numId w:val="27"/>
        </w:numPr>
        <w:spacing w:after="120" w:line="240" w:lineRule="auto"/>
        <w:contextualSpacing w:val="0"/>
      </w:pPr>
      <w:r w:rsidRPr="00EB743E">
        <w:rPr>
          <w:b/>
          <w:bCs/>
        </w:rPr>
        <w:t>Motivation:</w:t>
      </w:r>
      <w:r w:rsidRPr="00EB743E">
        <w:t xml:space="preserve"> “it can go both ways, either [stress] motivates me to do better or </w:t>
      </w:r>
      <w:proofErr w:type="spellStart"/>
      <w:r w:rsidRPr="00EB743E">
        <w:t>i</w:t>
      </w:r>
      <w:proofErr w:type="spellEnd"/>
      <w:r w:rsidRPr="00EB743E">
        <w:t xml:space="preserve"> sometimes just give up”</w:t>
      </w:r>
    </w:p>
    <w:p w14:paraId="0361CAD8" w14:textId="77777777" w:rsidR="00EB743E" w:rsidRPr="00EB743E" w:rsidRDefault="00EB743E" w:rsidP="00EB743E">
      <w:pPr>
        <w:pStyle w:val="ListParagraph"/>
        <w:numPr>
          <w:ilvl w:val="0"/>
          <w:numId w:val="27"/>
        </w:numPr>
        <w:spacing w:after="120" w:line="240" w:lineRule="auto"/>
        <w:contextualSpacing w:val="0"/>
      </w:pPr>
      <w:r w:rsidRPr="00EB743E">
        <w:rPr>
          <w:b/>
          <w:bCs/>
        </w:rPr>
        <w:t>Depth of learning:</w:t>
      </w:r>
      <w:r w:rsidRPr="00EB743E">
        <w:t xml:space="preserve"> “[stress] makes me focus on getting assessment tasks done on time instead of really learning and exploring the content”</w:t>
      </w:r>
    </w:p>
    <w:p w14:paraId="59AF81A8" w14:textId="77777777" w:rsidR="00EB743E" w:rsidRPr="00EB743E" w:rsidRDefault="00EB743E" w:rsidP="00EB743E">
      <w:pPr>
        <w:pStyle w:val="ListParagraph"/>
        <w:numPr>
          <w:ilvl w:val="0"/>
          <w:numId w:val="27"/>
        </w:numPr>
        <w:spacing w:after="120" w:line="240" w:lineRule="auto"/>
        <w:contextualSpacing w:val="0"/>
      </w:pPr>
      <w:r w:rsidRPr="00EB743E">
        <w:rPr>
          <w:b/>
          <w:bCs/>
        </w:rPr>
        <w:t>Achievement:</w:t>
      </w:r>
      <w:r w:rsidRPr="00EB743E">
        <w:t xml:space="preserve"> “I just shut down if it gets too much. This has resulted in two failing grades and my WAM has suffered because of it.” </w:t>
      </w:r>
    </w:p>
    <w:p w14:paraId="284A9C38" w14:textId="77777777" w:rsidR="00557D56" w:rsidRPr="00557D56" w:rsidRDefault="00557D56" w:rsidP="007F5A51">
      <w:pPr>
        <w:pStyle w:val="Heading2"/>
      </w:pPr>
      <w:bookmarkStart w:id="13" w:name="_Toc200484952"/>
      <w:r w:rsidRPr="00557D56">
        <w:t>What Can We Each Take Away?</w:t>
      </w:r>
      <w:bookmarkEnd w:id="13"/>
    </w:p>
    <w:p w14:paraId="5157C804" w14:textId="77777777" w:rsidR="00557D56" w:rsidRPr="00557D56" w:rsidRDefault="00557D56" w:rsidP="00EB743E">
      <w:pPr>
        <w:pStyle w:val="ListParagraph"/>
        <w:numPr>
          <w:ilvl w:val="0"/>
          <w:numId w:val="26"/>
        </w:numPr>
        <w:spacing w:after="120" w:line="240" w:lineRule="auto"/>
        <w:ind w:left="851"/>
        <w:contextualSpacing w:val="0"/>
      </w:pPr>
      <w:r w:rsidRPr="00557D56">
        <w:t>Many stressors contribute to students’ stress in higher education, affecting their health and learning.</w:t>
      </w:r>
    </w:p>
    <w:p w14:paraId="2FA119B8" w14:textId="77777777" w:rsidR="00557D56" w:rsidRPr="00557D56" w:rsidRDefault="00557D56" w:rsidP="00EB743E">
      <w:pPr>
        <w:pStyle w:val="ListParagraph"/>
        <w:numPr>
          <w:ilvl w:val="0"/>
          <w:numId w:val="26"/>
        </w:numPr>
        <w:spacing w:after="120" w:line="240" w:lineRule="auto"/>
        <w:ind w:left="851"/>
        <w:contextualSpacing w:val="0"/>
      </w:pPr>
      <w:r w:rsidRPr="00557D56">
        <w:t>Some stressors could be reduced by UDL-informed actions.</w:t>
      </w:r>
    </w:p>
    <w:p w14:paraId="7910EE88" w14:textId="77777777" w:rsidR="00EB743E" w:rsidRDefault="00557D56" w:rsidP="00645E6B">
      <w:pPr>
        <w:pStyle w:val="Heading2"/>
      </w:pPr>
      <w:bookmarkStart w:id="14" w:name="_Toc200484953"/>
      <w:r w:rsidRPr="00557D56">
        <w:lastRenderedPageBreak/>
        <w:t>What’s Next?</w:t>
      </w:r>
      <w:bookmarkEnd w:id="14"/>
      <w:r w:rsidRPr="00557D56">
        <w:t xml:space="preserve"> </w:t>
      </w:r>
    </w:p>
    <w:p w14:paraId="60851941" w14:textId="4CE3FCE3" w:rsidR="00557D56" w:rsidRPr="00557D56" w:rsidRDefault="00557D56" w:rsidP="00EB743E">
      <w:pPr>
        <w:spacing w:after="120" w:line="240" w:lineRule="auto"/>
      </w:pPr>
      <w:r w:rsidRPr="00557D56">
        <w:rPr>
          <w:b/>
          <w:bCs/>
        </w:rPr>
        <w:t>Stage 2</w:t>
      </w:r>
      <w:r w:rsidR="00EB743E">
        <w:t xml:space="preserve">: </w:t>
      </w:r>
      <w:r w:rsidRPr="00557D56">
        <w:t>Designing</w:t>
      </w:r>
      <w:r w:rsidR="00EB743E">
        <w:t>.</w:t>
      </w:r>
      <w:r w:rsidRPr="00557D56">
        <w:t xml:space="preserve"> Co-designing an appropriate, accessible, and inclusive stress prevention/reduction intervention. Goal: Planning to prevent/reduce high stress through a UDL lens.</w:t>
      </w:r>
    </w:p>
    <w:p w14:paraId="6D26B045" w14:textId="77777777" w:rsidR="00557D56" w:rsidRPr="00557D56" w:rsidRDefault="00557D56" w:rsidP="00EB743E">
      <w:pPr>
        <w:spacing w:after="120" w:line="240" w:lineRule="auto"/>
      </w:pPr>
      <w:r w:rsidRPr="00557D56">
        <w:rPr>
          <w:b/>
          <w:bCs/>
        </w:rPr>
        <w:t>Interested in Being a Part of It?</w:t>
      </w:r>
      <w:r w:rsidRPr="00557D56">
        <w:t xml:space="preserve"> Staff working in accessibility or wellbeing are warmly invited to:</w:t>
      </w:r>
    </w:p>
    <w:p w14:paraId="00454939" w14:textId="77777777" w:rsidR="00557D56" w:rsidRPr="00557D56" w:rsidRDefault="00557D56" w:rsidP="00EB743E">
      <w:pPr>
        <w:pStyle w:val="ListParagraph"/>
        <w:numPr>
          <w:ilvl w:val="0"/>
          <w:numId w:val="24"/>
        </w:numPr>
        <w:spacing w:after="120" w:line="240" w:lineRule="auto"/>
        <w:ind w:left="851"/>
        <w:contextualSpacing w:val="0"/>
      </w:pPr>
      <w:r w:rsidRPr="00557D56">
        <w:t>Share insights by participating in the co-design phase</w:t>
      </w:r>
    </w:p>
    <w:p w14:paraId="7D16B073" w14:textId="77777777" w:rsidR="00557D56" w:rsidRPr="00557D56" w:rsidRDefault="00557D56" w:rsidP="00EB743E">
      <w:pPr>
        <w:pStyle w:val="ListParagraph"/>
        <w:numPr>
          <w:ilvl w:val="0"/>
          <w:numId w:val="24"/>
        </w:numPr>
        <w:spacing w:after="120" w:line="240" w:lineRule="auto"/>
        <w:ind w:left="851"/>
        <w:contextualSpacing w:val="0"/>
      </w:pPr>
      <w:r w:rsidRPr="00557D56">
        <w:t>Share the flyer</w:t>
      </w:r>
    </w:p>
    <w:p w14:paraId="6A7C1414" w14:textId="77777777" w:rsidR="00557D56" w:rsidRPr="00557D56" w:rsidRDefault="00557D56" w:rsidP="00EB743E">
      <w:pPr>
        <w:pStyle w:val="ListParagraph"/>
        <w:numPr>
          <w:ilvl w:val="0"/>
          <w:numId w:val="24"/>
        </w:numPr>
        <w:spacing w:after="120" w:line="240" w:lineRule="auto"/>
        <w:ind w:left="851"/>
        <w:contextualSpacing w:val="0"/>
      </w:pPr>
      <w:r w:rsidRPr="00557D56">
        <w:t>Hear updates on the findings</w:t>
      </w:r>
    </w:p>
    <w:p w14:paraId="5A8FF84C" w14:textId="77777777" w:rsidR="00EB743E" w:rsidRDefault="00EB743E" w:rsidP="00EB743E">
      <w:pPr>
        <w:pStyle w:val="Heading2"/>
        <w:spacing w:before="120" w:after="120"/>
      </w:pPr>
      <w:bookmarkStart w:id="15" w:name="_Toc200484954"/>
      <w:r>
        <w:t>Contact</w:t>
      </w:r>
      <w:bookmarkEnd w:id="15"/>
    </w:p>
    <w:p w14:paraId="5A99E64D" w14:textId="77777777" w:rsidR="00EB743E" w:rsidRDefault="00557D56" w:rsidP="00EB743E">
      <w:pPr>
        <w:spacing w:after="120" w:line="240" w:lineRule="auto"/>
      </w:pPr>
      <w:r w:rsidRPr="00557D56">
        <w:t xml:space="preserve">Elizabeth Hitches (she/her) </w:t>
      </w:r>
    </w:p>
    <w:p w14:paraId="17F1196A" w14:textId="77777777" w:rsidR="00EB743E" w:rsidRDefault="00557D56" w:rsidP="00EB743E">
      <w:pPr>
        <w:spacing w:after="120" w:line="240" w:lineRule="auto"/>
      </w:pPr>
      <w:r w:rsidRPr="00557D56">
        <w:t xml:space="preserve">Email: </w:t>
      </w:r>
      <w:hyperlink r:id="rId6" w:history="1">
        <w:r w:rsidR="00EB743E" w:rsidRPr="00483F67">
          <w:rPr>
            <w:rStyle w:val="Hyperlink"/>
          </w:rPr>
          <w:t>e.hitches@uq.edu.au</w:t>
        </w:r>
      </w:hyperlink>
      <w:r w:rsidR="00EB743E">
        <w:t xml:space="preserve"> </w:t>
      </w:r>
    </w:p>
    <w:p w14:paraId="7EA42933" w14:textId="54C0AFDF" w:rsidR="005106D7" w:rsidRDefault="00557D56" w:rsidP="00EB743E">
      <w:pPr>
        <w:spacing w:after="120" w:line="240" w:lineRule="auto"/>
      </w:pPr>
      <w:r w:rsidRPr="00557D56">
        <w:t xml:space="preserve">LinkedIn: </w:t>
      </w:r>
      <w:hyperlink r:id="rId7" w:history="1">
        <w:r w:rsidR="00EB743E" w:rsidRPr="00483F67">
          <w:rPr>
            <w:rStyle w:val="Hyperlink"/>
          </w:rPr>
          <w:t>www.linkedin.com/in/elizabethhitches</w:t>
        </w:r>
      </w:hyperlink>
    </w:p>
    <w:sectPr w:rsidR="00510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DD9"/>
    <w:multiLevelType w:val="hybridMultilevel"/>
    <w:tmpl w:val="F6AAA0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576E49"/>
    <w:multiLevelType w:val="multilevel"/>
    <w:tmpl w:val="90A6C522"/>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o"/>
      <w:lvlJc w:val="left"/>
      <w:pPr>
        <w:tabs>
          <w:tab w:val="num" w:pos="1488"/>
        </w:tabs>
        <w:ind w:left="1488" w:hanging="360"/>
      </w:pPr>
      <w:rPr>
        <w:rFonts w:ascii="Courier New" w:hAnsi="Courier New" w:hint="default"/>
        <w:sz w:val="20"/>
      </w:rPr>
    </w:lvl>
    <w:lvl w:ilvl="2" w:tentative="1">
      <w:start w:val="1"/>
      <w:numFmt w:val="bullet"/>
      <w:lvlText w:val=""/>
      <w:lvlJc w:val="left"/>
      <w:pPr>
        <w:tabs>
          <w:tab w:val="num" w:pos="2208"/>
        </w:tabs>
        <w:ind w:left="2208" w:hanging="360"/>
      </w:pPr>
      <w:rPr>
        <w:rFonts w:ascii="Wingdings" w:hAnsi="Wingdings" w:hint="default"/>
        <w:sz w:val="20"/>
      </w:rPr>
    </w:lvl>
    <w:lvl w:ilvl="3" w:tentative="1">
      <w:start w:val="1"/>
      <w:numFmt w:val="bullet"/>
      <w:lvlText w:val=""/>
      <w:lvlJc w:val="left"/>
      <w:pPr>
        <w:tabs>
          <w:tab w:val="num" w:pos="2928"/>
        </w:tabs>
        <w:ind w:left="2928" w:hanging="360"/>
      </w:pPr>
      <w:rPr>
        <w:rFonts w:ascii="Wingdings" w:hAnsi="Wingdings" w:hint="default"/>
        <w:sz w:val="20"/>
      </w:rPr>
    </w:lvl>
    <w:lvl w:ilvl="4" w:tentative="1">
      <w:start w:val="1"/>
      <w:numFmt w:val="bullet"/>
      <w:lvlText w:val=""/>
      <w:lvlJc w:val="left"/>
      <w:pPr>
        <w:tabs>
          <w:tab w:val="num" w:pos="3648"/>
        </w:tabs>
        <w:ind w:left="3648" w:hanging="360"/>
      </w:pPr>
      <w:rPr>
        <w:rFonts w:ascii="Wingdings" w:hAnsi="Wingdings" w:hint="default"/>
        <w:sz w:val="20"/>
      </w:rPr>
    </w:lvl>
    <w:lvl w:ilvl="5" w:tentative="1">
      <w:start w:val="1"/>
      <w:numFmt w:val="bullet"/>
      <w:lvlText w:val=""/>
      <w:lvlJc w:val="left"/>
      <w:pPr>
        <w:tabs>
          <w:tab w:val="num" w:pos="4368"/>
        </w:tabs>
        <w:ind w:left="4368" w:hanging="360"/>
      </w:pPr>
      <w:rPr>
        <w:rFonts w:ascii="Wingdings" w:hAnsi="Wingdings" w:hint="default"/>
        <w:sz w:val="20"/>
      </w:rPr>
    </w:lvl>
    <w:lvl w:ilvl="6" w:tentative="1">
      <w:start w:val="1"/>
      <w:numFmt w:val="bullet"/>
      <w:lvlText w:val=""/>
      <w:lvlJc w:val="left"/>
      <w:pPr>
        <w:tabs>
          <w:tab w:val="num" w:pos="5088"/>
        </w:tabs>
        <w:ind w:left="5088" w:hanging="360"/>
      </w:pPr>
      <w:rPr>
        <w:rFonts w:ascii="Wingdings" w:hAnsi="Wingdings" w:hint="default"/>
        <w:sz w:val="20"/>
      </w:rPr>
    </w:lvl>
    <w:lvl w:ilvl="7" w:tentative="1">
      <w:start w:val="1"/>
      <w:numFmt w:val="bullet"/>
      <w:lvlText w:val=""/>
      <w:lvlJc w:val="left"/>
      <w:pPr>
        <w:tabs>
          <w:tab w:val="num" w:pos="5808"/>
        </w:tabs>
        <w:ind w:left="5808" w:hanging="360"/>
      </w:pPr>
      <w:rPr>
        <w:rFonts w:ascii="Wingdings" w:hAnsi="Wingdings" w:hint="default"/>
        <w:sz w:val="20"/>
      </w:rPr>
    </w:lvl>
    <w:lvl w:ilvl="8" w:tentative="1">
      <w:start w:val="1"/>
      <w:numFmt w:val="bullet"/>
      <w:lvlText w:val=""/>
      <w:lvlJc w:val="left"/>
      <w:pPr>
        <w:tabs>
          <w:tab w:val="num" w:pos="6528"/>
        </w:tabs>
        <w:ind w:left="6528" w:hanging="360"/>
      </w:pPr>
      <w:rPr>
        <w:rFonts w:ascii="Wingdings" w:hAnsi="Wingdings" w:hint="default"/>
        <w:sz w:val="20"/>
      </w:rPr>
    </w:lvl>
  </w:abstractNum>
  <w:abstractNum w:abstractNumId="2" w15:restartNumberingAfterBreak="0">
    <w:nsid w:val="13F2566D"/>
    <w:multiLevelType w:val="hybridMultilevel"/>
    <w:tmpl w:val="DBC82A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A432449"/>
    <w:multiLevelType w:val="multilevel"/>
    <w:tmpl w:val="8DE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83F48"/>
    <w:multiLevelType w:val="hybridMultilevel"/>
    <w:tmpl w:val="F0822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63A56"/>
    <w:multiLevelType w:val="hybridMultilevel"/>
    <w:tmpl w:val="47AE48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6C6CEC"/>
    <w:multiLevelType w:val="hybridMultilevel"/>
    <w:tmpl w:val="1202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C4908"/>
    <w:multiLevelType w:val="hybridMultilevel"/>
    <w:tmpl w:val="29480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CD4845"/>
    <w:multiLevelType w:val="hybridMultilevel"/>
    <w:tmpl w:val="6AF019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BD39F7"/>
    <w:multiLevelType w:val="hybridMultilevel"/>
    <w:tmpl w:val="EC086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80513"/>
    <w:multiLevelType w:val="hybridMultilevel"/>
    <w:tmpl w:val="AFEEF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FA7EE8"/>
    <w:multiLevelType w:val="hybridMultilevel"/>
    <w:tmpl w:val="BBEE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F10068"/>
    <w:multiLevelType w:val="multilevel"/>
    <w:tmpl w:val="701656AE"/>
    <w:lvl w:ilvl="0">
      <w:start w:val="1"/>
      <w:numFmt w:val="bullet"/>
      <w:lvlText w:val=""/>
      <w:lvlJc w:val="left"/>
      <w:pPr>
        <w:tabs>
          <w:tab w:val="num" w:pos="1128"/>
        </w:tabs>
        <w:ind w:left="1128" w:hanging="360"/>
      </w:pPr>
      <w:rPr>
        <w:rFonts w:ascii="Symbol" w:hAnsi="Symbol" w:hint="default"/>
        <w:sz w:val="20"/>
      </w:rPr>
    </w:lvl>
    <w:lvl w:ilvl="1" w:tentative="1">
      <w:start w:val="1"/>
      <w:numFmt w:val="bullet"/>
      <w:lvlText w:val="o"/>
      <w:lvlJc w:val="left"/>
      <w:pPr>
        <w:tabs>
          <w:tab w:val="num" w:pos="1848"/>
        </w:tabs>
        <w:ind w:left="1848" w:hanging="360"/>
      </w:pPr>
      <w:rPr>
        <w:rFonts w:ascii="Courier New" w:hAnsi="Courier New" w:hint="default"/>
        <w:sz w:val="20"/>
      </w:rPr>
    </w:lvl>
    <w:lvl w:ilvl="2" w:tentative="1">
      <w:start w:val="1"/>
      <w:numFmt w:val="bullet"/>
      <w:lvlText w:val=""/>
      <w:lvlJc w:val="left"/>
      <w:pPr>
        <w:tabs>
          <w:tab w:val="num" w:pos="2568"/>
        </w:tabs>
        <w:ind w:left="2568" w:hanging="360"/>
      </w:pPr>
      <w:rPr>
        <w:rFonts w:ascii="Wingdings" w:hAnsi="Wingdings" w:hint="default"/>
        <w:sz w:val="20"/>
      </w:rPr>
    </w:lvl>
    <w:lvl w:ilvl="3" w:tentative="1">
      <w:start w:val="1"/>
      <w:numFmt w:val="bullet"/>
      <w:lvlText w:val=""/>
      <w:lvlJc w:val="left"/>
      <w:pPr>
        <w:tabs>
          <w:tab w:val="num" w:pos="3288"/>
        </w:tabs>
        <w:ind w:left="3288" w:hanging="360"/>
      </w:pPr>
      <w:rPr>
        <w:rFonts w:ascii="Wingdings" w:hAnsi="Wingdings" w:hint="default"/>
        <w:sz w:val="20"/>
      </w:rPr>
    </w:lvl>
    <w:lvl w:ilvl="4" w:tentative="1">
      <w:start w:val="1"/>
      <w:numFmt w:val="bullet"/>
      <w:lvlText w:val=""/>
      <w:lvlJc w:val="left"/>
      <w:pPr>
        <w:tabs>
          <w:tab w:val="num" w:pos="4008"/>
        </w:tabs>
        <w:ind w:left="4008" w:hanging="360"/>
      </w:pPr>
      <w:rPr>
        <w:rFonts w:ascii="Wingdings" w:hAnsi="Wingdings" w:hint="default"/>
        <w:sz w:val="20"/>
      </w:rPr>
    </w:lvl>
    <w:lvl w:ilvl="5" w:tentative="1">
      <w:start w:val="1"/>
      <w:numFmt w:val="bullet"/>
      <w:lvlText w:val=""/>
      <w:lvlJc w:val="left"/>
      <w:pPr>
        <w:tabs>
          <w:tab w:val="num" w:pos="4728"/>
        </w:tabs>
        <w:ind w:left="4728" w:hanging="360"/>
      </w:pPr>
      <w:rPr>
        <w:rFonts w:ascii="Wingdings" w:hAnsi="Wingdings" w:hint="default"/>
        <w:sz w:val="20"/>
      </w:rPr>
    </w:lvl>
    <w:lvl w:ilvl="6" w:tentative="1">
      <w:start w:val="1"/>
      <w:numFmt w:val="bullet"/>
      <w:lvlText w:val=""/>
      <w:lvlJc w:val="left"/>
      <w:pPr>
        <w:tabs>
          <w:tab w:val="num" w:pos="5448"/>
        </w:tabs>
        <w:ind w:left="5448" w:hanging="360"/>
      </w:pPr>
      <w:rPr>
        <w:rFonts w:ascii="Wingdings" w:hAnsi="Wingdings" w:hint="default"/>
        <w:sz w:val="20"/>
      </w:rPr>
    </w:lvl>
    <w:lvl w:ilvl="7" w:tentative="1">
      <w:start w:val="1"/>
      <w:numFmt w:val="bullet"/>
      <w:lvlText w:val=""/>
      <w:lvlJc w:val="left"/>
      <w:pPr>
        <w:tabs>
          <w:tab w:val="num" w:pos="6168"/>
        </w:tabs>
        <w:ind w:left="6168" w:hanging="360"/>
      </w:pPr>
      <w:rPr>
        <w:rFonts w:ascii="Wingdings" w:hAnsi="Wingdings" w:hint="default"/>
        <w:sz w:val="20"/>
      </w:rPr>
    </w:lvl>
    <w:lvl w:ilvl="8" w:tentative="1">
      <w:start w:val="1"/>
      <w:numFmt w:val="bullet"/>
      <w:lvlText w:val=""/>
      <w:lvlJc w:val="left"/>
      <w:pPr>
        <w:tabs>
          <w:tab w:val="num" w:pos="6888"/>
        </w:tabs>
        <w:ind w:left="6888" w:hanging="360"/>
      </w:pPr>
      <w:rPr>
        <w:rFonts w:ascii="Wingdings" w:hAnsi="Wingdings" w:hint="default"/>
        <w:sz w:val="20"/>
      </w:rPr>
    </w:lvl>
  </w:abstractNum>
  <w:abstractNum w:abstractNumId="13" w15:restartNumberingAfterBreak="0">
    <w:nsid w:val="4D71311B"/>
    <w:multiLevelType w:val="hybridMultilevel"/>
    <w:tmpl w:val="1A06D5F4"/>
    <w:lvl w:ilvl="0" w:tplc="9656EB42">
      <w:start w:val="1"/>
      <w:numFmt w:val="bullet"/>
      <w:lvlText w:val=""/>
      <w:lvlJc w:val="left"/>
      <w:pPr>
        <w:tabs>
          <w:tab w:val="num" w:pos="720"/>
        </w:tabs>
        <w:ind w:left="720" w:hanging="360"/>
      </w:pPr>
      <w:rPr>
        <w:rFonts w:ascii="Wingdings" w:hAnsi="Wingdings" w:hint="default"/>
      </w:rPr>
    </w:lvl>
    <w:lvl w:ilvl="1" w:tplc="E5464570" w:tentative="1">
      <w:start w:val="1"/>
      <w:numFmt w:val="bullet"/>
      <w:lvlText w:val=""/>
      <w:lvlJc w:val="left"/>
      <w:pPr>
        <w:tabs>
          <w:tab w:val="num" w:pos="1440"/>
        </w:tabs>
        <w:ind w:left="1440" w:hanging="360"/>
      </w:pPr>
      <w:rPr>
        <w:rFonts w:ascii="Wingdings" w:hAnsi="Wingdings" w:hint="default"/>
      </w:rPr>
    </w:lvl>
    <w:lvl w:ilvl="2" w:tplc="49466492" w:tentative="1">
      <w:start w:val="1"/>
      <w:numFmt w:val="bullet"/>
      <w:lvlText w:val=""/>
      <w:lvlJc w:val="left"/>
      <w:pPr>
        <w:tabs>
          <w:tab w:val="num" w:pos="2160"/>
        </w:tabs>
        <w:ind w:left="2160" w:hanging="360"/>
      </w:pPr>
      <w:rPr>
        <w:rFonts w:ascii="Wingdings" w:hAnsi="Wingdings" w:hint="default"/>
      </w:rPr>
    </w:lvl>
    <w:lvl w:ilvl="3" w:tplc="A490D248" w:tentative="1">
      <w:start w:val="1"/>
      <w:numFmt w:val="bullet"/>
      <w:lvlText w:val=""/>
      <w:lvlJc w:val="left"/>
      <w:pPr>
        <w:tabs>
          <w:tab w:val="num" w:pos="2880"/>
        </w:tabs>
        <w:ind w:left="2880" w:hanging="360"/>
      </w:pPr>
      <w:rPr>
        <w:rFonts w:ascii="Wingdings" w:hAnsi="Wingdings" w:hint="default"/>
      </w:rPr>
    </w:lvl>
    <w:lvl w:ilvl="4" w:tplc="CBF6126A" w:tentative="1">
      <w:start w:val="1"/>
      <w:numFmt w:val="bullet"/>
      <w:lvlText w:val=""/>
      <w:lvlJc w:val="left"/>
      <w:pPr>
        <w:tabs>
          <w:tab w:val="num" w:pos="3600"/>
        </w:tabs>
        <w:ind w:left="3600" w:hanging="360"/>
      </w:pPr>
      <w:rPr>
        <w:rFonts w:ascii="Wingdings" w:hAnsi="Wingdings" w:hint="default"/>
      </w:rPr>
    </w:lvl>
    <w:lvl w:ilvl="5" w:tplc="D8500BAE" w:tentative="1">
      <w:start w:val="1"/>
      <w:numFmt w:val="bullet"/>
      <w:lvlText w:val=""/>
      <w:lvlJc w:val="left"/>
      <w:pPr>
        <w:tabs>
          <w:tab w:val="num" w:pos="4320"/>
        </w:tabs>
        <w:ind w:left="4320" w:hanging="360"/>
      </w:pPr>
      <w:rPr>
        <w:rFonts w:ascii="Wingdings" w:hAnsi="Wingdings" w:hint="default"/>
      </w:rPr>
    </w:lvl>
    <w:lvl w:ilvl="6" w:tplc="57A4C07E" w:tentative="1">
      <w:start w:val="1"/>
      <w:numFmt w:val="bullet"/>
      <w:lvlText w:val=""/>
      <w:lvlJc w:val="left"/>
      <w:pPr>
        <w:tabs>
          <w:tab w:val="num" w:pos="5040"/>
        </w:tabs>
        <w:ind w:left="5040" w:hanging="360"/>
      </w:pPr>
      <w:rPr>
        <w:rFonts w:ascii="Wingdings" w:hAnsi="Wingdings" w:hint="default"/>
      </w:rPr>
    </w:lvl>
    <w:lvl w:ilvl="7" w:tplc="2FB0C512" w:tentative="1">
      <w:start w:val="1"/>
      <w:numFmt w:val="bullet"/>
      <w:lvlText w:val=""/>
      <w:lvlJc w:val="left"/>
      <w:pPr>
        <w:tabs>
          <w:tab w:val="num" w:pos="5760"/>
        </w:tabs>
        <w:ind w:left="5760" w:hanging="360"/>
      </w:pPr>
      <w:rPr>
        <w:rFonts w:ascii="Wingdings" w:hAnsi="Wingdings" w:hint="default"/>
      </w:rPr>
    </w:lvl>
    <w:lvl w:ilvl="8" w:tplc="F02687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0929AE"/>
    <w:multiLevelType w:val="hybridMultilevel"/>
    <w:tmpl w:val="415A9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E32018"/>
    <w:multiLevelType w:val="multilevel"/>
    <w:tmpl w:val="C4D2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310B9"/>
    <w:multiLevelType w:val="multilevel"/>
    <w:tmpl w:val="825C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C155C"/>
    <w:multiLevelType w:val="multilevel"/>
    <w:tmpl w:val="556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D0D0A"/>
    <w:multiLevelType w:val="hybridMultilevel"/>
    <w:tmpl w:val="F9FA6D7E"/>
    <w:lvl w:ilvl="0" w:tplc="19764370">
      <w:start w:val="1"/>
      <w:numFmt w:val="bullet"/>
      <w:lvlText w:val=""/>
      <w:lvlJc w:val="left"/>
      <w:pPr>
        <w:tabs>
          <w:tab w:val="num" w:pos="720"/>
        </w:tabs>
        <w:ind w:left="720" w:hanging="360"/>
      </w:pPr>
      <w:rPr>
        <w:rFonts w:ascii="Wingdings" w:hAnsi="Wingdings" w:hint="default"/>
      </w:rPr>
    </w:lvl>
    <w:lvl w:ilvl="1" w:tplc="93FCC694" w:tentative="1">
      <w:start w:val="1"/>
      <w:numFmt w:val="bullet"/>
      <w:lvlText w:val=""/>
      <w:lvlJc w:val="left"/>
      <w:pPr>
        <w:tabs>
          <w:tab w:val="num" w:pos="1440"/>
        </w:tabs>
        <w:ind w:left="1440" w:hanging="360"/>
      </w:pPr>
      <w:rPr>
        <w:rFonts w:ascii="Wingdings" w:hAnsi="Wingdings" w:hint="default"/>
      </w:rPr>
    </w:lvl>
    <w:lvl w:ilvl="2" w:tplc="ABB4CD86" w:tentative="1">
      <w:start w:val="1"/>
      <w:numFmt w:val="bullet"/>
      <w:lvlText w:val=""/>
      <w:lvlJc w:val="left"/>
      <w:pPr>
        <w:tabs>
          <w:tab w:val="num" w:pos="2160"/>
        </w:tabs>
        <w:ind w:left="2160" w:hanging="360"/>
      </w:pPr>
      <w:rPr>
        <w:rFonts w:ascii="Wingdings" w:hAnsi="Wingdings" w:hint="default"/>
      </w:rPr>
    </w:lvl>
    <w:lvl w:ilvl="3" w:tplc="4CB89C72" w:tentative="1">
      <w:start w:val="1"/>
      <w:numFmt w:val="bullet"/>
      <w:lvlText w:val=""/>
      <w:lvlJc w:val="left"/>
      <w:pPr>
        <w:tabs>
          <w:tab w:val="num" w:pos="2880"/>
        </w:tabs>
        <w:ind w:left="2880" w:hanging="360"/>
      </w:pPr>
      <w:rPr>
        <w:rFonts w:ascii="Wingdings" w:hAnsi="Wingdings" w:hint="default"/>
      </w:rPr>
    </w:lvl>
    <w:lvl w:ilvl="4" w:tplc="4D506C60" w:tentative="1">
      <w:start w:val="1"/>
      <w:numFmt w:val="bullet"/>
      <w:lvlText w:val=""/>
      <w:lvlJc w:val="left"/>
      <w:pPr>
        <w:tabs>
          <w:tab w:val="num" w:pos="3600"/>
        </w:tabs>
        <w:ind w:left="3600" w:hanging="360"/>
      </w:pPr>
      <w:rPr>
        <w:rFonts w:ascii="Wingdings" w:hAnsi="Wingdings" w:hint="default"/>
      </w:rPr>
    </w:lvl>
    <w:lvl w:ilvl="5" w:tplc="249823D4" w:tentative="1">
      <w:start w:val="1"/>
      <w:numFmt w:val="bullet"/>
      <w:lvlText w:val=""/>
      <w:lvlJc w:val="left"/>
      <w:pPr>
        <w:tabs>
          <w:tab w:val="num" w:pos="4320"/>
        </w:tabs>
        <w:ind w:left="4320" w:hanging="360"/>
      </w:pPr>
      <w:rPr>
        <w:rFonts w:ascii="Wingdings" w:hAnsi="Wingdings" w:hint="default"/>
      </w:rPr>
    </w:lvl>
    <w:lvl w:ilvl="6" w:tplc="04D4BB64" w:tentative="1">
      <w:start w:val="1"/>
      <w:numFmt w:val="bullet"/>
      <w:lvlText w:val=""/>
      <w:lvlJc w:val="left"/>
      <w:pPr>
        <w:tabs>
          <w:tab w:val="num" w:pos="5040"/>
        </w:tabs>
        <w:ind w:left="5040" w:hanging="360"/>
      </w:pPr>
      <w:rPr>
        <w:rFonts w:ascii="Wingdings" w:hAnsi="Wingdings" w:hint="default"/>
      </w:rPr>
    </w:lvl>
    <w:lvl w:ilvl="7" w:tplc="70CCB65C" w:tentative="1">
      <w:start w:val="1"/>
      <w:numFmt w:val="bullet"/>
      <w:lvlText w:val=""/>
      <w:lvlJc w:val="left"/>
      <w:pPr>
        <w:tabs>
          <w:tab w:val="num" w:pos="5760"/>
        </w:tabs>
        <w:ind w:left="5760" w:hanging="360"/>
      </w:pPr>
      <w:rPr>
        <w:rFonts w:ascii="Wingdings" w:hAnsi="Wingdings" w:hint="default"/>
      </w:rPr>
    </w:lvl>
    <w:lvl w:ilvl="8" w:tplc="63F6561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537F4B"/>
    <w:multiLevelType w:val="hybridMultilevel"/>
    <w:tmpl w:val="5234E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52182F"/>
    <w:multiLevelType w:val="hybridMultilevel"/>
    <w:tmpl w:val="DA8E2D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B9C3467"/>
    <w:multiLevelType w:val="hybridMultilevel"/>
    <w:tmpl w:val="FDA0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FC7AF8"/>
    <w:multiLevelType w:val="multilevel"/>
    <w:tmpl w:val="975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9528B"/>
    <w:multiLevelType w:val="multilevel"/>
    <w:tmpl w:val="EE3C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EF3E06"/>
    <w:multiLevelType w:val="multilevel"/>
    <w:tmpl w:val="59AC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4670F7"/>
    <w:multiLevelType w:val="hybridMultilevel"/>
    <w:tmpl w:val="04A23220"/>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6" w15:restartNumberingAfterBreak="0">
    <w:nsid w:val="7E265B8D"/>
    <w:multiLevelType w:val="hybridMultilevel"/>
    <w:tmpl w:val="1E08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4663576">
    <w:abstractNumId w:val="23"/>
  </w:num>
  <w:num w:numId="2" w16cid:durableId="1323316814">
    <w:abstractNumId w:val="24"/>
  </w:num>
  <w:num w:numId="3" w16cid:durableId="550076156">
    <w:abstractNumId w:val="1"/>
  </w:num>
  <w:num w:numId="4" w16cid:durableId="1603218366">
    <w:abstractNumId w:val="12"/>
  </w:num>
  <w:num w:numId="5" w16cid:durableId="90705530">
    <w:abstractNumId w:val="22"/>
  </w:num>
  <w:num w:numId="6" w16cid:durableId="1955164486">
    <w:abstractNumId w:val="3"/>
  </w:num>
  <w:num w:numId="7" w16cid:durableId="31806384">
    <w:abstractNumId w:val="17"/>
  </w:num>
  <w:num w:numId="8" w16cid:durableId="1604265274">
    <w:abstractNumId w:val="16"/>
  </w:num>
  <w:num w:numId="9" w16cid:durableId="757600241">
    <w:abstractNumId w:val="15"/>
  </w:num>
  <w:num w:numId="10" w16cid:durableId="1606229400">
    <w:abstractNumId w:val="25"/>
  </w:num>
  <w:num w:numId="11" w16cid:durableId="1305089575">
    <w:abstractNumId w:val="2"/>
  </w:num>
  <w:num w:numId="12" w16cid:durableId="832837488">
    <w:abstractNumId w:val="14"/>
  </w:num>
  <w:num w:numId="13" w16cid:durableId="1942180157">
    <w:abstractNumId w:val="19"/>
  </w:num>
  <w:num w:numId="14" w16cid:durableId="186871352">
    <w:abstractNumId w:val="4"/>
  </w:num>
  <w:num w:numId="15" w16cid:durableId="182549039">
    <w:abstractNumId w:val="8"/>
  </w:num>
  <w:num w:numId="16" w16cid:durableId="1813717018">
    <w:abstractNumId w:val="11"/>
  </w:num>
  <w:num w:numId="17" w16cid:durableId="791292531">
    <w:abstractNumId w:val="10"/>
  </w:num>
  <w:num w:numId="18" w16cid:durableId="1491753627">
    <w:abstractNumId w:val="6"/>
  </w:num>
  <w:num w:numId="19" w16cid:durableId="431439836">
    <w:abstractNumId w:val="7"/>
  </w:num>
  <w:num w:numId="20" w16cid:durableId="1094594492">
    <w:abstractNumId w:val="26"/>
  </w:num>
  <w:num w:numId="21" w16cid:durableId="1837961208">
    <w:abstractNumId w:val="21"/>
  </w:num>
  <w:num w:numId="22" w16cid:durableId="1104959672">
    <w:abstractNumId w:val="18"/>
  </w:num>
  <w:num w:numId="23" w16cid:durableId="91779219">
    <w:abstractNumId w:val="13"/>
  </w:num>
  <w:num w:numId="24" w16cid:durableId="1811940552">
    <w:abstractNumId w:val="5"/>
  </w:num>
  <w:num w:numId="25" w16cid:durableId="290089210">
    <w:abstractNumId w:val="0"/>
  </w:num>
  <w:num w:numId="26" w16cid:durableId="293683346">
    <w:abstractNumId w:val="20"/>
  </w:num>
  <w:num w:numId="27" w16cid:durableId="1717584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56"/>
    <w:rsid w:val="005106D7"/>
    <w:rsid w:val="00557D56"/>
    <w:rsid w:val="00645E6B"/>
    <w:rsid w:val="006C0EE0"/>
    <w:rsid w:val="007A1568"/>
    <w:rsid w:val="007F5A51"/>
    <w:rsid w:val="0090111C"/>
    <w:rsid w:val="00A07DBF"/>
    <w:rsid w:val="00A239A6"/>
    <w:rsid w:val="00A625E5"/>
    <w:rsid w:val="00A84434"/>
    <w:rsid w:val="00CA7DF0"/>
    <w:rsid w:val="00DE4382"/>
    <w:rsid w:val="00E51AFD"/>
    <w:rsid w:val="00EB7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E659"/>
  <w15:chartTrackingRefBased/>
  <w15:docId w15:val="{5A3192C4-281A-4E05-A8F9-C5B0075C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E6B"/>
    <w:pPr>
      <w:spacing w:before="120" w:after="280" w:line="360" w:lineRule="auto"/>
    </w:pPr>
    <w:rPr>
      <w:sz w:val="24"/>
    </w:rPr>
  </w:style>
  <w:style w:type="paragraph" w:styleId="Heading1">
    <w:name w:val="heading 1"/>
    <w:basedOn w:val="Normal"/>
    <w:next w:val="Normal"/>
    <w:link w:val="Heading1Char"/>
    <w:uiPriority w:val="9"/>
    <w:qFormat/>
    <w:rsid w:val="00EB743E"/>
    <w:pPr>
      <w:keepNext/>
      <w:keepLines/>
      <w:spacing w:before="600" w:after="32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7F5A51"/>
    <w:pPr>
      <w:keepNext/>
      <w:keepLines/>
      <w:spacing w:before="480" w:after="4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39A6"/>
    <w:pPr>
      <w:keepNext/>
      <w:keepLines/>
      <w:spacing w:before="400" w:after="32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4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5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3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D56"/>
    <w:rPr>
      <w:rFonts w:eastAsiaTheme="majorEastAsia" w:cstheme="majorBidi"/>
      <w:color w:val="272727" w:themeColor="text1" w:themeTint="D8"/>
    </w:rPr>
  </w:style>
  <w:style w:type="paragraph" w:styleId="Title">
    <w:name w:val="Title"/>
    <w:basedOn w:val="Normal"/>
    <w:next w:val="Normal"/>
    <w:link w:val="TitleChar"/>
    <w:uiPriority w:val="10"/>
    <w:qFormat/>
    <w:rsid w:val="00557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D56"/>
    <w:pPr>
      <w:spacing w:before="160"/>
      <w:jc w:val="center"/>
    </w:pPr>
    <w:rPr>
      <w:i/>
      <w:iCs/>
      <w:color w:val="404040" w:themeColor="text1" w:themeTint="BF"/>
    </w:rPr>
  </w:style>
  <w:style w:type="character" w:customStyle="1" w:styleId="QuoteChar">
    <w:name w:val="Quote Char"/>
    <w:basedOn w:val="DefaultParagraphFont"/>
    <w:link w:val="Quote"/>
    <w:uiPriority w:val="29"/>
    <w:rsid w:val="00557D56"/>
    <w:rPr>
      <w:i/>
      <w:iCs/>
      <w:color w:val="404040" w:themeColor="text1" w:themeTint="BF"/>
    </w:rPr>
  </w:style>
  <w:style w:type="paragraph" w:styleId="ListParagraph">
    <w:name w:val="List Paragraph"/>
    <w:basedOn w:val="Normal"/>
    <w:uiPriority w:val="34"/>
    <w:qFormat/>
    <w:rsid w:val="00557D56"/>
    <w:pPr>
      <w:ind w:left="720"/>
      <w:contextualSpacing/>
    </w:pPr>
  </w:style>
  <w:style w:type="character" w:styleId="IntenseEmphasis">
    <w:name w:val="Intense Emphasis"/>
    <w:basedOn w:val="DefaultParagraphFont"/>
    <w:uiPriority w:val="21"/>
    <w:qFormat/>
    <w:rsid w:val="00557D56"/>
    <w:rPr>
      <w:i/>
      <w:iCs/>
      <w:color w:val="0F4761" w:themeColor="accent1" w:themeShade="BF"/>
    </w:rPr>
  </w:style>
  <w:style w:type="paragraph" w:styleId="IntenseQuote">
    <w:name w:val="Intense Quote"/>
    <w:basedOn w:val="Normal"/>
    <w:next w:val="Normal"/>
    <w:link w:val="IntenseQuoteChar"/>
    <w:uiPriority w:val="30"/>
    <w:qFormat/>
    <w:rsid w:val="00557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D56"/>
    <w:rPr>
      <w:i/>
      <w:iCs/>
      <w:color w:val="0F4761" w:themeColor="accent1" w:themeShade="BF"/>
    </w:rPr>
  </w:style>
  <w:style w:type="character" w:styleId="IntenseReference">
    <w:name w:val="Intense Reference"/>
    <w:basedOn w:val="DefaultParagraphFont"/>
    <w:uiPriority w:val="32"/>
    <w:qFormat/>
    <w:rsid w:val="00557D56"/>
    <w:rPr>
      <w:b/>
      <w:bCs/>
      <w:smallCaps/>
      <w:color w:val="0F4761" w:themeColor="accent1" w:themeShade="BF"/>
      <w:spacing w:val="5"/>
    </w:rPr>
  </w:style>
  <w:style w:type="paragraph" w:styleId="Caption">
    <w:name w:val="caption"/>
    <w:basedOn w:val="Normal"/>
    <w:next w:val="Normal"/>
    <w:uiPriority w:val="35"/>
    <w:unhideWhenUsed/>
    <w:qFormat/>
    <w:rsid w:val="00A07DBF"/>
    <w:pPr>
      <w:spacing w:after="200" w:line="240" w:lineRule="auto"/>
    </w:pPr>
    <w:rPr>
      <w:i/>
      <w:iCs/>
      <w:color w:val="0E2841" w:themeColor="text2"/>
      <w:sz w:val="18"/>
      <w:szCs w:val="18"/>
    </w:rPr>
  </w:style>
  <w:style w:type="character" w:styleId="Hyperlink">
    <w:name w:val="Hyperlink"/>
    <w:basedOn w:val="DefaultParagraphFont"/>
    <w:uiPriority w:val="99"/>
    <w:unhideWhenUsed/>
    <w:rsid w:val="00EB743E"/>
    <w:rPr>
      <w:color w:val="467886" w:themeColor="hyperlink"/>
      <w:u w:val="single"/>
    </w:rPr>
  </w:style>
  <w:style w:type="character" w:styleId="UnresolvedMention">
    <w:name w:val="Unresolved Mention"/>
    <w:basedOn w:val="DefaultParagraphFont"/>
    <w:uiPriority w:val="99"/>
    <w:semiHidden/>
    <w:unhideWhenUsed/>
    <w:rsid w:val="00EB743E"/>
    <w:rPr>
      <w:color w:val="605E5C"/>
      <w:shd w:val="clear" w:color="auto" w:fill="E1DFDD"/>
    </w:rPr>
  </w:style>
  <w:style w:type="paragraph" w:styleId="TOCHeading">
    <w:name w:val="TOC Heading"/>
    <w:basedOn w:val="Heading1"/>
    <w:next w:val="Normal"/>
    <w:uiPriority w:val="39"/>
    <w:unhideWhenUsed/>
    <w:qFormat/>
    <w:rsid w:val="007F5A51"/>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7F5A51"/>
    <w:pPr>
      <w:spacing w:after="0"/>
    </w:pPr>
    <w:rPr>
      <w:b/>
      <w:bCs/>
      <w:i/>
      <w:iCs/>
      <w:szCs w:val="24"/>
    </w:rPr>
  </w:style>
  <w:style w:type="paragraph" w:styleId="TOC2">
    <w:name w:val="toc 2"/>
    <w:basedOn w:val="Normal"/>
    <w:next w:val="Normal"/>
    <w:autoRedefine/>
    <w:uiPriority w:val="39"/>
    <w:unhideWhenUsed/>
    <w:rsid w:val="007F5A51"/>
    <w:pPr>
      <w:spacing w:after="0"/>
      <w:ind w:left="240"/>
    </w:pPr>
    <w:rPr>
      <w:b/>
      <w:bCs/>
      <w:sz w:val="22"/>
    </w:rPr>
  </w:style>
  <w:style w:type="paragraph" w:styleId="TOC3">
    <w:name w:val="toc 3"/>
    <w:basedOn w:val="Normal"/>
    <w:next w:val="Normal"/>
    <w:autoRedefine/>
    <w:uiPriority w:val="39"/>
    <w:unhideWhenUsed/>
    <w:rsid w:val="007F5A51"/>
    <w:pPr>
      <w:spacing w:before="0" w:after="0"/>
      <w:ind w:left="480"/>
    </w:pPr>
    <w:rPr>
      <w:sz w:val="20"/>
      <w:szCs w:val="20"/>
    </w:rPr>
  </w:style>
  <w:style w:type="paragraph" w:styleId="TOC4">
    <w:name w:val="toc 4"/>
    <w:basedOn w:val="Normal"/>
    <w:next w:val="Normal"/>
    <w:autoRedefine/>
    <w:uiPriority w:val="39"/>
    <w:unhideWhenUsed/>
    <w:rsid w:val="007F5A51"/>
    <w:pPr>
      <w:spacing w:before="0" w:after="0"/>
      <w:ind w:left="720"/>
    </w:pPr>
    <w:rPr>
      <w:sz w:val="20"/>
      <w:szCs w:val="20"/>
    </w:rPr>
  </w:style>
  <w:style w:type="paragraph" w:styleId="TOC5">
    <w:name w:val="toc 5"/>
    <w:basedOn w:val="Normal"/>
    <w:next w:val="Normal"/>
    <w:autoRedefine/>
    <w:uiPriority w:val="39"/>
    <w:unhideWhenUsed/>
    <w:rsid w:val="007F5A51"/>
    <w:pPr>
      <w:spacing w:before="0" w:after="0"/>
      <w:ind w:left="960"/>
    </w:pPr>
    <w:rPr>
      <w:sz w:val="20"/>
      <w:szCs w:val="20"/>
    </w:rPr>
  </w:style>
  <w:style w:type="paragraph" w:styleId="TOC6">
    <w:name w:val="toc 6"/>
    <w:basedOn w:val="Normal"/>
    <w:next w:val="Normal"/>
    <w:autoRedefine/>
    <w:uiPriority w:val="39"/>
    <w:unhideWhenUsed/>
    <w:rsid w:val="007F5A51"/>
    <w:pPr>
      <w:spacing w:before="0" w:after="0"/>
      <w:ind w:left="1200"/>
    </w:pPr>
    <w:rPr>
      <w:sz w:val="20"/>
      <w:szCs w:val="20"/>
    </w:rPr>
  </w:style>
  <w:style w:type="paragraph" w:styleId="TOC7">
    <w:name w:val="toc 7"/>
    <w:basedOn w:val="Normal"/>
    <w:next w:val="Normal"/>
    <w:autoRedefine/>
    <w:uiPriority w:val="39"/>
    <w:unhideWhenUsed/>
    <w:rsid w:val="007F5A51"/>
    <w:pPr>
      <w:spacing w:before="0" w:after="0"/>
      <w:ind w:left="1440"/>
    </w:pPr>
    <w:rPr>
      <w:sz w:val="20"/>
      <w:szCs w:val="20"/>
    </w:rPr>
  </w:style>
  <w:style w:type="paragraph" w:styleId="TOC8">
    <w:name w:val="toc 8"/>
    <w:basedOn w:val="Normal"/>
    <w:next w:val="Normal"/>
    <w:autoRedefine/>
    <w:uiPriority w:val="39"/>
    <w:unhideWhenUsed/>
    <w:rsid w:val="007F5A51"/>
    <w:pPr>
      <w:spacing w:before="0" w:after="0"/>
      <w:ind w:left="1680"/>
    </w:pPr>
    <w:rPr>
      <w:sz w:val="20"/>
      <w:szCs w:val="20"/>
    </w:rPr>
  </w:style>
  <w:style w:type="paragraph" w:styleId="TOC9">
    <w:name w:val="toc 9"/>
    <w:basedOn w:val="Normal"/>
    <w:next w:val="Normal"/>
    <w:autoRedefine/>
    <w:uiPriority w:val="39"/>
    <w:unhideWhenUsed/>
    <w:rsid w:val="007F5A51"/>
    <w:pPr>
      <w:spacing w:before="0"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2945">
      <w:bodyDiv w:val="1"/>
      <w:marLeft w:val="0"/>
      <w:marRight w:val="0"/>
      <w:marTop w:val="0"/>
      <w:marBottom w:val="0"/>
      <w:divBdr>
        <w:top w:val="none" w:sz="0" w:space="0" w:color="auto"/>
        <w:left w:val="none" w:sz="0" w:space="0" w:color="auto"/>
        <w:bottom w:val="none" w:sz="0" w:space="0" w:color="auto"/>
        <w:right w:val="none" w:sz="0" w:space="0" w:color="auto"/>
      </w:divBdr>
      <w:divsChild>
        <w:div w:id="1666206375">
          <w:marLeft w:val="547"/>
          <w:marRight w:val="0"/>
          <w:marTop w:val="0"/>
          <w:marBottom w:val="160"/>
          <w:divBdr>
            <w:top w:val="none" w:sz="0" w:space="0" w:color="auto"/>
            <w:left w:val="none" w:sz="0" w:space="0" w:color="auto"/>
            <w:bottom w:val="none" w:sz="0" w:space="0" w:color="auto"/>
            <w:right w:val="none" w:sz="0" w:space="0" w:color="auto"/>
          </w:divBdr>
        </w:div>
        <w:div w:id="5257080">
          <w:marLeft w:val="547"/>
          <w:marRight w:val="0"/>
          <w:marTop w:val="0"/>
          <w:marBottom w:val="160"/>
          <w:divBdr>
            <w:top w:val="none" w:sz="0" w:space="0" w:color="auto"/>
            <w:left w:val="none" w:sz="0" w:space="0" w:color="auto"/>
            <w:bottom w:val="none" w:sz="0" w:space="0" w:color="auto"/>
            <w:right w:val="none" w:sz="0" w:space="0" w:color="auto"/>
          </w:divBdr>
        </w:div>
        <w:div w:id="734625112">
          <w:marLeft w:val="547"/>
          <w:marRight w:val="0"/>
          <w:marTop w:val="0"/>
          <w:marBottom w:val="160"/>
          <w:divBdr>
            <w:top w:val="none" w:sz="0" w:space="0" w:color="auto"/>
            <w:left w:val="none" w:sz="0" w:space="0" w:color="auto"/>
            <w:bottom w:val="none" w:sz="0" w:space="0" w:color="auto"/>
            <w:right w:val="none" w:sz="0" w:space="0" w:color="auto"/>
          </w:divBdr>
        </w:div>
        <w:div w:id="556279602">
          <w:marLeft w:val="547"/>
          <w:marRight w:val="0"/>
          <w:marTop w:val="0"/>
          <w:marBottom w:val="160"/>
          <w:divBdr>
            <w:top w:val="none" w:sz="0" w:space="0" w:color="auto"/>
            <w:left w:val="none" w:sz="0" w:space="0" w:color="auto"/>
            <w:bottom w:val="none" w:sz="0" w:space="0" w:color="auto"/>
            <w:right w:val="none" w:sz="0" w:space="0" w:color="auto"/>
          </w:divBdr>
        </w:div>
        <w:div w:id="1208909668">
          <w:marLeft w:val="547"/>
          <w:marRight w:val="0"/>
          <w:marTop w:val="0"/>
          <w:marBottom w:val="160"/>
          <w:divBdr>
            <w:top w:val="none" w:sz="0" w:space="0" w:color="auto"/>
            <w:left w:val="none" w:sz="0" w:space="0" w:color="auto"/>
            <w:bottom w:val="none" w:sz="0" w:space="0" w:color="auto"/>
            <w:right w:val="none" w:sz="0" w:space="0" w:color="auto"/>
          </w:divBdr>
        </w:div>
      </w:divsChild>
    </w:div>
    <w:div w:id="939875094">
      <w:bodyDiv w:val="1"/>
      <w:marLeft w:val="0"/>
      <w:marRight w:val="0"/>
      <w:marTop w:val="0"/>
      <w:marBottom w:val="0"/>
      <w:divBdr>
        <w:top w:val="none" w:sz="0" w:space="0" w:color="auto"/>
        <w:left w:val="none" w:sz="0" w:space="0" w:color="auto"/>
        <w:bottom w:val="none" w:sz="0" w:space="0" w:color="auto"/>
        <w:right w:val="none" w:sz="0" w:space="0" w:color="auto"/>
      </w:divBdr>
      <w:divsChild>
        <w:div w:id="143283873">
          <w:marLeft w:val="547"/>
          <w:marRight w:val="0"/>
          <w:marTop w:val="0"/>
          <w:marBottom w:val="160"/>
          <w:divBdr>
            <w:top w:val="none" w:sz="0" w:space="0" w:color="auto"/>
            <w:left w:val="none" w:sz="0" w:space="0" w:color="auto"/>
            <w:bottom w:val="none" w:sz="0" w:space="0" w:color="auto"/>
            <w:right w:val="none" w:sz="0" w:space="0" w:color="auto"/>
          </w:divBdr>
        </w:div>
        <w:div w:id="1061248821">
          <w:marLeft w:val="547"/>
          <w:marRight w:val="0"/>
          <w:marTop w:val="0"/>
          <w:marBottom w:val="160"/>
          <w:divBdr>
            <w:top w:val="none" w:sz="0" w:space="0" w:color="auto"/>
            <w:left w:val="none" w:sz="0" w:space="0" w:color="auto"/>
            <w:bottom w:val="none" w:sz="0" w:space="0" w:color="auto"/>
            <w:right w:val="none" w:sz="0" w:space="0" w:color="auto"/>
          </w:divBdr>
        </w:div>
        <w:div w:id="1988975519">
          <w:marLeft w:val="547"/>
          <w:marRight w:val="0"/>
          <w:marTop w:val="0"/>
          <w:marBottom w:val="160"/>
          <w:divBdr>
            <w:top w:val="none" w:sz="0" w:space="0" w:color="auto"/>
            <w:left w:val="none" w:sz="0" w:space="0" w:color="auto"/>
            <w:bottom w:val="none" w:sz="0" w:space="0" w:color="auto"/>
            <w:right w:val="none" w:sz="0" w:space="0" w:color="auto"/>
          </w:divBdr>
        </w:div>
        <w:div w:id="671879689">
          <w:marLeft w:val="547"/>
          <w:marRight w:val="0"/>
          <w:marTop w:val="0"/>
          <w:marBottom w:val="160"/>
          <w:divBdr>
            <w:top w:val="none" w:sz="0" w:space="0" w:color="auto"/>
            <w:left w:val="none" w:sz="0" w:space="0" w:color="auto"/>
            <w:bottom w:val="none" w:sz="0" w:space="0" w:color="auto"/>
            <w:right w:val="none" w:sz="0" w:space="0" w:color="auto"/>
          </w:divBdr>
        </w:div>
        <w:div w:id="607083318">
          <w:marLeft w:val="547"/>
          <w:marRight w:val="0"/>
          <w:marTop w:val="0"/>
          <w:marBottom w:val="160"/>
          <w:divBdr>
            <w:top w:val="none" w:sz="0" w:space="0" w:color="auto"/>
            <w:left w:val="none" w:sz="0" w:space="0" w:color="auto"/>
            <w:bottom w:val="none" w:sz="0" w:space="0" w:color="auto"/>
            <w:right w:val="none" w:sz="0" w:space="0" w:color="auto"/>
          </w:divBdr>
        </w:div>
      </w:divsChild>
    </w:div>
    <w:div w:id="944844356">
      <w:bodyDiv w:val="1"/>
      <w:marLeft w:val="0"/>
      <w:marRight w:val="0"/>
      <w:marTop w:val="0"/>
      <w:marBottom w:val="0"/>
      <w:divBdr>
        <w:top w:val="none" w:sz="0" w:space="0" w:color="auto"/>
        <w:left w:val="none" w:sz="0" w:space="0" w:color="auto"/>
        <w:bottom w:val="none" w:sz="0" w:space="0" w:color="auto"/>
        <w:right w:val="none" w:sz="0" w:space="0" w:color="auto"/>
      </w:divBdr>
    </w:div>
    <w:div w:id="1063260555">
      <w:bodyDiv w:val="1"/>
      <w:marLeft w:val="0"/>
      <w:marRight w:val="0"/>
      <w:marTop w:val="0"/>
      <w:marBottom w:val="0"/>
      <w:divBdr>
        <w:top w:val="none" w:sz="0" w:space="0" w:color="auto"/>
        <w:left w:val="none" w:sz="0" w:space="0" w:color="auto"/>
        <w:bottom w:val="none" w:sz="0" w:space="0" w:color="auto"/>
        <w:right w:val="none" w:sz="0" w:space="0" w:color="auto"/>
      </w:divBdr>
    </w:div>
    <w:div w:id="1292592855">
      <w:bodyDiv w:val="1"/>
      <w:marLeft w:val="0"/>
      <w:marRight w:val="0"/>
      <w:marTop w:val="0"/>
      <w:marBottom w:val="0"/>
      <w:divBdr>
        <w:top w:val="none" w:sz="0" w:space="0" w:color="auto"/>
        <w:left w:val="none" w:sz="0" w:space="0" w:color="auto"/>
        <w:bottom w:val="none" w:sz="0" w:space="0" w:color="auto"/>
        <w:right w:val="none" w:sz="0" w:space="0" w:color="auto"/>
      </w:divBdr>
    </w:div>
    <w:div w:id="1589995316">
      <w:bodyDiv w:val="1"/>
      <w:marLeft w:val="0"/>
      <w:marRight w:val="0"/>
      <w:marTop w:val="0"/>
      <w:marBottom w:val="0"/>
      <w:divBdr>
        <w:top w:val="none" w:sz="0" w:space="0" w:color="auto"/>
        <w:left w:val="none" w:sz="0" w:space="0" w:color="auto"/>
        <w:bottom w:val="none" w:sz="0" w:space="0" w:color="auto"/>
        <w:right w:val="none" w:sz="0" w:space="0" w:color="auto"/>
      </w:divBdr>
    </w:div>
    <w:div w:id="1594122408">
      <w:bodyDiv w:val="1"/>
      <w:marLeft w:val="0"/>
      <w:marRight w:val="0"/>
      <w:marTop w:val="0"/>
      <w:marBottom w:val="0"/>
      <w:divBdr>
        <w:top w:val="none" w:sz="0" w:space="0" w:color="auto"/>
        <w:left w:val="none" w:sz="0" w:space="0" w:color="auto"/>
        <w:bottom w:val="none" w:sz="0" w:space="0" w:color="auto"/>
        <w:right w:val="none" w:sz="0" w:space="0" w:color="auto"/>
      </w:divBdr>
      <w:divsChild>
        <w:div w:id="597518318">
          <w:marLeft w:val="360"/>
          <w:marRight w:val="0"/>
          <w:marTop w:val="200"/>
          <w:marBottom w:val="360"/>
          <w:divBdr>
            <w:top w:val="none" w:sz="0" w:space="0" w:color="auto"/>
            <w:left w:val="none" w:sz="0" w:space="0" w:color="auto"/>
            <w:bottom w:val="none" w:sz="0" w:space="0" w:color="auto"/>
            <w:right w:val="none" w:sz="0" w:space="0" w:color="auto"/>
          </w:divBdr>
        </w:div>
        <w:div w:id="943422956">
          <w:marLeft w:val="360"/>
          <w:marRight w:val="0"/>
          <w:marTop w:val="200"/>
          <w:marBottom w:val="360"/>
          <w:divBdr>
            <w:top w:val="none" w:sz="0" w:space="0" w:color="auto"/>
            <w:left w:val="none" w:sz="0" w:space="0" w:color="auto"/>
            <w:bottom w:val="none" w:sz="0" w:space="0" w:color="auto"/>
            <w:right w:val="none" w:sz="0" w:space="0" w:color="auto"/>
          </w:divBdr>
        </w:div>
        <w:div w:id="2062777557">
          <w:marLeft w:val="360"/>
          <w:marRight w:val="0"/>
          <w:marTop w:val="200"/>
          <w:marBottom w:val="360"/>
          <w:divBdr>
            <w:top w:val="none" w:sz="0" w:space="0" w:color="auto"/>
            <w:left w:val="none" w:sz="0" w:space="0" w:color="auto"/>
            <w:bottom w:val="none" w:sz="0" w:space="0" w:color="auto"/>
            <w:right w:val="none" w:sz="0" w:space="0" w:color="auto"/>
          </w:divBdr>
        </w:div>
        <w:div w:id="173496682">
          <w:marLeft w:val="360"/>
          <w:marRight w:val="0"/>
          <w:marTop w:val="20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elizabethhitch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hitches@uq.edu.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9F9A-F24B-4841-BCE3-6E649E99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Hitches</dc:creator>
  <cp:keywords/>
  <dc:description/>
  <cp:lastModifiedBy>Kylie Geard</cp:lastModifiedBy>
  <cp:revision>6</cp:revision>
  <dcterms:created xsi:type="dcterms:W3CDTF">2025-06-10T11:17:00Z</dcterms:created>
  <dcterms:modified xsi:type="dcterms:W3CDTF">2025-07-05T10:44:00Z</dcterms:modified>
</cp:coreProperties>
</file>