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110F" w14:textId="7AB0B283" w:rsidR="00F777C8" w:rsidRPr="0035093F" w:rsidRDefault="00F777C8" w:rsidP="0035093F">
      <w:pPr>
        <w:pStyle w:val="Heading1"/>
      </w:pPr>
      <w:r w:rsidRPr="0035093F">
        <w:t xml:space="preserve">Draft </w:t>
      </w:r>
      <w:r w:rsidR="00C91747" w:rsidRPr="0035093F">
        <w:t>Inclusive Assessment Elements</w:t>
      </w:r>
    </w:p>
    <w:tbl>
      <w:tblPr>
        <w:tblW w:w="5000" w:type="pct"/>
        <w:tblCellMar>
          <w:left w:w="0" w:type="dxa"/>
          <w:right w:w="0" w:type="dxa"/>
        </w:tblCellMar>
        <w:tblLook w:val="0420" w:firstRow="1" w:lastRow="0" w:firstColumn="0" w:lastColumn="0" w:noHBand="0" w:noVBand="1"/>
      </w:tblPr>
      <w:tblGrid>
        <w:gridCol w:w="785"/>
        <w:gridCol w:w="2085"/>
        <w:gridCol w:w="12528"/>
      </w:tblGrid>
      <w:tr w:rsidR="00821933" w:rsidRPr="00821933" w14:paraId="626342B4" w14:textId="77777777" w:rsidTr="00821933">
        <w:trPr>
          <w:trHeight w:val="240"/>
          <w:tblHeader/>
        </w:trPr>
        <w:tc>
          <w:tcPr>
            <w:tcW w:w="602" w:type="dxa"/>
            <w:tcBorders>
              <w:top w:val="nil"/>
              <w:left w:val="nil"/>
              <w:bottom w:val="nil"/>
              <w:right w:val="nil"/>
            </w:tcBorders>
            <w:shd w:val="clear" w:color="auto" w:fill="962A8B"/>
            <w:tcMar>
              <w:top w:w="66" w:type="dxa"/>
              <w:left w:w="48" w:type="dxa"/>
              <w:bottom w:w="33" w:type="dxa"/>
              <w:right w:w="48" w:type="dxa"/>
            </w:tcMar>
            <w:hideMark/>
          </w:tcPr>
          <w:p w14:paraId="12D8C0F9" w14:textId="77777777" w:rsidR="00821933" w:rsidRPr="00821933" w:rsidRDefault="00821933" w:rsidP="00821933">
            <w:pPr>
              <w:rPr>
                <w:sz w:val="28"/>
                <w:szCs w:val="28"/>
              </w:rPr>
            </w:pPr>
          </w:p>
        </w:tc>
        <w:tc>
          <w:tcPr>
            <w:tcW w:w="2092" w:type="dxa"/>
            <w:tcBorders>
              <w:top w:val="nil"/>
              <w:left w:val="nil"/>
              <w:bottom w:val="nil"/>
              <w:right w:val="nil"/>
            </w:tcBorders>
            <w:shd w:val="clear" w:color="auto" w:fill="962A8B"/>
            <w:tcMar>
              <w:top w:w="66" w:type="dxa"/>
              <w:left w:w="48" w:type="dxa"/>
              <w:bottom w:w="33" w:type="dxa"/>
              <w:right w:w="48" w:type="dxa"/>
            </w:tcMar>
            <w:vAlign w:val="bottom"/>
            <w:hideMark/>
          </w:tcPr>
          <w:p w14:paraId="206FD026" w14:textId="1606842A" w:rsidR="00821933" w:rsidRPr="00821933" w:rsidRDefault="00821933" w:rsidP="00821933">
            <w:pPr>
              <w:rPr>
                <w:b/>
                <w:bCs/>
              </w:rPr>
            </w:pPr>
            <w:r w:rsidRPr="00821933">
              <w:rPr>
                <w:b/>
                <w:bCs/>
                <w:color w:val="FFFFFF" w:themeColor="background1"/>
              </w:rPr>
              <w:t>Elements</w:t>
            </w:r>
          </w:p>
        </w:tc>
        <w:tc>
          <w:tcPr>
            <w:tcW w:w="12704" w:type="dxa"/>
            <w:tcBorders>
              <w:top w:val="nil"/>
              <w:left w:val="nil"/>
              <w:bottom w:val="nil"/>
              <w:right w:val="nil"/>
            </w:tcBorders>
            <w:shd w:val="clear" w:color="auto" w:fill="962A8B"/>
            <w:tcMar>
              <w:top w:w="66" w:type="dxa"/>
              <w:left w:w="48" w:type="dxa"/>
              <w:bottom w:w="33" w:type="dxa"/>
              <w:right w:w="48" w:type="dxa"/>
            </w:tcMar>
            <w:vAlign w:val="bottom"/>
            <w:hideMark/>
          </w:tcPr>
          <w:p w14:paraId="7C91046A" w14:textId="77777777" w:rsidR="00821933" w:rsidRPr="00821933" w:rsidRDefault="00821933" w:rsidP="00821933">
            <w:pPr>
              <w:rPr>
                <w:b/>
                <w:bCs/>
              </w:rPr>
            </w:pPr>
            <w:r w:rsidRPr="00821933">
              <w:rPr>
                <w:b/>
                <w:bCs/>
                <w:color w:val="FFFFFF" w:themeColor="background1"/>
              </w:rPr>
              <w:t>Expansion </w:t>
            </w:r>
          </w:p>
        </w:tc>
      </w:tr>
      <w:tr w:rsidR="00821933" w:rsidRPr="00821933" w14:paraId="4350B3C3" w14:textId="77777777" w:rsidTr="00DD0F6F">
        <w:trPr>
          <w:trHeight w:val="429"/>
        </w:trPr>
        <w:tc>
          <w:tcPr>
            <w:tcW w:w="602" w:type="dxa"/>
            <w:vMerge w:val="restart"/>
            <w:tcBorders>
              <w:top w:val="nil"/>
              <w:left w:val="nil"/>
              <w:bottom w:val="nil"/>
              <w:right w:val="nil"/>
            </w:tcBorders>
            <w:shd w:val="clear" w:color="auto" w:fill="F2F2F2"/>
            <w:tcMar>
              <w:top w:w="66" w:type="dxa"/>
              <w:left w:w="48" w:type="dxa"/>
              <w:bottom w:w="33" w:type="dxa"/>
              <w:right w:w="48" w:type="dxa"/>
            </w:tcMar>
            <w:textDirection w:val="tbRl"/>
            <w:vAlign w:val="bottom"/>
            <w:hideMark/>
          </w:tcPr>
          <w:p w14:paraId="1502D852" w14:textId="77777777" w:rsidR="00821933" w:rsidRPr="00821933" w:rsidRDefault="00821933" w:rsidP="00DD0F6F">
            <w:pPr>
              <w:ind w:left="113" w:right="113"/>
              <w:rPr>
                <w:b/>
                <w:bCs/>
                <w:sz w:val="28"/>
                <w:szCs w:val="28"/>
              </w:rPr>
            </w:pPr>
            <w:r w:rsidRPr="00821933">
              <w:rPr>
                <w:b/>
                <w:bCs/>
                <w:sz w:val="36"/>
                <w:szCs w:val="36"/>
              </w:rPr>
              <w:t>Inclusive </w:t>
            </w:r>
          </w:p>
        </w:tc>
        <w:tc>
          <w:tcPr>
            <w:tcW w:w="2092" w:type="dxa"/>
            <w:tcBorders>
              <w:top w:val="nil"/>
              <w:left w:val="nil"/>
              <w:bottom w:val="single" w:sz="6" w:space="0" w:color="9774B5"/>
              <w:right w:val="nil"/>
            </w:tcBorders>
            <w:shd w:val="clear" w:color="auto" w:fill="F2F2F2"/>
            <w:tcMar>
              <w:top w:w="66" w:type="dxa"/>
              <w:left w:w="48" w:type="dxa"/>
              <w:bottom w:w="33" w:type="dxa"/>
              <w:right w:w="48" w:type="dxa"/>
            </w:tcMar>
            <w:hideMark/>
          </w:tcPr>
          <w:p w14:paraId="29318EF8" w14:textId="77777777" w:rsidR="00821933" w:rsidRPr="00821933" w:rsidRDefault="00821933" w:rsidP="00821933">
            <w:r w:rsidRPr="00821933">
              <w:t>Equity of access </w:t>
            </w:r>
          </w:p>
        </w:tc>
        <w:tc>
          <w:tcPr>
            <w:tcW w:w="12704" w:type="dxa"/>
            <w:tcBorders>
              <w:top w:val="nil"/>
              <w:left w:val="nil"/>
              <w:bottom w:val="single" w:sz="6" w:space="0" w:color="9774B5"/>
              <w:right w:val="nil"/>
            </w:tcBorders>
            <w:shd w:val="clear" w:color="auto" w:fill="F2F2F2"/>
            <w:tcMar>
              <w:top w:w="66" w:type="dxa"/>
              <w:left w:w="48" w:type="dxa"/>
              <w:bottom w:w="33" w:type="dxa"/>
              <w:right w:w="48" w:type="dxa"/>
            </w:tcMar>
            <w:hideMark/>
          </w:tcPr>
          <w:p w14:paraId="6D467704" w14:textId="77777777" w:rsidR="00821933" w:rsidRPr="00821933" w:rsidRDefault="00821933" w:rsidP="00821933">
            <w:r w:rsidRPr="00821933">
              <w:t>Providing equal opportunities for all students by designing assessments that eliminate barriers, ensuring that every student can participate without the need for individualized accommodations. </w:t>
            </w:r>
          </w:p>
        </w:tc>
      </w:tr>
      <w:tr w:rsidR="00821933" w:rsidRPr="00821933" w14:paraId="661030DD" w14:textId="77777777" w:rsidTr="00DD0F6F">
        <w:trPr>
          <w:trHeight w:val="530"/>
        </w:trPr>
        <w:tc>
          <w:tcPr>
            <w:tcW w:w="602" w:type="dxa"/>
            <w:vMerge/>
            <w:tcBorders>
              <w:top w:val="nil"/>
              <w:left w:val="nil"/>
              <w:bottom w:val="nil"/>
              <w:right w:val="nil"/>
            </w:tcBorders>
            <w:hideMark/>
          </w:tcPr>
          <w:p w14:paraId="0A0D1B7B"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3E3F6C8" w14:textId="77777777" w:rsidR="00821933" w:rsidRPr="00821933" w:rsidRDefault="00821933" w:rsidP="00821933">
            <w:r w:rsidRPr="00821933">
              <w:t>Weighting variety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4B7F19DE" w14:textId="77777777" w:rsidR="00821933" w:rsidRPr="00821933" w:rsidRDefault="00821933" w:rsidP="00821933">
            <w:r w:rsidRPr="00821933">
              <w:t>Carefully considering how assessment tasks are weighted to reflect their significance and complexity, while also accounting for the potential impact on students. This includes a balanced distribution of assessments that aligns with the overall course objectives and learning outcomes, ensuring fairness and clarity. </w:t>
            </w:r>
          </w:p>
        </w:tc>
      </w:tr>
      <w:tr w:rsidR="00821933" w:rsidRPr="00821933" w14:paraId="766830D5" w14:textId="77777777" w:rsidTr="00DD0F6F">
        <w:trPr>
          <w:trHeight w:val="429"/>
        </w:trPr>
        <w:tc>
          <w:tcPr>
            <w:tcW w:w="602" w:type="dxa"/>
            <w:vMerge/>
            <w:tcBorders>
              <w:top w:val="nil"/>
              <w:left w:val="nil"/>
              <w:bottom w:val="nil"/>
              <w:right w:val="nil"/>
            </w:tcBorders>
            <w:hideMark/>
          </w:tcPr>
          <w:p w14:paraId="162F789C"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632C8D9" w14:textId="77777777" w:rsidR="00821933" w:rsidRPr="00821933" w:rsidRDefault="00821933" w:rsidP="00821933">
            <w:r w:rsidRPr="00821933">
              <w:t>Developmental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554FEDF2" w14:textId="77777777" w:rsidR="00821933" w:rsidRPr="00821933" w:rsidRDefault="00821933" w:rsidP="00821933">
            <w:r w:rsidRPr="00821933">
              <w:t>Assessments should encourage the growth of students' skills and knowledge over time, gradually increasing in complexity. This approach promotes continuous development through progressive tasks, with assessment serving not only as a tool for evaluation but also as a means of learning </w:t>
            </w:r>
          </w:p>
        </w:tc>
      </w:tr>
      <w:tr w:rsidR="00821933" w:rsidRPr="00821933" w14:paraId="6CB49D00" w14:textId="77777777" w:rsidTr="00DD0F6F">
        <w:trPr>
          <w:trHeight w:val="429"/>
        </w:trPr>
        <w:tc>
          <w:tcPr>
            <w:tcW w:w="602" w:type="dxa"/>
            <w:vMerge/>
            <w:tcBorders>
              <w:top w:val="nil"/>
              <w:left w:val="nil"/>
              <w:bottom w:val="nil"/>
              <w:right w:val="nil"/>
            </w:tcBorders>
            <w:hideMark/>
          </w:tcPr>
          <w:p w14:paraId="16264601"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55585A1F" w14:textId="77777777" w:rsidR="00821933" w:rsidRPr="00821933" w:rsidRDefault="00821933" w:rsidP="00821933">
            <w:r w:rsidRPr="00821933">
              <w:t>Feedback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9863539" w14:textId="77777777" w:rsidR="00821933" w:rsidRPr="00821933" w:rsidRDefault="00821933" w:rsidP="00821933">
            <w:r w:rsidRPr="00821933">
              <w:t>A comprehensive range of feedback types should be utilized (e.g. peer feedback, self-assessment, and dialogic feedback). This encourages students to view feedback as more than a binary concept of right or wrong, and instead as an ongoing process of reflection and improvement. </w:t>
            </w:r>
          </w:p>
        </w:tc>
      </w:tr>
      <w:tr w:rsidR="00821933" w:rsidRPr="00821933" w14:paraId="324AE1EE" w14:textId="77777777" w:rsidTr="00DD0F6F">
        <w:trPr>
          <w:trHeight w:val="429"/>
        </w:trPr>
        <w:tc>
          <w:tcPr>
            <w:tcW w:w="602" w:type="dxa"/>
            <w:vMerge/>
            <w:tcBorders>
              <w:top w:val="nil"/>
              <w:left w:val="nil"/>
              <w:bottom w:val="nil"/>
              <w:right w:val="nil"/>
            </w:tcBorders>
            <w:hideMark/>
          </w:tcPr>
          <w:p w14:paraId="67F80C46"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1FBBC43" w14:textId="77777777" w:rsidR="00821933" w:rsidRPr="00821933" w:rsidRDefault="00821933" w:rsidP="00821933">
            <w:r w:rsidRPr="00821933">
              <w:t>Teamwork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21722039" w14:textId="77777777" w:rsidR="00821933" w:rsidRPr="00821933" w:rsidRDefault="00821933" w:rsidP="00821933">
            <w:r w:rsidRPr="00821933">
              <w:t>Promoting collaboration and the exchange of ideas by having students work together in diverse teams. This approach exposes them to a range of perspectives and helps build important interpersonal skills, while reducing the impact of individual biases.  </w:t>
            </w:r>
          </w:p>
        </w:tc>
      </w:tr>
      <w:tr w:rsidR="00821933" w:rsidRPr="00821933" w14:paraId="5FA58C63" w14:textId="77777777" w:rsidTr="00DD0F6F">
        <w:trPr>
          <w:trHeight w:val="329"/>
        </w:trPr>
        <w:tc>
          <w:tcPr>
            <w:tcW w:w="602" w:type="dxa"/>
            <w:vMerge/>
            <w:tcBorders>
              <w:top w:val="nil"/>
              <w:left w:val="nil"/>
              <w:bottom w:val="nil"/>
              <w:right w:val="nil"/>
            </w:tcBorders>
            <w:hideMark/>
          </w:tcPr>
          <w:p w14:paraId="7DCA3C47"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5277614F" w14:textId="77777777" w:rsidR="00821933" w:rsidRPr="00821933" w:rsidRDefault="00821933" w:rsidP="00821933">
            <w:r w:rsidRPr="00821933">
              <w:t>Choice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48DCF4BB" w14:textId="77777777" w:rsidR="00821933" w:rsidRPr="00821933" w:rsidRDefault="00821933" w:rsidP="00821933">
            <w:r w:rsidRPr="00821933">
              <w:t>Offering students the freedom to select their preferred mode of assessment, allowing them to choose the format that best aligns with their strengths and learning styles.  </w:t>
            </w:r>
          </w:p>
        </w:tc>
      </w:tr>
      <w:tr w:rsidR="00821933" w:rsidRPr="00821933" w14:paraId="347A4CC8" w14:textId="77777777" w:rsidTr="00DD0F6F">
        <w:trPr>
          <w:trHeight w:val="429"/>
        </w:trPr>
        <w:tc>
          <w:tcPr>
            <w:tcW w:w="602" w:type="dxa"/>
            <w:vMerge/>
            <w:tcBorders>
              <w:top w:val="nil"/>
              <w:left w:val="nil"/>
              <w:bottom w:val="nil"/>
              <w:right w:val="nil"/>
            </w:tcBorders>
            <w:hideMark/>
          </w:tcPr>
          <w:p w14:paraId="6D07A5BA"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596DC2C3" w14:textId="77777777" w:rsidR="00821933" w:rsidRPr="00821933" w:rsidRDefault="00821933" w:rsidP="00821933">
            <w:r w:rsidRPr="00821933">
              <w:t>Creativity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62D585C9" w14:textId="77777777" w:rsidR="00821933" w:rsidRPr="00821933" w:rsidRDefault="00821933" w:rsidP="00821933">
            <w:r w:rsidRPr="00821933">
              <w:t>Encouraging students to express their understanding creatively, whether through multimedia presentations, innovative projects, or alternative formats. This approach values originality and personalises assessment. </w:t>
            </w:r>
          </w:p>
        </w:tc>
      </w:tr>
      <w:tr w:rsidR="00821933" w:rsidRPr="00821933" w14:paraId="77E2EEB2" w14:textId="77777777" w:rsidTr="00DD0F6F">
        <w:trPr>
          <w:trHeight w:val="429"/>
        </w:trPr>
        <w:tc>
          <w:tcPr>
            <w:tcW w:w="602" w:type="dxa"/>
            <w:vMerge/>
            <w:tcBorders>
              <w:top w:val="nil"/>
              <w:left w:val="nil"/>
              <w:bottom w:val="nil"/>
              <w:right w:val="nil"/>
            </w:tcBorders>
            <w:hideMark/>
          </w:tcPr>
          <w:p w14:paraId="52E0698D"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063E1859" w14:textId="77777777" w:rsidR="00821933" w:rsidRPr="00821933" w:rsidRDefault="00821933" w:rsidP="00821933">
            <w:r w:rsidRPr="00821933">
              <w:t>Variety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1738C4CF" w14:textId="77777777" w:rsidR="00821933" w:rsidRPr="00821933" w:rsidRDefault="00821933" w:rsidP="00821933">
            <w:r w:rsidRPr="00821933">
              <w:t>Offering a broad range of assessment types (e.g., written, oral, project-based) to provide diverse opportunities for students to demonstrate their learning, catering to different strengths and learning styles. </w:t>
            </w:r>
          </w:p>
        </w:tc>
      </w:tr>
      <w:tr w:rsidR="00821933" w:rsidRPr="00821933" w14:paraId="132E43CB" w14:textId="77777777" w:rsidTr="00DD0F6F">
        <w:trPr>
          <w:trHeight w:val="429"/>
        </w:trPr>
        <w:tc>
          <w:tcPr>
            <w:tcW w:w="602" w:type="dxa"/>
            <w:vMerge w:val="restart"/>
            <w:tcBorders>
              <w:top w:val="nil"/>
              <w:left w:val="nil"/>
              <w:bottom w:val="single" w:sz="6" w:space="0" w:color="9774B5"/>
              <w:right w:val="nil"/>
            </w:tcBorders>
            <w:shd w:val="clear" w:color="auto" w:fill="F2F2F2"/>
            <w:tcMar>
              <w:top w:w="66" w:type="dxa"/>
              <w:left w:w="48" w:type="dxa"/>
              <w:bottom w:w="33" w:type="dxa"/>
              <w:right w:w="48" w:type="dxa"/>
            </w:tcMar>
            <w:textDirection w:val="tbRl"/>
            <w:vAlign w:val="bottom"/>
            <w:hideMark/>
          </w:tcPr>
          <w:p w14:paraId="57EC1707" w14:textId="4CB46155" w:rsidR="00821933" w:rsidRPr="00821933" w:rsidRDefault="00821933" w:rsidP="00DD0F6F">
            <w:pPr>
              <w:ind w:left="113" w:right="113"/>
              <w:rPr>
                <w:b/>
                <w:bCs/>
              </w:rPr>
            </w:pPr>
            <w:r w:rsidRPr="00821933">
              <w:rPr>
                <w:b/>
                <w:bCs/>
                <w:sz w:val="32"/>
                <w:szCs w:val="32"/>
              </w:rPr>
              <w:t>Authentic</w:t>
            </w:r>
          </w:p>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173C44D5" w14:textId="77777777" w:rsidR="00821933" w:rsidRPr="00821933" w:rsidRDefault="00821933" w:rsidP="00821933">
            <w:r w:rsidRPr="00821933">
              <w:t>Personally meaningful (to students)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7E295852" w14:textId="77777777" w:rsidR="00821933" w:rsidRPr="00821933" w:rsidRDefault="00821933" w:rsidP="00821933">
            <w:r w:rsidRPr="00821933">
              <w:t>Designing assessments that connect to students' lives and future aspirations. By incorporating cases, scenarios, and problems that are societally relevant, assessments become more engaging and impactful, encouraging students to see the real-world value of their education. </w:t>
            </w:r>
          </w:p>
        </w:tc>
      </w:tr>
      <w:tr w:rsidR="00821933" w:rsidRPr="00821933" w14:paraId="16C5E220" w14:textId="77777777" w:rsidTr="00DD0F6F">
        <w:trPr>
          <w:trHeight w:val="329"/>
        </w:trPr>
        <w:tc>
          <w:tcPr>
            <w:tcW w:w="602" w:type="dxa"/>
            <w:vMerge/>
            <w:tcBorders>
              <w:top w:val="nil"/>
              <w:left w:val="nil"/>
              <w:bottom w:val="single" w:sz="6" w:space="0" w:color="9774B5"/>
              <w:right w:val="nil"/>
            </w:tcBorders>
            <w:hideMark/>
          </w:tcPr>
          <w:p w14:paraId="70EB7BEA"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14FDB08E" w14:textId="77777777" w:rsidR="00821933" w:rsidRPr="00821933" w:rsidRDefault="00821933" w:rsidP="00821933">
            <w:r w:rsidRPr="00821933">
              <w:t>Practitioner skills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636AE451" w14:textId="77777777" w:rsidR="00821933" w:rsidRPr="00821933" w:rsidRDefault="00821933" w:rsidP="00821933">
            <w:r w:rsidRPr="00821933">
              <w:t>Assessments should reflect the practical skills and knowledge that students will need in their future careers. </w:t>
            </w:r>
          </w:p>
        </w:tc>
      </w:tr>
      <w:tr w:rsidR="00821933" w:rsidRPr="00821933" w14:paraId="4CE3CD3D" w14:textId="77777777" w:rsidTr="00DD0F6F">
        <w:trPr>
          <w:trHeight w:val="329"/>
        </w:trPr>
        <w:tc>
          <w:tcPr>
            <w:tcW w:w="602" w:type="dxa"/>
            <w:vMerge/>
            <w:tcBorders>
              <w:top w:val="nil"/>
              <w:left w:val="nil"/>
              <w:bottom w:val="single" w:sz="6" w:space="0" w:color="9774B5"/>
              <w:right w:val="nil"/>
            </w:tcBorders>
            <w:hideMark/>
          </w:tcPr>
          <w:p w14:paraId="4080B247"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244420AA" w14:textId="77777777" w:rsidR="00821933" w:rsidRPr="00821933" w:rsidRDefault="00821933" w:rsidP="00821933">
            <w:r w:rsidRPr="00821933">
              <w:t>Teamwork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64A5EF8C" w14:textId="77777777" w:rsidR="00821933" w:rsidRPr="00821933" w:rsidRDefault="00821933" w:rsidP="00821933">
            <w:r w:rsidRPr="00821933">
              <w:t>Integrating teamwork into assessments not only strengthens students’ interpersonal skills but also mirrors the collaborative nature of many professional environments. </w:t>
            </w:r>
          </w:p>
        </w:tc>
      </w:tr>
      <w:tr w:rsidR="00821933" w:rsidRPr="00821933" w14:paraId="0F4EB8B4" w14:textId="77777777" w:rsidTr="00DD0F6F">
        <w:trPr>
          <w:trHeight w:val="429"/>
        </w:trPr>
        <w:tc>
          <w:tcPr>
            <w:tcW w:w="602" w:type="dxa"/>
            <w:vMerge/>
            <w:tcBorders>
              <w:top w:val="nil"/>
              <w:left w:val="nil"/>
              <w:bottom w:val="single" w:sz="6" w:space="0" w:color="9774B5"/>
              <w:right w:val="nil"/>
            </w:tcBorders>
            <w:hideMark/>
          </w:tcPr>
          <w:p w14:paraId="5A456EE8"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4BC9AA4" w14:textId="77777777" w:rsidR="00821933" w:rsidRPr="00821933" w:rsidRDefault="00821933" w:rsidP="00821933">
            <w:r w:rsidRPr="00821933">
              <w:t>Relevant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42854FAF" w14:textId="77777777" w:rsidR="00821933" w:rsidRPr="00821933" w:rsidRDefault="00821933" w:rsidP="00821933">
            <w:r w:rsidRPr="00821933">
              <w:t>Relevant assessments are designed to directly connect with the current needs, challenges, and interests of students, ensuring that the content and tasks align with their future careers, personal growth, and societal issues. </w:t>
            </w:r>
          </w:p>
        </w:tc>
      </w:tr>
      <w:tr w:rsidR="00821933" w:rsidRPr="00821933" w14:paraId="06BEFCB7" w14:textId="77777777" w:rsidTr="00DD0F6F">
        <w:trPr>
          <w:trHeight w:val="429"/>
        </w:trPr>
        <w:tc>
          <w:tcPr>
            <w:tcW w:w="602" w:type="dxa"/>
            <w:vMerge/>
            <w:tcBorders>
              <w:top w:val="nil"/>
              <w:left w:val="nil"/>
              <w:bottom w:val="single" w:sz="6" w:space="0" w:color="9774B5"/>
              <w:right w:val="nil"/>
            </w:tcBorders>
            <w:hideMark/>
          </w:tcPr>
          <w:p w14:paraId="5A1099D8" w14:textId="77777777" w:rsidR="00821933" w:rsidRPr="00821933" w:rsidRDefault="00821933" w:rsidP="00DD0F6F"/>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49EAE61C" w14:textId="77777777" w:rsidR="00821933" w:rsidRPr="00821933" w:rsidRDefault="00821933" w:rsidP="00821933">
            <w:r w:rsidRPr="00821933">
              <w:t>Social justice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538A9690" w14:textId="77777777" w:rsidR="00821933" w:rsidRPr="00821933" w:rsidRDefault="00821933" w:rsidP="00821933">
            <w:r w:rsidRPr="00821933">
              <w:t>Designing assessments that engage with pressing social issues such as sustainability, human rights, modern slavery, war, and conflict. This encourages students to think critically about their role in addressing global challenges, fostering a sense of responsibility and connection to the wider world. </w:t>
            </w:r>
          </w:p>
        </w:tc>
      </w:tr>
      <w:tr w:rsidR="00821933" w:rsidRPr="00821933" w14:paraId="6C70B815" w14:textId="77777777" w:rsidTr="00DD0F6F">
        <w:trPr>
          <w:trHeight w:val="229"/>
        </w:trPr>
        <w:tc>
          <w:tcPr>
            <w:tcW w:w="602" w:type="dxa"/>
            <w:vMerge w:val="restart"/>
            <w:tcBorders>
              <w:top w:val="single" w:sz="6" w:space="0" w:color="9774B5"/>
              <w:left w:val="nil"/>
              <w:bottom w:val="nil"/>
              <w:right w:val="nil"/>
            </w:tcBorders>
            <w:shd w:val="clear" w:color="auto" w:fill="F2F2F2"/>
            <w:tcMar>
              <w:top w:w="66" w:type="dxa"/>
              <w:left w:w="48" w:type="dxa"/>
              <w:bottom w:w="33" w:type="dxa"/>
              <w:right w:w="48" w:type="dxa"/>
            </w:tcMar>
            <w:textDirection w:val="tbRl"/>
            <w:vAlign w:val="bottom"/>
            <w:hideMark/>
          </w:tcPr>
          <w:p w14:paraId="67F1A942" w14:textId="3F06C9E7" w:rsidR="00821933" w:rsidRPr="00821933" w:rsidRDefault="00821933" w:rsidP="00DD0F6F">
            <w:pPr>
              <w:ind w:left="113" w:right="113"/>
              <w:rPr>
                <w:b/>
                <w:bCs/>
              </w:rPr>
            </w:pPr>
            <w:r w:rsidRPr="00821933">
              <w:rPr>
                <w:b/>
                <w:bCs/>
                <w:sz w:val="32"/>
                <w:szCs w:val="32"/>
              </w:rPr>
              <w:t>Valid</w:t>
            </w:r>
          </w:p>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3CF72C55" w14:textId="229508E1" w:rsidR="00821933" w:rsidRPr="00821933" w:rsidRDefault="00AC1348" w:rsidP="00821933">
            <w:r w:rsidRPr="00821933">
              <w:t>Evaluates Learning Outcomes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716C8D2C" w14:textId="2371A2F9" w:rsidR="00821933" w:rsidRPr="00821933" w:rsidRDefault="006154DB" w:rsidP="00821933">
            <w:r>
              <w:t xml:space="preserve">Expansion </w:t>
            </w:r>
            <w:r w:rsidR="002A6573">
              <w:t xml:space="preserve">still </w:t>
            </w:r>
            <w:r>
              <w:t xml:space="preserve">under </w:t>
            </w:r>
            <w:r w:rsidR="002A6573">
              <w:t>development. This r</w:t>
            </w:r>
            <w:r w:rsidR="00BC217D">
              <w:t xml:space="preserve">elates to </w:t>
            </w:r>
            <w:r w:rsidR="00566023">
              <w:t xml:space="preserve">the UDL concept of </w:t>
            </w:r>
            <w:r w:rsidR="00BC217D">
              <w:t xml:space="preserve">Construct </w:t>
            </w:r>
            <w:r w:rsidR="003F37A7">
              <w:t xml:space="preserve">Relevance </w:t>
            </w:r>
            <w:r w:rsidR="002A6573">
              <w:t>in</w:t>
            </w:r>
            <w:r w:rsidR="00566023">
              <w:t xml:space="preserve"> assessment.</w:t>
            </w:r>
          </w:p>
        </w:tc>
      </w:tr>
      <w:tr w:rsidR="00821933" w:rsidRPr="00821933" w14:paraId="0C65FC2A" w14:textId="77777777" w:rsidTr="00821933">
        <w:trPr>
          <w:trHeight w:val="230"/>
        </w:trPr>
        <w:tc>
          <w:tcPr>
            <w:tcW w:w="602" w:type="dxa"/>
            <w:vMerge/>
            <w:tcBorders>
              <w:top w:val="single" w:sz="6" w:space="0" w:color="9774B5"/>
              <w:left w:val="nil"/>
              <w:bottom w:val="nil"/>
              <w:right w:val="nil"/>
            </w:tcBorders>
            <w:hideMark/>
          </w:tcPr>
          <w:p w14:paraId="3B52FB6F" w14:textId="77777777" w:rsidR="00821933" w:rsidRPr="00821933" w:rsidRDefault="00821933" w:rsidP="00821933"/>
        </w:tc>
        <w:tc>
          <w:tcPr>
            <w:tcW w:w="2092"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7984AA43" w14:textId="536858A6" w:rsidR="00821933" w:rsidRPr="00821933" w:rsidRDefault="00277B62" w:rsidP="00821933">
            <w:r>
              <w:t xml:space="preserve">Validation </w:t>
            </w:r>
            <w:r w:rsidRPr="00821933">
              <w:t xml:space="preserve">of student </w:t>
            </w:r>
            <w:r>
              <w:t>learning</w:t>
            </w:r>
            <w:r w:rsidRPr="00821933">
              <w:t> </w:t>
            </w:r>
          </w:p>
        </w:tc>
        <w:tc>
          <w:tcPr>
            <w:tcW w:w="12704" w:type="dxa"/>
            <w:tcBorders>
              <w:top w:val="single" w:sz="6" w:space="0" w:color="9774B5"/>
              <w:left w:val="nil"/>
              <w:bottom w:val="single" w:sz="6" w:space="0" w:color="9774B5"/>
              <w:right w:val="nil"/>
            </w:tcBorders>
            <w:shd w:val="clear" w:color="auto" w:fill="F2F2F2"/>
            <w:tcMar>
              <w:top w:w="66" w:type="dxa"/>
              <w:left w:w="48" w:type="dxa"/>
              <w:bottom w:w="33" w:type="dxa"/>
              <w:right w:w="48" w:type="dxa"/>
            </w:tcMar>
            <w:hideMark/>
          </w:tcPr>
          <w:p w14:paraId="7184BD7B" w14:textId="58CE79DF" w:rsidR="00821933" w:rsidRPr="00821933" w:rsidRDefault="002A6573" w:rsidP="00821933">
            <w:r>
              <w:t xml:space="preserve">Expansion still under development. This relates to </w:t>
            </w:r>
            <w:r w:rsidR="0069304E">
              <w:t xml:space="preserve">verifying that </w:t>
            </w:r>
            <w:r w:rsidR="004F2EEA">
              <w:t xml:space="preserve">each student has </w:t>
            </w:r>
            <w:r w:rsidR="00CD6B31">
              <w:t xml:space="preserve">met the learning </w:t>
            </w:r>
            <w:r w:rsidR="00566023">
              <w:t>outcomes.</w:t>
            </w:r>
          </w:p>
        </w:tc>
      </w:tr>
    </w:tbl>
    <w:p w14:paraId="18C1AB86" w14:textId="77777777" w:rsidR="0020782C" w:rsidRDefault="0020782C"/>
    <w:p w14:paraId="48B25CCF" w14:textId="2E30CA2E" w:rsidR="00E92008" w:rsidRDefault="0077762D">
      <w:r>
        <w:t>This draft is i</w:t>
      </w:r>
      <w:r w:rsidR="00E92008" w:rsidRPr="00E92008">
        <w:t>nformed by UDL 3.0 principles, student focus groups, and scholarly literature</w:t>
      </w:r>
      <w:r w:rsidR="0020782C">
        <w:t xml:space="preserve">. </w:t>
      </w:r>
      <w:hyperlink r:id="rId5" w:history="1">
        <w:r w:rsidR="0020782C" w:rsidRPr="00DC3825">
          <w:rPr>
            <w:rStyle w:val="Hyperlink"/>
          </w:rPr>
          <w:t>All feedback is welcome</w:t>
        </w:r>
      </w:hyperlink>
      <w:r w:rsidR="0020782C">
        <w:t>,</w:t>
      </w:r>
    </w:p>
    <w:sectPr w:rsidR="00E92008" w:rsidSect="008219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33"/>
    <w:rsid w:val="001151DB"/>
    <w:rsid w:val="0020782C"/>
    <w:rsid w:val="00241A02"/>
    <w:rsid w:val="00261E38"/>
    <w:rsid w:val="00277B62"/>
    <w:rsid w:val="002A6573"/>
    <w:rsid w:val="0035093F"/>
    <w:rsid w:val="003F37A7"/>
    <w:rsid w:val="0040136E"/>
    <w:rsid w:val="004A7C27"/>
    <w:rsid w:val="004C10F4"/>
    <w:rsid w:val="004F2EEA"/>
    <w:rsid w:val="004F3D11"/>
    <w:rsid w:val="00517B2F"/>
    <w:rsid w:val="00566023"/>
    <w:rsid w:val="005949F8"/>
    <w:rsid w:val="006154DB"/>
    <w:rsid w:val="0069304E"/>
    <w:rsid w:val="007614E6"/>
    <w:rsid w:val="0077762D"/>
    <w:rsid w:val="00821933"/>
    <w:rsid w:val="00A53831"/>
    <w:rsid w:val="00A6503D"/>
    <w:rsid w:val="00AC1348"/>
    <w:rsid w:val="00B01900"/>
    <w:rsid w:val="00BC217D"/>
    <w:rsid w:val="00C91747"/>
    <w:rsid w:val="00CD00E8"/>
    <w:rsid w:val="00CD6B31"/>
    <w:rsid w:val="00DC3825"/>
    <w:rsid w:val="00DD0F6F"/>
    <w:rsid w:val="00E75B7F"/>
    <w:rsid w:val="00E92008"/>
    <w:rsid w:val="00EF3B07"/>
    <w:rsid w:val="00F17F71"/>
    <w:rsid w:val="00F777C8"/>
    <w:rsid w:val="00FA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AF40"/>
  <w15:chartTrackingRefBased/>
  <w15:docId w15:val="{64D508EF-DE37-40B9-BE99-339927FE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93F"/>
    <w:pPr>
      <w:keepNext/>
      <w:keepLines/>
      <w:spacing w:after="0"/>
      <w:outlineLvl w:val="0"/>
    </w:pPr>
    <w:rPr>
      <w:rFonts w:asciiTheme="majorHAnsi" w:eastAsiaTheme="majorEastAsia" w:hAnsiTheme="majorHAnsi" w:cstheme="majorBidi"/>
      <w:b/>
      <w:color w:val="0F4761" w:themeColor="accent1" w:themeShade="BF"/>
      <w:sz w:val="28"/>
      <w:szCs w:val="40"/>
    </w:rPr>
  </w:style>
  <w:style w:type="paragraph" w:styleId="Heading2">
    <w:name w:val="heading 2"/>
    <w:basedOn w:val="Normal"/>
    <w:next w:val="Normal"/>
    <w:link w:val="Heading2Char"/>
    <w:uiPriority w:val="9"/>
    <w:semiHidden/>
    <w:unhideWhenUsed/>
    <w:qFormat/>
    <w:rsid w:val="00821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93F"/>
    <w:rPr>
      <w:rFonts w:asciiTheme="majorHAnsi" w:eastAsiaTheme="majorEastAsia" w:hAnsiTheme="majorHAnsi" w:cstheme="majorBidi"/>
      <w:b/>
      <w:color w:val="0F4761" w:themeColor="accent1" w:themeShade="BF"/>
      <w:sz w:val="28"/>
      <w:szCs w:val="40"/>
    </w:rPr>
  </w:style>
  <w:style w:type="character" w:customStyle="1" w:styleId="Heading2Char">
    <w:name w:val="Heading 2 Char"/>
    <w:basedOn w:val="DefaultParagraphFont"/>
    <w:link w:val="Heading2"/>
    <w:uiPriority w:val="9"/>
    <w:semiHidden/>
    <w:rsid w:val="00821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933"/>
    <w:rPr>
      <w:rFonts w:eastAsiaTheme="majorEastAsia" w:cstheme="majorBidi"/>
      <w:color w:val="272727" w:themeColor="text1" w:themeTint="D8"/>
    </w:rPr>
  </w:style>
  <w:style w:type="paragraph" w:styleId="Title">
    <w:name w:val="Title"/>
    <w:basedOn w:val="Normal"/>
    <w:next w:val="Normal"/>
    <w:link w:val="TitleChar"/>
    <w:uiPriority w:val="10"/>
    <w:qFormat/>
    <w:rsid w:val="00821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933"/>
    <w:pPr>
      <w:spacing w:before="160"/>
      <w:jc w:val="center"/>
    </w:pPr>
    <w:rPr>
      <w:i/>
      <w:iCs/>
      <w:color w:val="404040" w:themeColor="text1" w:themeTint="BF"/>
    </w:rPr>
  </w:style>
  <w:style w:type="character" w:customStyle="1" w:styleId="QuoteChar">
    <w:name w:val="Quote Char"/>
    <w:basedOn w:val="DefaultParagraphFont"/>
    <w:link w:val="Quote"/>
    <w:uiPriority w:val="29"/>
    <w:rsid w:val="00821933"/>
    <w:rPr>
      <w:i/>
      <w:iCs/>
      <w:color w:val="404040" w:themeColor="text1" w:themeTint="BF"/>
    </w:rPr>
  </w:style>
  <w:style w:type="paragraph" w:styleId="ListParagraph">
    <w:name w:val="List Paragraph"/>
    <w:basedOn w:val="Normal"/>
    <w:uiPriority w:val="34"/>
    <w:qFormat/>
    <w:rsid w:val="00821933"/>
    <w:pPr>
      <w:ind w:left="720"/>
      <w:contextualSpacing/>
    </w:pPr>
  </w:style>
  <w:style w:type="character" w:styleId="IntenseEmphasis">
    <w:name w:val="Intense Emphasis"/>
    <w:basedOn w:val="DefaultParagraphFont"/>
    <w:uiPriority w:val="21"/>
    <w:qFormat/>
    <w:rsid w:val="00821933"/>
    <w:rPr>
      <w:i/>
      <w:iCs/>
      <w:color w:val="0F4761" w:themeColor="accent1" w:themeShade="BF"/>
    </w:rPr>
  </w:style>
  <w:style w:type="paragraph" w:styleId="IntenseQuote">
    <w:name w:val="Intense Quote"/>
    <w:basedOn w:val="Normal"/>
    <w:next w:val="Normal"/>
    <w:link w:val="IntenseQuoteChar"/>
    <w:uiPriority w:val="30"/>
    <w:qFormat/>
    <w:rsid w:val="00821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933"/>
    <w:rPr>
      <w:i/>
      <w:iCs/>
      <w:color w:val="0F4761" w:themeColor="accent1" w:themeShade="BF"/>
    </w:rPr>
  </w:style>
  <w:style w:type="character" w:styleId="IntenseReference">
    <w:name w:val="Intense Reference"/>
    <w:basedOn w:val="DefaultParagraphFont"/>
    <w:uiPriority w:val="32"/>
    <w:qFormat/>
    <w:rsid w:val="00821933"/>
    <w:rPr>
      <w:b/>
      <w:bCs/>
      <w:smallCaps/>
      <w:color w:val="0F4761" w:themeColor="accent1" w:themeShade="BF"/>
      <w:spacing w:val="5"/>
    </w:rPr>
  </w:style>
  <w:style w:type="character" w:styleId="Hyperlink">
    <w:name w:val="Hyperlink"/>
    <w:basedOn w:val="DefaultParagraphFont"/>
    <w:uiPriority w:val="99"/>
    <w:unhideWhenUsed/>
    <w:rsid w:val="00DC3825"/>
    <w:rPr>
      <w:color w:val="467886" w:themeColor="hyperlink"/>
      <w:u w:val="single"/>
    </w:rPr>
  </w:style>
  <w:style w:type="character" w:styleId="UnresolvedMention">
    <w:name w:val="Unresolved Mention"/>
    <w:basedOn w:val="DefaultParagraphFont"/>
    <w:uiPriority w:val="99"/>
    <w:semiHidden/>
    <w:unhideWhenUsed/>
    <w:rsid w:val="00DC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UiBKC8p8K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561</Words>
  <Characters>3201</Characters>
  <Application>Microsoft Office Word</Application>
  <DocSecurity>4</DocSecurity>
  <Lines>26</Lines>
  <Paragraphs>7</Paragraphs>
  <ScaleCrop>false</ScaleCrop>
  <Company/>
  <LinksUpToDate>false</LinksUpToDate>
  <CharactersWithSpaces>3755</CharactersWithSpaces>
  <SharedDoc>false</SharedDoc>
  <HLinks>
    <vt:vector size="6" baseType="variant">
      <vt:variant>
        <vt:i4>4456462</vt:i4>
      </vt:variant>
      <vt:variant>
        <vt:i4>0</vt:i4>
      </vt:variant>
      <vt:variant>
        <vt:i4>0</vt:i4>
      </vt:variant>
      <vt:variant>
        <vt:i4>5</vt:i4>
      </vt:variant>
      <vt:variant>
        <vt:lpwstr>https://forms.office.com/r/UiBKC8p8KU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Frost</dc:creator>
  <cp:keywords/>
  <dc:description/>
  <cp:lastModifiedBy>Chris Frost</cp:lastModifiedBy>
  <cp:revision>31</cp:revision>
  <cp:lastPrinted>2025-06-25T01:39:00Z</cp:lastPrinted>
  <dcterms:created xsi:type="dcterms:W3CDTF">2025-06-25T01:36:00Z</dcterms:created>
  <dcterms:modified xsi:type="dcterms:W3CDTF">2025-06-25T05:48:00Z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2025-06-25T04:03:26Z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404c0ba5-6a8e-4053-be9c-c8734bc16fe0</vt:lpwstr>
  </property>
  <property fmtid="{D5CDD505-2E9C-101B-9397-08002B2CF9AE}" pid="8" name="MSIP_Label_0f488380-630a-4f55-a077-a19445e3f360_ContentBits">
    <vt:lpwstr>0</vt:lpwstr>
  </property>
  <property fmtid="{D5CDD505-2E9C-101B-9397-08002B2CF9AE}" pid="9" name="MSIP_Label_0f488380-630a-4f55-a077-a19445e3f360_Tag">
    <vt:lpwstr>50, 3, 0, 1</vt:lpwstr>
  </property>
</Properties>
</file>