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FF40" w14:textId="77777777" w:rsidR="00656CD4" w:rsidRPr="00C1753A" w:rsidRDefault="00656CD4" w:rsidP="007F532F">
      <w:pPr>
        <w:pStyle w:val="Title"/>
      </w:pPr>
      <w:r w:rsidRPr="00C1753A">
        <w:t>Submission to the review of the Australian Disability Strategy (ADS)</w:t>
      </w:r>
    </w:p>
    <w:p w14:paraId="16A9069B" w14:textId="77777777" w:rsidR="00656CD4" w:rsidRPr="00C1753A" w:rsidRDefault="00656CD4" w:rsidP="007F532F">
      <w:pPr>
        <w:pStyle w:val="Heading1"/>
      </w:pPr>
      <w:r w:rsidRPr="00C1753A">
        <w:t>Introduction</w:t>
      </w:r>
    </w:p>
    <w:p w14:paraId="2AF991C8" w14:textId="4C256F16" w:rsidR="00656CD4" w:rsidRPr="00C1753A" w:rsidRDefault="6209ED6F" w:rsidP="5E447112">
      <w:pPr>
        <w:spacing w:line="276" w:lineRule="auto"/>
      </w:pPr>
      <w:r w:rsidRPr="370ED0F8">
        <w:rPr>
          <w:rFonts w:asciiTheme="minorHAnsi" w:eastAsiaTheme="minorEastAsia" w:hAnsiTheme="minorHAnsi"/>
        </w:rPr>
        <w:t>The Australian Disability Clearinghouse on Education and Training (ADCET) welcomes the opportunity to provide feedback on the review of the Australian Disability Strategy (ADS).</w:t>
      </w:r>
      <w:r w:rsidR="2C83C0BC" w:rsidRPr="370ED0F8">
        <w:rPr>
          <w:rFonts w:asciiTheme="minorHAnsi" w:eastAsiaTheme="minorEastAsia" w:hAnsiTheme="minorHAnsi"/>
        </w:rPr>
        <w:t xml:space="preserve"> </w:t>
      </w:r>
      <w:r w:rsidR="2C83C0BC" w:rsidRPr="370ED0F8">
        <w:rPr>
          <w:rFonts w:asciiTheme="minorHAnsi" w:eastAsiaTheme="minorEastAsia" w:hAnsiTheme="minorHAnsi"/>
          <w:lang w:val="en-US"/>
        </w:rPr>
        <w:t xml:space="preserve">ADCET </w:t>
      </w:r>
      <w:r w:rsidR="2C83C0BC" w:rsidRPr="370ED0F8">
        <w:rPr>
          <w:rFonts w:asciiTheme="minorHAnsi" w:eastAsiaTheme="minorEastAsia" w:hAnsiTheme="minorHAnsi"/>
        </w:rPr>
        <w:t xml:space="preserve">provides national leadership in the inclusion of people with disability in tertiary education through providing information and professional development for disability practitioners, educators and support staff. </w:t>
      </w:r>
    </w:p>
    <w:p w14:paraId="6D6F1F4E" w14:textId="48D7794F" w:rsidR="00656CD4" w:rsidRPr="00C1753A" w:rsidRDefault="6209ED6F" w:rsidP="370ED0F8">
      <w:pPr>
        <w:spacing w:line="276" w:lineRule="auto"/>
        <w:rPr>
          <w:rFonts w:asciiTheme="minorHAnsi" w:eastAsiaTheme="minorEastAsia" w:hAnsiTheme="minorHAnsi"/>
        </w:rPr>
      </w:pPr>
      <w:r w:rsidRPr="370ED0F8">
        <w:rPr>
          <w:rFonts w:asciiTheme="minorHAnsi" w:eastAsiaTheme="minorEastAsia" w:hAnsiTheme="minorHAnsi"/>
        </w:rPr>
        <w:t xml:space="preserve">ADCET is committed to promoting inclusive education and training environments for students with </w:t>
      </w:r>
      <w:r w:rsidR="7617E667" w:rsidRPr="370ED0F8">
        <w:rPr>
          <w:rFonts w:asciiTheme="minorHAnsi" w:eastAsiaTheme="minorEastAsia" w:hAnsiTheme="minorHAnsi"/>
        </w:rPr>
        <w:t>disability</w:t>
      </w:r>
      <w:r w:rsidRPr="370ED0F8">
        <w:rPr>
          <w:rFonts w:asciiTheme="minorHAnsi" w:eastAsiaTheme="minorEastAsia" w:hAnsiTheme="minorHAnsi"/>
        </w:rPr>
        <w:t xml:space="preserve"> in Australia, across both university and Vocational Education and Training (VET) settings. We recognise the significant role the ADS plays in shaping the educational outcomes of individuals with </w:t>
      </w:r>
      <w:r w:rsidR="7617E667" w:rsidRPr="370ED0F8">
        <w:rPr>
          <w:rFonts w:asciiTheme="minorHAnsi" w:eastAsiaTheme="minorEastAsia" w:hAnsiTheme="minorHAnsi"/>
        </w:rPr>
        <w:t>disability</w:t>
      </w:r>
      <w:r w:rsidRPr="370ED0F8">
        <w:rPr>
          <w:rFonts w:asciiTheme="minorHAnsi" w:eastAsiaTheme="minorEastAsia" w:hAnsiTheme="minorHAnsi"/>
        </w:rPr>
        <w:t xml:space="preserve"> as the primary </w:t>
      </w:r>
      <w:r w:rsidR="36980244" w:rsidRPr="370ED0F8">
        <w:rPr>
          <w:rFonts w:asciiTheme="minorHAnsi" w:eastAsiaTheme="minorEastAsia" w:hAnsiTheme="minorHAnsi"/>
        </w:rPr>
        <w:t>vehicle</w:t>
      </w:r>
      <w:r w:rsidRPr="370ED0F8">
        <w:rPr>
          <w:rFonts w:asciiTheme="minorHAnsi" w:eastAsiaTheme="minorEastAsia" w:hAnsiTheme="minorHAnsi"/>
        </w:rPr>
        <w:t xml:space="preserve"> for the implementation of the United Nations Convention on the Rights of Persons with Disability (UNCRPD) in Australia. </w:t>
      </w:r>
      <w:r w:rsidR="36980244" w:rsidRPr="370ED0F8">
        <w:rPr>
          <w:rFonts w:asciiTheme="minorHAnsi" w:eastAsiaTheme="minorEastAsia" w:hAnsiTheme="minorHAnsi"/>
        </w:rPr>
        <w:t>We believe</w:t>
      </w:r>
      <w:r w:rsidRPr="370ED0F8">
        <w:rPr>
          <w:rFonts w:asciiTheme="minorHAnsi" w:eastAsiaTheme="minorEastAsia" w:hAnsiTheme="minorHAnsi"/>
        </w:rPr>
        <w:t xml:space="preserve"> that the current strategy can be strengthened to ensure it </w:t>
      </w:r>
      <w:r w:rsidR="4EEBA5C4" w:rsidRPr="370ED0F8">
        <w:rPr>
          <w:rFonts w:asciiTheme="minorHAnsi" w:eastAsiaTheme="minorEastAsia" w:hAnsiTheme="minorHAnsi"/>
        </w:rPr>
        <w:t xml:space="preserve">support the </w:t>
      </w:r>
      <w:r w:rsidRPr="370ED0F8">
        <w:rPr>
          <w:rFonts w:asciiTheme="minorHAnsi" w:eastAsiaTheme="minorEastAsia" w:hAnsiTheme="minorHAnsi"/>
        </w:rPr>
        <w:t xml:space="preserve">full implementation of </w:t>
      </w:r>
      <w:r w:rsidR="4EEBA5C4" w:rsidRPr="370ED0F8">
        <w:rPr>
          <w:rFonts w:asciiTheme="minorHAnsi" w:eastAsiaTheme="minorEastAsia" w:hAnsiTheme="minorHAnsi"/>
        </w:rPr>
        <w:t xml:space="preserve">the UNCRPD, particularly </w:t>
      </w:r>
      <w:r w:rsidRPr="370ED0F8">
        <w:rPr>
          <w:rFonts w:asciiTheme="minorHAnsi" w:eastAsiaTheme="minorEastAsia" w:hAnsiTheme="minorHAnsi"/>
        </w:rPr>
        <w:t>Article 24</w:t>
      </w:r>
      <w:r w:rsidR="4EEBA5C4" w:rsidRPr="370ED0F8">
        <w:rPr>
          <w:rFonts w:asciiTheme="minorHAnsi" w:eastAsiaTheme="minorEastAsia" w:hAnsiTheme="minorHAnsi"/>
        </w:rPr>
        <w:t>,</w:t>
      </w:r>
      <w:r w:rsidRPr="370ED0F8">
        <w:rPr>
          <w:rFonts w:asciiTheme="minorHAnsi" w:eastAsiaTheme="minorEastAsia" w:hAnsiTheme="minorHAnsi"/>
        </w:rPr>
        <w:t xml:space="preserve"> in Australian higher education settings. </w:t>
      </w:r>
    </w:p>
    <w:p w14:paraId="5B10D99D" w14:textId="52089AEF" w:rsidR="00656CD4" w:rsidRPr="00C1753A" w:rsidRDefault="00656CD4" w:rsidP="007F532F">
      <w:pPr>
        <w:pStyle w:val="Heading1"/>
      </w:pPr>
      <w:r w:rsidRPr="00C1753A">
        <w:t xml:space="preserve">Strengthening the </w:t>
      </w:r>
      <w:r w:rsidR="00A05483">
        <w:t>E</w:t>
      </w:r>
      <w:r w:rsidRPr="00C1753A">
        <w:t>ducation</w:t>
      </w:r>
      <w:r w:rsidR="00A05483">
        <w:t xml:space="preserve"> and Learning</w:t>
      </w:r>
      <w:r w:rsidRPr="00C1753A">
        <w:t xml:space="preserve"> </w:t>
      </w:r>
      <w:r w:rsidR="00A05483">
        <w:t>O</w:t>
      </w:r>
      <w:r w:rsidRPr="00C1753A">
        <w:t xml:space="preserve">utcome </w:t>
      </w:r>
      <w:r w:rsidR="00A05483">
        <w:t>A</w:t>
      </w:r>
      <w:r w:rsidRPr="00C1753A">
        <w:t>rea</w:t>
      </w:r>
    </w:p>
    <w:p w14:paraId="60E093B3" w14:textId="3C633239" w:rsidR="00801BBB" w:rsidRDefault="6209ED6F" w:rsidP="370ED0F8">
      <w:pPr>
        <w:spacing w:line="276" w:lineRule="auto"/>
        <w:rPr>
          <w:rFonts w:asciiTheme="minorHAnsi" w:eastAsiaTheme="minorEastAsia" w:hAnsiTheme="minorHAnsi"/>
          <w:b/>
          <w:bCs/>
        </w:rPr>
      </w:pPr>
      <w:r w:rsidRPr="370ED0F8">
        <w:rPr>
          <w:rFonts w:asciiTheme="minorHAnsi" w:eastAsiaTheme="minorEastAsia" w:hAnsiTheme="minorHAnsi"/>
        </w:rPr>
        <w:t xml:space="preserve">The current ADS </w:t>
      </w:r>
      <w:r w:rsidR="04E78B19" w:rsidRPr="370ED0F8">
        <w:rPr>
          <w:rFonts w:asciiTheme="minorHAnsi" w:eastAsiaTheme="minorEastAsia" w:hAnsiTheme="minorHAnsi"/>
        </w:rPr>
        <w:t>refers to</w:t>
      </w:r>
      <w:r w:rsidRPr="370ED0F8">
        <w:rPr>
          <w:rFonts w:asciiTheme="minorHAnsi" w:eastAsiaTheme="minorEastAsia" w:hAnsiTheme="minorHAnsi"/>
        </w:rPr>
        <w:t xml:space="preserve"> universities and </w:t>
      </w:r>
      <w:r w:rsidR="753F1DBB" w:rsidRPr="370ED0F8">
        <w:rPr>
          <w:rFonts w:asciiTheme="minorHAnsi" w:eastAsiaTheme="minorEastAsia" w:hAnsiTheme="minorHAnsi"/>
        </w:rPr>
        <w:t>VET</w:t>
      </w:r>
      <w:r w:rsidRPr="370ED0F8">
        <w:rPr>
          <w:rFonts w:asciiTheme="minorHAnsi" w:eastAsiaTheme="minorEastAsia" w:hAnsiTheme="minorHAnsi"/>
        </w:rPr>
        <w:t xml:space="preserve"> settings under </w:t>
      </w:r>
      <w:r w:rsidR="6A09DEF1" w:rsidRPr="370ED0F8">
        <w:rPr>
          <w:rFonts w:asciiTheme="minorHAnsi" w:eastAsiaTheme="minorEastAsia" w:hAnsiTheme="minorHAnsi"/>
        </w:rPr>
        <w:t xml:space="preserve">Policy </w:t>
      </w:r>
      <w:r w:rsidR="753F1DBB" w:rsidRPr="370ED0F8">
        <w:rPr>
          <w:rFonts w:asciiTheme="minorHAnsi" w:eastAsiaTheme="minorEastAsia" w:hAnsiTheme="minorHAnsi"/>
        </w:rPr>
        <w:t xml:space="preserve">Priority 3 </w:t>
      </w:r>
      <w:r w:rsidR="3B334794" w:rsidRPr="370ED0F8">
        <w:rPr>
          <w:rFonts w:asciiTheme="minorHAnsi" w:eastAsiaTheme="minorEastAsia" w:hAnsiTheme="minorHAnsi"/>
        </w:rPr>
        <w:t xml:space="preserve">&amp; 4 </w:t>
      </w:r>
      <w:r w:rsidR="133687E1" w:rsidRPr="370ED0F8">
        <w:rPr>
          <w:rFonts w:asciiTheme="minorHAnsi" w:eastAsiaTheme="minorEastAsia" w:hAnsiTheme="minorHAnsi"/>
        </w:rPr>
        <w:t>(PP3</w:t>
      </w:r>
      <w:r w:rsidR="3B334794" w:rsidRPr="370ED0F8">
        <w:rPr>
          <w:rFonts w:asciiTheme="minorHAnsi" w:eastAsiaTheme="minorEastAsia" w:hAnsiTheme="minorHAnsi"/>
        </w:rPr>
        <w:t xml:space="preserve"> &amp; PP4</w:t>
      </w:r>
      <w:r w:rsidR="133687E1" w:rsidRPr="370ED0F8">
        <w:rPr>
          <w:rFonts w:asciiTheme="minorHAnsi" w:eastAsiaTheme="minorEastAsia" w:hAnsiTheme="minorHAnsi"/>
        </w:rPr>
        <w:t xml:space="preserve">) </w:t>
      </w:r>
      <w:r w:rsidR="04E78B19" w:rsidRPr="370ED0F8">
        <w:rPr>
          <w:rFonts w:asciiTheme="minorHAnsi" w:eastAsiaTheme="minorEastAsia" w:hAnsiTheme="minorHAnsi"/>
        </w:rPr>
        <w:t xml:space="preserve">under the umbrella of </w:t>
      </w:r>
      <w:r w:rsidR="1D48F4BE" w:rsidRPr="370ED0F8">
        <w:rPr>
          <w:rFonts w:asciiTheme="minorHAnsi" w:eastAsiaTheme="minorEastAsia" w:hAnsiTheme="minorHAnsi"/>
        </w:rPr>
        <w:t xml:space="preserve">‘tertiary education’ </w:t>
      </w:r>
      <w:r w:rsidR="04E78B19" w:rsidRPr="370ED0F8">
        <w:rPr>
          <w:rFonts w:asciiTheme="minorHAnsi" w:eastAsiaTheme="minorEastAsia" w:hAnsiTheme="minorHAnsi"/>
        </w:rPr>
        <w:t>within</w:t>
      </w:r>
      <w:r w:rsidR="753F1DBB" w:rsidRPr="370ED0F8">
        <w:rPr>
          <w:rFonts w:asciiTheme="minorHAnsi" w:eastAsiaTheme="minorEastAsia" w:hAnsiTheme="minorHAnsi"/>
        </w:rPr>
        <w:t xml:space="preserve"> the Education and Leaning </w:t>
      </w:r>
      <w:r w:rsidR="6A09DEF1" w:rsidRPr="370ED0F8">
        <w:rPr>
          <w:rFonts w:asciiTheme="minorHAnsi" w:eastAsiaTheme="minorEastAsia" w:hAnsiTheme="minorHAnsi"/>
        </w:rPr>
        <w:t xml:space="preserve">Outcome Area. The focus of </w:t>
      </w:r>
      <w:r w:rsidR="1D48F4BE" w:rsidRPr="370ED0F8">
        <w:rPr>
          <w:rFonts w:asciiTheme="minorHAnsi" w:eastAsiaTheme="minorEastAsia" w:hAnsiTheme="minorHAnsi"/>
        </w:rPr>
        <w:t xml:space="preserve">PP3 and PP4 </w:t>
      </w:r>
      <w:r w:rsidR="6A09DEF1" w:rsidRPr="370ED0F8">
        <w:rPr>
          <w:rFonts w:asciiTheme="minorHAnsi" w:eastAsiaTheme="minorEastAsia" w:hAnsiTheme="minorHAnsi"/>
        </w:rPr>
        <w:t xml:space="preserve">is </w:t>
      </w:r>
      <w:r w:rsidR="3079069D" w:rsidRPr="370ED0F8">
        <w:rPr>
          <w:rFonts w:asciiTheme="minorHAnsi" w:eastAsiaTheme="minorEastAsia" w:hAnsiTheme="minorHAnsi"/>
        </w:rPr>
        <w:t xml:space="preserve">access </w:t>
      </w:r>
      <w:r w:rsidR="518146A5" w:rsidRPr="370ED0F8">
        <w:rPr>
          <w:rFonts w:asciiTheme="minorHAnsi" w:eastAsiaTheme="minorEastAsia" w:hAnsiTheme="minorHAnsi"/>
        </w:rPr>
        <w:t xml:space="preserve">and </w:t>
      </w:r>
      <w:r w:rsidR="6A09DEF1" w:rsidRPr="370ED0F8">
        <w:rPr>
          <w:rFonts w:asciiTheme="minorHAnsi" w:eastAsiaTheme="minorEastAsia" w:hAnsiTheme="minorHAnsi"/>
        </w:rPr>
        <w:t xml:space="preserve">pathways to </w:t>
      </w:r>
      <w:r w:rsidR="5BAEA4D6" w:rsidRPr="370ED0F8">
        <w:rPr>
          <w:rFonts w:asciiTheme="minorHAnsi" w:eastAsiaTheme="minorEastAsia" w:hAnsiTheme="minorHAnsi"/>
        </w:rPr>
        <w:t>these</w:t>
      </w:r>
      <w:r w:rsidR="6A09DEF1" w:rsidRPr="370ED0F8">
        <w:rPr>
          <w:rFonts w:asciiTheme="minorHAnsi" w:eastAsiaTheme="minorEastAsia" w:hAnsiTheme="minorHAnsi"/>
        </w:rPr>
        <w:t xml:space="preserve"> educational settings.</w:t>
      </w:r>
      <w:r w:rsidRPr="370ED0F8">
        <w:rPr>
          <w:rFonts w:asciiTheme="minorHAnsi" w:eastAsiaTheme="minorEastAsia" w:hAnsiTheme="minorHAnsi"/>
        </w:rPr>
        <w:t xml:space="preserve"> However, given the evolving landscape of higher education, as highlighted by the Australian Universities Accord, </w:t>
      </w:r>
      <w:r w:rsidRPr="370ED0F8">
        <w:rPr>
          <w:rFonts w:asciiTheme="minorHAnsi" w:eastAsiaTheme="minorEastAsia" w:hAnsiTheme="minorHAnsi"/>
          <w:b/>
          <w:bCs/>
        </w:rPr>
        <w:t>it is essential that th</w:t>
      </w:r>
      <w:r w:rsidR="3079069D" w:rsidRPr="370ED0F8">
        <w:rPr>
          <w:rFonts w:asciiTheme="minorHAnsi" w:eastAsiaTheme="minorEastAsia" w:hAnsiTheme="minorHAnsi"/>
          <w:b/>
          <w:bCs/>
        </w:rPr>
        <w:t>ese</w:t>
      </w:r>
      <w:r w:rsidRPr="370ED0F8">
        <w:rPr>
          <w:rFonts w:asciiTheme="minorHAnsi" w:eastAsiaTheme="minorEastAsia" w:hAnsiTheme="minorHAnsi"/>
          <w:b/>
          <w:bCs/>
        </w:rPr>
        <w:t xml:space="preserve"> area</w:t>
      </w:r>
      <w:r w:rsidR="3079069D" w:rsidRPr="370ED0F8">
        <w:rPr>
          <w:rFonts w:asciiTheme="minorHAnsi" w:eastAsiaTheme="minorEastAsia" w:hAnsiTheme="minorHAnsi"/>
          <w:b/>
          <w:bCs/>
        </w:rPr>
        <w:t>s</w:t>
      </w:r>
      <w:r w:rsidRPr="370ED0F8">
        <w:rPr>
          <w:rFonts w:asciiTheme="minorHAnsi" w:eastAsiaTheme="minorEastAsia" w:hAnsiTheme="minorHAnsi"/>
          <w:b/>
          <w:bCs/>
        </w:rPr>
        <w:t xml:space="preserve"> </w:t>
      </w:r>
      <w:r w:rsidR="518146A5" w:rsidRPr="370ED0F8">
        <w:rPr>
          <w:rFonts w:asciiTheme="minorHAnsi" w:eastAsiaTheme="minorEastAsia" w:hAnsiTheme="minorHAnsi"/>
          <w:b/>
          <w:bCs/>
        </w:rPr>
        <w:t>are</w:t>
      </w:r>
      <w:r w:rsidRPr="370ED0F8">
        <w:rPr>
          <w:rFonts w:asciiTheme="minorHAnsi" w:eastAsiaTheme="minorEastAsia" w:hAnsiTheme="minorHAnsi"/>
          <w:b/>
          <w:bCs/>
        </w:rPr>
        <w:t xml:space="preserve"> expanded</w:t>
      </w:r>
      <w:r w:rsidR="5BAEA4D6" w:rsidRPr="370ED0F8">
        <w:rPr>
          <w:rFonts w:asciiTheme="minorHAnsi" w:eastAsiaTheme="minorEastAsia" w:hAnsiTheme="minorHAnsi"/>
          <w:b/>
          <w:bCs/>
        </w:rPr>
        <w:t xml:space="preserve"> to address not only educational access, but also to encompass the provision of equitable and accessible educational experiences and outcomes. </w:t>
      </w:r>
    </w:p>
    <w:p w14:paraId="44BE9AA5" w14:textId="7561CE86" w:rsidR="003B7B93" w:rsidRDefault="3079069D" w:rsidP="370ED0F8">
      <w:pPr>
        <w:spacing w:line="276" w:lineRule="auto"/>
        <w:rPr>
          <w:rFonts w:asciiTheme="minorHAnsi" w:eastAsiaTheme="minorEastAsia" w:hAnsiTheme="minorHAnsi"/>
        </w:rPr>
      </w:pPr>
      <w:r w:rsidRPr="370ED0F8">
        <w:rPr>
          <w:rFonts w:asciiTheme="minorHAnsi" w:eastAsiaTheme="minorEastAsia" w:hAnsiTheme="minorHAnsi"/>
        </w:rPr>
        <w:t xml:space="preserve">Presently, the ADS suggests a focus on headcount (e.g. number of students with disability attending </w:t>
      </w:r>
      <w:r w:rsidR="353D7E80" w:rsidRPr="370ED0F8">
        <w:rPr>
          <w:rFonts w:asciiTheme="minorHAnsi" w:eastAsiaTheme="minorEastAsia" w:hAnsiTheme="minorHAnsi"/>
        </w:rPr>
        <w:t xml:space="preserve">tertiary settings) and capacity building for individual students as mechanisms by which to address educational inequities. For example, </w:t>
      </w:r>
      <w:r w:rsidR="133687E1" w:rsidRPr="370ED0F8">
        <w:rPr>
          <w:rFonts w:asciiTheme="minorHAnsi" w:eastAsiaTheme="minorEastAsia" w:hAnsiTheme="minorHAnsi"/>
        </w:rPr>
        <w:t xml:space="preserve">PP3 </w:t>
      </w:r>
      <w:r w:rsidR="29A60368" w:rsidRPr="370ED0F8">
        <w:rPr>
          <w:rFonts w:asciiTheme="minorHAnsi" w:eastAsiaTheme="minorEastAsia" w:hAnsiTheme="minorHAnsi"/>
        </w:rPr>
        <w:t xml:space="preserve">is focused on </w:t>
      </w:r>
      <w:r w:rsidR="235B4CA1" w:rsidRPr="370ED0F8">
        <w:rPr>
          <w:rFonts w:asciiTheme="minorHAnsi" w:eastAsiaTheme="minorEastAsia" w:hAnsiTheme="minorHAnsi"/>
        </w:rPr>
        <w:t>“supporting students with disability in high school with career and transition planning</w:t>
      </w:r>
      <w:r w:rsidR="353D7E80" w:rsidRPr="370ED0F8">
        <w:rPr>
          <w:rFonts w:asciiTheme="minorHAnsi" w:eastAsiaTheme="minorEastAsia" w:hAnsiTheme="minorHAnsi"/>
        </w:rPr>
        <w:t>”</w:t>
      </w:r>
      <w:r w:rsidR="235B4CA1" w:rsidRPr="370ED0F8">
        <w:rPr>
          <w:rFonts w:asciiTheme="minorHAnsi" w:eastAsiaTheme="minorEastAsia" w:hAnsiTheme="minorHAnsi"/>
        </w:rPr>
        <w:t xml:space="preserve">. </w:t>
      </w:r>
      <w:r w:rsidR="22131B20" w:rsidRPr="370ED0F8">
        <w:rPr>
          <w:rFonts w:asciiTheme="minorHAnsi" w:eastAsiaTheme="minorEastAsia" w:hAnsiTheme="minorHAnsi"/>
        </w:rPr>
        <w:t xml:space="preserve">This takes an individualistic view of student </w:t>
      </w:r>
      <w:r w:rsidR="353D7E80" w:rsidRPr="370ED0F8">
        <w:rPr>
          <w:rFonts w:asciiTheme="minorHAnsi" w:eastAsiaTheme="minorEastAsia" w:hAnsiTheme="minorHAnsi"/>
        </w:rPr>
        <w:t>success and</w:t>
      </w:r>
      <w:r w:rsidR="22131B20" w:rsidRPr="370ED0F8">
        <w:rPr>
          <w:rFonts w:asciiTheme="minorHAnsi" w:eastAsiaTheme="minorEastAsia" w:hAnsiTheme="minorHAnsi"/>
        </w:rPr>
        <w:t xml:space="preserve"> does not acknowledge the environmental and systemic factors which drive tertiary educational outcomes from students with disability. PP3 </w:t>
      </w:r>
      <w:r w:rsidR="353D7E80" w:rsidRPr="370ED0F8">
        <w:rPr>
          <w:rFonts w:asciiTheme="minorHAnsi" w:eastAsiaTheme="minorEastAsia" w:hAnsiTheme="minorHAnsi"/>
        </w:rPr>
        <w:t xml:space="preserve">and PP4 </w:t>
      </w:r>
      <w:r w:rsidR="22131B20" w:rsidRPr="370ED0F8">
        <w:rPr>
          <w:rFonts w:asciiTheme="minorHAnsi" w:eastAsiaTheme="minorEastAsia" w:hAnsiTheme="minorHAnsi"/>
        </w:rPr>
        <w:t xml:space="preserve">will only succeed if the existing priorities are accompanied by </w:t>
      </w:r>
      <w:r w:rsidR="235B4CA1" w:rsidRPr="370ED0F8">
        <w:rPr>
          <w:rFonts w:asciiTheme="minorHAnsi" w:eastAsiaTheme="minorEastAsia" w:hAnsiTheme="minorHAnsi"/>
        </w:rPr>
        <w:t xml:space="preserve">an equal focus on eliminating the significant systemic barriers to tertiary education </w:t>
      </w:r>
      <w:r w:rsidR="43A17687" w:rsidRPr="370ED0F8">
        <w:rPr>
          <w:rFonts w:asciiTheme="minorHAnsi" w:eastAsiaTheme="minorEastAsia" w:hAnsiTheme="minorHAnsi"/>
        </w:rPr>
        <w:t xml:space="preserve">access, equity, and success which face students with disability. </w:t>
      </w:r>
      <w:r w:rsidR="3E6785CC" w:rsidRPr="370ED0F8">
        <w:rPr>
          <w:rFonts w:asciiTheme="minorHAnsi" w:eastAsiaTheme="minorEastAsia" w:hAnsiTheme="minorHAnsi"/>
        </w:rPr>
        <w:t xml:space="preserve">The ADS must reflect the priority of addressing </w:t>
      </w:r>
      <w:r w:rsidR="0C71936A" w:rsidRPr="370ED0F8">
        <w:rPr>
          <w:rFonts w:asciiTheme="minorHAnsi" w:eastAsiaTheme="minorEastAsia" w:hAnsiTheme="minorHAnsi"/>
        </w:rPr>
        <w:t xml:space="preserve">environmental, attitudinal, and </w:t>
      </w:r>
      <w:r w:rsidR="3E6785CC" w:rsidRPr="370ED0F8">
        <w:rPr>
          <w:rFonts w:asciiTheme="minorHAnsi" w:eastAsiaTheme="minorEastAsia" w:hAnsiTheme="minorHAnsi"/>
        </w:rPr>
        <w:t>systemic barriers</w:t>
      </w:r>
      <w:r w:rsidR="0C71936A" w:rsidRPr="370ED0F8">
        <w:rPr>
          <w:rFonts w:asciiTheme="minorHAnsi" w:eastAsiaTheme="minorEastAsia" w:hAnsiTheme="minorHAnsi"/>
        </w:rPr>
        <w:t xml:space="preserve">, </w:t>
      </w:r>
      <w:r w:rsidR="20A3E0B3" w:rsidRPr="370ED0F8">
        <w:rPr>
          <w:rFonts w:asciiTheme="minorHAnsi" w:eastAsiaTheme="minorEastAsia" w:hAnsiTheme="minorHAnsi"/>
        </w:rPr>
        <w:t>with sufficient strategic guidance to support reforms which enable</w:t>
      </w:r>
      <w:r w:rsidR="46EB0DFD" w:rsidRPr="370ED0F8">
        <w:rPr>
          <w:rFonts w:asciiTheme="minorHAnsi" w:eastAsiaTheme="minorEastAsia" w:hAnsiTheme="minorHAnsi"/>
        </w:rPr>
        <w:t xml:space="preserve"> the following</w:t>
      </w:r>
      <w:r w:rsidR="0C71936A" w:rsidRPr="370ED0F8">
        <w:rPr>
          <w:rFonts w:asciiTheme="minorHAnsi" w:eastAsiaTheme="minorEastAsia" w:hAnsiTheme="minorHAnsi"/>
        </w:rPr>
        <w:t>:</w:t>
      </w:r>
    </w:p>
    <w:p w14:paraId="45CBCA8A" w14:textId="3774DD2C" w:rsidR="00433122" w:rsidRDefault="1914E831" w:rsidP="370ED0F8">
      <w:pPr>
        <w:pStyle w:val="ListParagraph"/>
        <w:numPr>
          <w:ilvl w:val="0"/>
          <w:numId w:val="10"/>
        </w:numPr>
        <w:ind w:left="782" w:hanging="357"/>
        <w:rPr>
          <w:rFonts w:asciiTheme="minorHAnsi" w:eastAsiaTheme="minorEastAsia" w:hAnsiTheme="minorHAnsi"/>
        </w:rPr>
      </w:pPr>
      <w:r w:rsidRPr="370ED0F8">
        <w:rPr>
          <w:rFonts w:asciiTheme="minorHAnsi" w:eastAsiaTheme="minorEastAsia" w:hAnsiTheme="minorHAnsi"/>
          <w:b/>
          <w:bCs/>
        </w:rPr>
        <w:t>I</w:t>
      </w:r>
      <w:r w:rsidR="2F143872" w:rsidRPr="370ED0F8">
        <w:rPr>
          <w:rFonts w:asciiTheme="minorHAnsi" w:eastAsiaTheme="minorEastAsia" w:hAnsiTheme="minorHAnsi"/>
          <w:b/>
          <w:bCs/>
        </w:rPr>
        <w:t>mproved student experience and satisfaction rates for students with disability</w:t>
      </w:r>
      <w:r w:rsidRPr="370ED0F8">
        <w:rPr>
          <w:rFonts w:asciiTheme="minorHAnsi" w:eastAsiaTheme="minorEastAsia" w:hAnsiTheme="minorHAnsi"/>
          <w:b/>
          <w:bCs/>
        </w:rPr>
        <w:t xml:space="preserve">: </w:t>
      </w:r>
      <w:r w:rsidR="04E78B19" w:rsidRPr="370ED0F8">
        <w:rPr>
          <w:rFonts w:asciiTheme="minorHAnsi" w:eastAsiaTheme="minorEastAsia" w:hAnsiTheme="minorHAnsi"/>
        </w:rPr>
        <w:t>T</w:t>
      </w:r>
      <w:r w:rsidRPr="370ED0F8">
        <w:rPr>
          <w:rFonts w:asciiTheme="minorHAnsi" w:eastAsiaTheme="minorEastAsia" w:hAnsiTheme="minorHAnsi"/>
        </w:rPr>
        <w:t xml:space="preserve">he </w:t>
      </w:r>
      <w:r w:rsidR="7D9FD39D" w:rsidRPr="370ED0F8">
        <w:rPr>
          <w:rFonts w:asciiTheme="minorHAnsi" w:eastAsiaTheme="minorEastAsia" w:hAnsiTheme="minorHAnsi"/>
        </w:rPr>
        <w:t xml:space="preserve">positive and equitable </w:t>
      </w:r>
      <w:r w:rsidRPr="370ED0F8">
        <w:rPr>
          <w:rFonts w:asciiTheme="minorHAnsi" w:eastAsiaTheme="minorEastAsia" w:hAnsiTheme="minorHAnsi"/>
        </w:rPr>
        <w:t>experience</w:t>
      </w:r>
      <w:r w:rsidR="7D9FD39D" w:rsidRPr="370ED0F8">
        <w:rPr>
          <w:rFonts w:asciiTheme="minorHAnsi" w:eastAsiaTheme="minorEastAsia" w:hAnsiTheme="minorHAnsi"/>
        </w:rPr>
        <w:t>s</w:t>
      </w:r>
      <w:r w:rsidRPr="370ED0F8">
        <w:rPr>
          <w:rFonts w:asciiTheme="minorHAnsi" w:eastAsiaTheme="minorEastAsia" w:hAnsiTheme="minorHAnsi"/>
        </w:rPr>
        <w:t xml:space="preserve"> of students with disability </w:t>
      </w:r>
      <w:r w:rsidR="7D9FD39D" w:rsidRPr="370ED0F8">
        <w:rPr>
          <w:rFonts w:asciiTheme="minorHAnsi" w:eastAsiaTheme="minorEastAsia" w:hAnsiTheme="minorHAnsi"/>
        </w:rPr>
        <w:t>are</w:t>
      </w:r>
      <w:r w:rsidRPr="370ED0F8">
        <w:rPr>
          <w:rFonts w:asciiTheme="minorHAnsi" w:eastAsiaTheme="minorEastAsia" w:hAnsiTheme="minorHAnsi"/>
        </w:rPr>
        <w:t xml:space="preserve"> paramount to achieving true</w:t>
      </w:r>
      <w:r w:rsidR="7D9FD39D" w:rsidRPr="370ED0F8">
        <w:rPr>
          <w:rFonts w:asciiTheme="minorHAnsi" w:eastAsiaTheme="minorEastAsia" w:hAnsiTheme="minorHAnsi"/>
        </w:rPr>
        <w:t xml:space="preserve"> educational</w:t>
      </w:r>
      <w:r w:rsidRPr="370ED0F8">
        <w:rPr>
          <w:rFonts w:asciiTheme="minorHAnsi" w:eastAsiaTheme="minorEastAsia" w:hAnsiTheme="minorHAnsi"/>
        </w:rPr>
        <w:t xml:space="preserve"> equity</w:t>
      </w:r>
      <w:r w:rsidR="46EB0DFD" w:rsidRPr="370ED0F8">
        <w:rPr>
          <w:rFonts w:asciiTheme="minorHAnsi" w:eastAsiaTheme="minorEastAsia" w:hAnsiTheme="minorHAnsi"/>
        </w:rPr>
        <w:t xml:space="preserve">, alongside the pursuit of increased enrolments and completions. </w:t>
      </w:r>
    </w:p>
    <w:p w14:paraId="7C0072D5" w14:textId="5BA97B17" w:rsidR="00A538D1" w:rsidRDefault="46EB0DFD" w:rsidP="370ED0F8">
      <w:pPr>
        <w:pStyle w:val="ListParagraph"/>
        <w:numPr>
          <w:ilvl w:val="0"/>
          <w:numId w:val="10"/>
        </w:numPr>
        <w:ind w:left="782" w:hanging="357"/>
        <w:rPr>
          <w:rFonts w:asciiTheme="minorHAnsi" w:eastAsiaTheme="minorEastAsia" w:hAnsiTheme="minorHAnsi"/>
        </w:rPr>
      </w:pPr>
      <w:r w:rsidRPr="370ED0F8">
        <w:rPr>
          <w:rFonts w:asciiTheme="minorHAnsi" w:eastAsiaTheme="minorEastAsia" w:hAnsiTheme="minorHAnsi"/>
          <w:b/>
          <w:bCs/>
        </w:rPr>
        <w:lastRenderedPageBreak/>
        <w:t>S</w:t>
      </w:r>
      <w:r w:rsidR="439CBD52" w:rsidRPr="370ED0F8">
        <w:rPr>
          <w:rFonts w:asciiTheme="minorHAnsi" w:eastAsiaTheme="minorEastAsia" w:hAnsiTheme="minorHAnsi"/>
          <w:b/>
          <w:bCs/>
        </w:rPr>
        <w:t>upport for the aspirations of students with disability to attend and complete tertiary education</w:t>
      </w:r>
      <w:r w:rsidRPr="370ED0F8">
        <w:rPr>
          <w:rFonts w:asciiTheme="minorHAnsi" w:eastAsiaTheme="minorEastAsia" w:hAnsiTheme="minorHAnsi"/>
          <w:b/>
          <w:bCs/>
        </w:rPr>
        <w:t>:</w:t>
      </w:r>
      <w:r w:rsidRPr="370ED0F8">
        <w:rPr>
          <w:rFonts w:asciiTheme="minorHAnsi" w:eastAsiaTheme="minorEastAsia" w:hAnsiTheme="minorHAnsi"/>
        </w:rPr>
        <w:t xml:space="preserve"> </w:t>
      </w:r>
      <w:r w:rsidR="04E78B19" w:rsidRPr="370ED0F8">
        <w:rPr>
          <w:rFonts w:asciiTheme="minorHAnsi" w:eastAsiaTheme="minorEastAsia" w:hAnsiTheme="minorHAnsi"/>
        </w:rPr>
        <w:t>S</w:t>
      </w:r>
      <w:r w:rsidRPr="370ED0F8">
        <w:rPr>
          <w:rFonts w:asciiTheme="minorHAnsi" w:eastAsiaTheme="minorEastAsia" w:hAnsiTheme="minorHAnsi"/>
        </w:rPr>
        <w:t>ocietal attitudes and low expectations for students with disability are a significant barrier to the success</w:t>
      </w:r>
      <w:r w:rsidR="3F442150" w:rsidRPr="370ED0F8">
        <w:rPr>
          <w:rFonts w:asciiTheme="minorHAnsi" w:eastAsiaTheme="minorEastAsia" w:hAnsiTheme="minorHAnsi"/>
        </w:rPr>
        <w:t xml:space="preserve"> of</w:t>
      </w:r>
      <w:r w:rsidRPr="370ED0F8">
        <w:rPr>
          <w:rFonts w:asciiTheme="minorHAnsi" w:eastAsiaTheme="minorEastAsia" w:hAnsiTheme="minorHAnsi"/>
        </w:rPr>
        <w:t xml:space="preserve"> this cohort. </w:t>
      </w:r>
      <w:r w:rsidR="2DF44878" w:rsidRPr="370ED0F8">
        <w:rPr>
          <w:rFonts w:asciiTheme="minorHAnsi" w:eastAsiaTheme="minorEastAsia" w:hAnsiTheme="minorHAnsi"/>
        </w:rPr>
        <w:t>The ADS currently reflects the low priority which has been placed to-date on tertiary sector inclusion for people with disability: early, primary, and secondary educational settings often dominate the conversation around educational equity, at the expense of emphasis</w:t>
      </w:r>
      <w:r w:rsidR="1E286A1C" w:rsidRPr="370ED0F8">
        <w:rPr>
          <w:rFonts w:asciiTheme="minorHAnsi" w:eastAsiaTheme="minorEastAsia" w:hAnsiTheme="minorHAnsi"/>
        </w:rPr>
        <w:t xml:space="preserve"> on tertiary settings</w:t>
      </w:r>
      <w:r w:rsidR="2DF44878" w:rsidRPr="370ED0F8">
        <w:rPr>
          <w:rFonts w:asciiTheme="minorHAnsi" w:eastAsiaTheme="minorEastAsia" w:hAnsiTheme="minorHAnsi"/>
        </w:rPr>
        <w:t xml:space="preserve">. </w:t>
      </w:r>
      <w:r w:rsidRPr="370ED0F8">
        <w:rPr>
          <w:rFonts w:asciiTheme="minorHAnsi" w:eastAsiaTheme="minorEastAsia" w:hAnsiTheme="minorHAnsi"/>
        </w:rPr>
        <w:t xml:space="preserve">Significant attitudinal change, both within the tertiary sector and beyond, is required to make the vision of educational equity a reality. </w:t>
      </w:r>
    </w:p>
    <w:p w14:paraId="31442A47" w14:textId="1B16DFE6" w:rsidR="003B7B93" w:rsidRDefault="46EB0DFD" w:rsidP="370ED0F8">
      <w:pPr>
        <w:pStyle w:val="ListParagraph"/>
        <w:numPr>
          <w:ilvl w:val="0"/>
          <w:numId w:val="10"/>
        </w:numPr>
        <w:ind w:left="782" w:hanging="357"/>
        <w:rPr>
          <w:rFonts w:asciiTheme="minorHAnsi" w:eastAsiaTheme="minorEastAsia" w:hAnsiTheme="minorHAnsi"/>
        </w:rPr>
      </w:pPr>
      <w:r w:rsidRPr="370ED0F8">
        <w:rPr>
          <w:rFonts w:asciiTheme="minorHAnsi" w:eastAsiaTheme="minorEastAsia" w:hAnsiTheme="minorHAnsi"/>
          <w:b/>
          <w:bCs/>
        </w:rPr>
        <w:t>E</w:t>
      </w:r>
      <w:r w:rsidR="3E6785CC" w:rsidRPr="370ED0F8">
        <w:rPr>
          <w:rFonts w:asciiTheme="minorHAnsi" w:eastAsiaTheme="minorEastAsia" w:hAnsiTheme="minorHAnsi"/>
          <w:b/>
          <w:bCs/>
        </w:rPr>
        <w:t>nhanc</w:t>
      </w:r>
      <w:r w:rsidR="0C71936A" w:rsidRPr="370ED0F8">
        <w:rPr>
          <w:rFonts w:asciiTheme="minorHAnsi" w:eastAsiaTheme="minorEastAsia" w:hAnsiTheme="minorHAnsi"/>
          <w:b/>
          <w:bCs/>
        </w:rPr>
        <w:t>ed</w:t>
      </w:r>
      <w:r w:rsidR="3E6785CC" w:rsidRPr="370ED0F8">
        <w:rPr>
          <w:rFonts w:asciiTheme="minorHAnsi" w:eastAsiaTheme="minorEastAsia" w:hAnsiTheme="minorHAnsi"/>
          <w:b/>
          <w:bCs/>
        </w:rPr>
        <w:t xml:space="preserve"> funding models to support </w:t>
      </w:r>
      <w:r w:rsidR="20A3E0B3" w:rsidRPr="370ED0F8">
        <w:rPr>
          <w:rFonts w:asciiTheme="minorHAnsi" w:eastAsiaTheme="minorEastAsia" w:hAnsiTheme="minorHAnsi"/>
          <w:b/>
          <w:bCs/>
        </w:rPr>
        <w:t>equity and accessibility for students with disability</w:t>
      </w:r>
      <w:r w:rsidRPr="370ED0F8">
        <w:rPr>
          <w:rFonts w:asciiTheme="minorHAnsi" w:eastAsiaTheme="minorEastAsia" w:hAnsiTheme="minorHAnsi"/>
          <w:b/>
          <w:bCs/>
        </w:rPr>
        <w:t>:</w:t>
      </w:r>
      <w:r w:rsidRPr="370ED0F8">
        <w:rPr>
          <w:rFonts w:asciiTheme="minorHAnsi" w:eastAsiaTheme="minorEastAsia" w:hAnsiTheme="minorHAnsi"/>
        </w:rPr>
        <w:t xml:space="preserve"> </w:t>
      </w:r>
      <w:r w:rsidR="04E78B19" w:rsidRPr="370ED0F8">
        <w:rPr>
          <w:rFonts w:asciiTheme="minorHAnsi" w:eastAsiaTheme="minorEastAsia" w:hAnsiTheme="minorHAnsi"/>
        </w:rPr>
        <w:t>T</w:t>
      </w:r>
      <w:r w:rsidRPr="370ED0F8">
        <w:rPr>
          <w:rFonts w:asciiTheme="minorHAnsi" w:eastAsiaTheme="minorEastAsia" w:hAnsiTheme="minorHAnsi"/>
        </w:rPr>
        <w:t>ertiary institutions mu</w:t>
      </w:r>
      <w:r w:rsidR="0CD9DCC5" w:rsidRPr="370ED0F8">
        <w:rPr>
          <w:rFonts w:asciiTheme="minorHAnsi" w:eastAsiaTheme="minorEastAsia" w:hAnsiTheme="minorHAnsi"/>
        </w:rPr>
        <w:t>st</w:t>
      </w:r>
      <w:r w:rsidRPr="370ED0F8">
        <w:rPr>
          <w:rFonts w:asciiTheme="minorHAnsi" w:eastAsiaTheme="minorEastAsia" w:hAnsiTheme="minorHAnsi"/>
        </w:rPr>
        <w:t xml:space="preserve"> be effectively resourced and held accountable for supporting students with disability. </w:t>
      </w:r>
    </w:p>
    <w:p w14:paraId="1F20196C" w14:textId="69558669" w:rsidR="00A04F2B" w:rsidRPr="00C1753A" w:rsidRDefault="46EB0DFD" w:rsidP="370ED0F8">
      <w:pPr>
        <w:pStyle w:val="ListParagraph"/>
        <w:numPr>
          <w:ilvl w:val="0"/>
          <w:numId w:val="10"/>
        </w:numPr>
        <w:ind w:left="782" w:hanging="357"/>
        <w:rPr>
          <w:rFonts w:asciiTheme="minorHAnsi" w:eastAsiaTheme="minorEastAsia" w:hAnsiTheme="minorHAnsi"/>
        </w:rPr>
      </w:pPr>
      <w:r w:rsidRPr="370ED0F8">
        <w:rPr>
          <w:rFonts w:asciiTheme="minorHAnsi" w:eastAsiaTheme="minorEastAsia" w:hAnsiTheme="minorHAnsi"/>
          <w:b/>
          <w:bCs/>
        </w:rPr>
        <w:t>I</w:t>
      </w:r>
      <w:r w:rsidR="20A3E0B3" w:rsidRPr="370ED0F8">
        <w:rPr>
          <w:rFonts w:asciiTheme="minorHAnsi" w:eastAsiaTheme="minorEastAsia" w:hAnsiTheme="minorHAnsi"/>
          <w:b/>
          <w:bCs/>
        </w:rPr>
        <w:t>mplementation of</w:t>
      </w:r>
      <w:r w:rsidR="3E6785CC" w:rsidRPr="370ED0F8">
        <w:rPr>
          <w:rFonts w:asciiTheme="minorHAnsi" w:eastAsiaTheme="minorEastAsia" w:hAnsiTheme="minorHAnsi"/>
          <w:b/>
          <w:bCs/>
        </w:rPr>
        <w:t xml:space="preserve"> fully accessible physical and digital infrastructures</w:t>
      </w:r>
      <w:r w:rsidRPr="370ED0F8">
        <w:rPr>
          <w:rFonts w:asciiTheme="minorHAnsi" w:eastAsiaTheme="minorEastAsia" w:hAnsiTheme="minorHAnsi"/>
          <w:b/>
          <w:bCs/>
        </w:rPr>
        <w:t>:</w:t>
      </w:r>
      <w:r w:rsidRPr="370ED0F8">
        <w:rPr>
          <w:rFonts w:asciiTheme="minorHAnsi" w:eastAsiaTheme="minorEastAsia" w:hAnsiTheme="minorHAnsi"/>
        </w:rPr>
        <w:t xml:space="preserve"> </w:t>
      </w:r>
      <w:r w:rsidR="04E78B19" w:rsidRPr="370ED0F8">
        <w:rPr>
          <w:rFonts w:asciiTheme="minorHAnsi" w:eastAsiaTheme="minorEastAsia" w:hAnsiTheme="minorHAnsi"/>
        </w:rPr>
        <w:t>Existing legislation has so far been insufficient to ensure that all students with disability can acquire fully accessible physical and digital infrastructures and services</w:t>
      </w:r>
      <w:r w:rsidR="3E6785CC" w:rsidRPr="370ED0F8">
        <w:rPr>
          <w:rFonts w:asciiTheme="minorHAnsi" w:eastAsiaTheme="minorEastAsia" w:hAnsiTheme="minorHAnsi"/>
        </w:rPr>
        <w:t xml:space="preserve"> </w:t>
      </w:r>
      <w:r w:rsidR="20A3E0B3" w:rsidRPr="370ED0F8">
        <w:rPr>
          <w:rFonts w:asciiTheme="minorHAnsi" w:eastAsiaTheme="minorEastAsia" w:hAnsiTheme="minorHAnsi"/>
        </w:rPr>
        <w:t>(</w:t>
      </w:r>
      <w:r w:rsidR="3E6785CC" w:rsidRPr="370ED0F8">
        <w:rPr>
          <w:rFonts w:asciiTheme="minorHAnsi" w:eastAsiaTheme="minorEastAsia" w:hAnsiTheme="minorHAnsi"/>
        </w:rPr>
        <w:t>such as disability advisors, adaptive technologies, and mental health support</w:t>
      </w:r>
      <w:r w:rsidR="20A3E0B3" w:rsidRPr="370ED0F8">
        <w:rPr>
          <w:rFonts w:asciiTheme="minorHAnsi" w:eastAsiaTheme="minorEastAsia" w:hAnsiTheme="minorHAnsi"/>
        </w:rPr>
        <w:t>)</w:t>
      </w:r>
      <w:r w:rsidR="04E78B19" w:rsidRPr="370ED0F8">
        <w:rPr>
          <w:rFonts w:asciiTheme="minorHAnsi" w:eastAsiaTheme="minorEastAsia" w:hAnsiTheme="minorHAnsi"/>
        </w:rPr>
        <w:t xml:space="preserve"> regardless of the institution they attend. </w:t>
      </w:r>
    </w:p>
    <w:p w14:paraId="330408A5" w14:textId="77777777" w:rsidR="00656CD4" w:rsidRPr="00C1753A" w:rsidRDefault="00656CD4" w:rsidP="007F532F">
      <w:pPr>
        <w:pStyle w:val="Heading1"/>
      </w:pPr>
      <w:r w:rsidRPr="00C1753A">
        <w:t>Realising Article 24 of the UNCRPD</w:t>
      </w:r>
    </w:p>
    <w:p w14:paraId="3CCC6407" w14:textId="73780191" w:rsidR="00656CD4" w:rsidRPr="00C1753A" w:rsidRDefault="6209ED6F" w:rsidP="370ED0F8">
      <w:pPr>
        <w:rPr>
          <w:rFonts w:asciiTheme="minorHAnsi" w:eastAsiaTheme="minorEastAsia" w:hAnsiTheme="minorHAnsi"/>
        </w:rPr>
      </w:pPr>
      <w:r w:rsidRPr="370ED0F8">
        <w:rPr>
          <w:rFonts w:asciiTheme="minorHAnsi" w:eastAsiaTheme="minorEastAsia" w:hAnsiTheme="minorHAnsi"/>
        </w:rPr>
        <w:t>Article 24 of the UNCRPD emphasises the right to inclusive education at all levels.</w:t>
      </w:r>
      <w:r w:rsidR="68745A6E" w:rsidRPr="370ED0F8">
        <w:rPr>
          <w:rFonts w:asciiTheme="minorHAnsi" w:eastAsiaTheme="minorEastAsia" w:hAnsiTheme="minorHAnsi"/>
        </w:rPr>
        <w:t xml:space="preserve"> It is well-understood that there remains a significant gap in educational equity for students with disability</w:t>
      </w:r>
      <w:r w:rsidR="5ED4B409" w:rsidRPr="370ED0F8">
        <w:rPr>
          <w:rFonts w:asciiTheme="minorHAnsi" w:eastAsiaTheme="minorEastAsia" w:hAnsiTheme="minorHAnsi"/>
        </w:rPr>
        <w:t xml:space="preserve">, and that work so far towards closing this gap has been minimally successful. Through </w:t>
      </w:r>
      <w:r w:rsidR="205B0B9E" w:rsidRPr="370ED0F8">
        <w:rPr>
          <w:rFonts w:asciiTheme="minorHAnsi" w:eastAsiaTheme="minorEastAsia" w:hAnsiTheme="minorHAnsi"/>
        </w:rPr>
        <w:t xml:space="preserve">ADCET’s networks, past projects, and subject-matter expertise, we </w:t>
      </w:r>
      <w:r w:rsidR="0ED05C22" w:rsidRPr="370ED0F8">
        <w:rPr>
          <w:rFonts w:asciiTheme="minorHAnsi" w:eastAsiaTheme="minorEastAsia" w:hAnsiTheme="minorHAnsi"/>
        </w:rPr>
        <w:t>have developed a deep understanding of what is needed to ensure full educational equity. We suggest that t</w:t>
      </w:r>
      <w:r w:rsidR="205B0B9E" w:rsidRPr="370ED0F8">
        <w:rPr>
          <w:rFonts w:asciiTheme="minorHAnsi" w:eastAsiaTheme="minorEastAsia" w:hAnsiTheme="minorHAnsi"/>
        </w:rPr>
        <w:t>he following measures must be i</w:t>
      </w:r>
      <w:r w:rsidR="0ED05C22" w:rsidRPr="370ED0F8">
        <w:rPr>
          <w:rFonts w:asciiTheme="minorHAnsi" w:eastAsiaTheme="minorEastAsia" w:hAnsiTheme="minorHAnsi"/>
        </w:rPr>
        <w:t xml:space="preserve">ncorporated within the strategic focus of PP3 and PP4 </w:t>
      </w:r>
      <w:r w:rsidR="57F729EE" w:rsidRPr="370ED0F8">
        <w:rPr>
          <w:rFonts w:asciiTheme="minorHAnsi" w:eastAsiaTheme="minorEastAsia" w:hAnsiTheme="minorHAnsi"/>
        </w:rPr>
        <w:t>for</w:t>
      </w:r>
      <w:r w:rsidR="0ED05C22" w:rsidRPr="370ED0F8">
        <w:rPr>
          <w:rFonts w:asciiTheme="minorHAnsi" w:eastAsiaTheme="minorEastAsia" w:hAnsiTheme="minorHAnsi"/>
        </w:rPr>
        <w:t xml:space="preserve"> Article 24 to be fully realised:</w:t>
      </w:r>
      <w:r w:rsidRPr="370ED0F8">
        <w:rPr>
          <w:rFonts w:asciiTheme="minorHAnsi" w:eastAsiaTheme="minorEastAsia" w:hAnsiTheme="minorHAnsi"/>
        </w:rPr>
        <w:t xml:space="preserve"> </w:t>
      </w:r>
    </w:p>
    <w:p w14:paraId="08264254" w14:textId="24B600EF" w:rsidR="00656CD4" w:rsidRPr="00C1753A" w:rsidRDefault="6209ED6F" w:rsidP="370ED0F8">
      <w:pPr>
        <w:pStyle w:val="ListParagraph"/>
        <w:numPr>
          <w:ilvl w:val="0"/>
          <w:numId w:val="9"/>
        </w:numPr>
        <w:ind w:left="714" w:hanging="357"/>
        <w:rPr>
          <w:rFonts w:asciiTheme="minorHAnsi" w:eastAsiaTheme="minorEastAsia" w:hAnsiTheme="minorHAnsi"/>
        </w:rPr>
      </w:pPr>
      <w:r w:rsidRPr="370ED0F8">
        <w:rPr>
          <w:rFonts w:asciiTheme="minorHAnsi" w:eastAsiaTheme="minorEastAsia" w:hAnsiTheme="minorHAnsi"/>
          <w:b/>
          <w:bCs/>
        </w:rPr>
        <w:t xml:space="preserve">Promotion of universal design for learning (UDL): </w:t>
      </w:r>
      <w:r w:rsidRPr="370ED0F8">
        <w:rPr>
          <w:rFonts w:asciiTheme="minorHAnsi" w:eastAsiaTheme="minorEastAsia" w:hAnsiTheme="minorHAnsi"/>
        </w:rPr>
        <w:t xml:space="preserve">The ADS should </w:t>
      </w:r>
      <w:r w:rsidR="0ED05C22" w:rsidRPr="370ED0F8">
        <w:rPr>
          <w:rFonts w:asciiTheme="minorHAnsi" w:eastAsiaTheme="minorEastAsia" w:hAnsiTheme="minorHAnsi"/>
        </w:rPr>
        <w:t xml:space="preserve">strategically </w:t>
      </w:r>
      <w:r w:rsidR="48BE4CC3" w:rsidRPr="370ED0F8">
        <w:rPr>
          <w:rFonts w:asciiTheme="minorHAnsi" w:eastAsiaTheme="minorEastAsia" w:hAnsiTheme="minorHAnsi"/>
        </w:rPr>
        <w:t>position</w:t>
      </w:r>
      <w:r w:rsidRPr="370ED0F8">
        <w:rPr>
          <w:rFonts w:asciiTheme="minorHAnsi" w:eastAsiaTheme="minorEastAsia" w:hAnsiTheme="minorHAnsi"/>
        </w:rPr>
        <w:t xml:space="preserve"> the widespread adoption of UDL principles in higher education and VET</w:t>
      </w:r>
      <w:r w:rsidR="48BE4CC3" w:rsidRPr="370ED0F8">
        <w:rPr>
          <w:rFonts w:asciiTheme="minorHAnsi" w:eastAsiaTheme="minorEastAsia" w:hAnsiTheme="minorHAnsi"/>
        </w:rPr>
        <w:t xml:space="preserve"> as a priority. This</w:t>
      </w:r>
      <w:r w:rsidRPr="370ED0F8">
        <w:rPr>
          <w:rFonts w:asciiTheme="minorHAnsi" w:eastAsiaTheme="minorEastAsia" w:hAnsiTheme="minorHAnsi"/>
        </w:rPr>
        <w:t xml:space="preserve"> ensur</w:t>
      </w:r>
      <w:r w:rsidR="48BE4CC3" w:rsidRPr="370ED0F8">
        <w:rPr>
          <w:rFonts w:asciiTheme="minorHAnsi" w:eastAsiaTheme="minorEastAsia" w:hAnsiTheme="minorHAnsi"/>
        </w:rPr>
        <w:t>es</w:t>
      </w:r>
      <w:r w:rsidRPr="370ED0F8">
        <w:rPr>
          <w:rFonts w:asciiTheme="minorHAnsi" w:eastAsiaTheme="minorEastAsia" w:hAnsiTheme="minorHAnsi"/>
        </w:rPr>
        <w:t xml:space="preserve"> that curricula, teaching methods, and assessments are designed to accommodate the diverse needs of all learners from the outset.</w:t>
      </w:r>
    </w:p>
    <w:p w14:paraId="3ECB4591" w14:textId="3D71B1C6" w:rsidR="00656CD4" w:rsidRPr="00C1753A" w:rsidRDefault="6209ED6F" w:rsidP="370ED0F8">
      <w:pPr>
        <w:pStyle w:val="ListParagraph"/>
        <w:numPr>
          <w:ilvl w:val="0"/>
          <w:numId w:val="9"/>
        </w:numPr>
        <w:ind w:left="714" w:hanging="357"/>
        <w:rPr>
          <w:rFonts w:asciiTheme="minorHAnsi" w:eastAsiaTheme="minorEastAsia" w:hAnsiTheme="minorHAnsi"/>
        </w:rPr>
      </w:pPr>
      <w:r w:rsidRPr="370ED0F8">
        <w:rPr>
          <w:rFonts w:asciiTheme="minorHAnsi" w:eastAsiaTheme="minorEastAsia" w:hAnsiTheme="minorHAnsi"/>
          <w:b/>
          <w:bCs/>
        </w:rPr>
        <w:t xml:space="preserve">Enhanced professional development: </w:t>
      </w:r>
      <w:r w:rsidRPr="370ED0F8">
        <w:rPr>
          <w:rFonts w:asciiTheme="minorHAnsi" w:eastAsiaTheme="minorEastAsia" w:hAnsiTheme="minorHAnsi"/>
        </w:rPr>
        <w:t>The ADS should</w:t>
      </w:r>
      <w:r w:rsidR="48BE4CC3" w:rsidRPr="370ED0F8">
        <w:rPr>
          <w:rFonts w:asciiTheme="minorHAnsi" w:eastAsiaTheme="minorEastAsia" w:hAnsiTheme="minorHAnsi"/>
        </w:rPr>
        <w:t xml:space="preserve"> strategically incentivise</w:t>
      </w:r>
      <w:r w:rsidRPr="370ED0F8">
        <w:rPr>
          <w:rFonts w:asciiTheme="minorHAnsi" w:eastAsiaTheme="minorEastAsia" w:hAnsiTheme="minorHAnsi"/>
        </w:rPr>
        <w:t xml:space="preserve"> ongoing professional development of educators and administrators in inclusive practices, ensuring that staff across all levels are equipped to support students with </w:t>
      </w:r>
      <w:r w:rsidR="7617E667" w:rsidRPr="370ED0F8">
        <w:rPr>
          <w:rFonts w:asciiTheme="minorHAnsi" w:eastAsiaTheme="minorEastAsia" w:hAnsiTheme="minorHAnsi"/>
        </w:rPr>
        <w:t>disability</w:t>
      </w:r>
      <w:r w:rsidRPr="370ED0F8">
        <w:rPr>
          <w:rFonts w:asciiTheme="minorHAnsi" w:eastAsiaTheme="minorEastAsia" w:hAnsiTheme="minorHAnsi"/>
        </w:rPr>
        <w:t xml:space="preserve"> effectively.</w:t>
      </w:r>
    </w:p>
    <w:p w14:paraId="1738963B" w14:textId="413946EF" w:rsidR="00656CD4" w:rsidRPr="00C1753A" w:rsidRDefault="6209ED6F" w:rsidP="370ED0F8">
      <w:pPr>
        <w:pStyle w:val="ListParagraph"/>
        <w:numPr>
          <w:ilvl w:val="0"/>
          <w:numId w:val="9"/>
        </w:numPr>
        <w:ind w:left="714" w:hanging="357"/>
        <w:rPr>
          <w:rFonts w:asciiTheme="minorHAnsi" w:eastAsiaTheme="minorEastAsia" w:hAnsiTheme="minorHAnsi"/>
        </w:rPr>
      </w:pPr>
      <w:r w:rsidRPr="370ED0F8">
        <w:rPr>
          <w:rFonts w:asciiTheme="minorHAnsi" w:eastAsiaTheme="minorEastAsia" w:hAnsiTheme="minorHAnsi"/>
          <w:b/>
          <w:bCs/>
        </w:rPr>
        <w:t>Collaboration with disability organisations:</w:t>
      </w:r>
      <w:r w:rsidRPr="370ED0F8">
        <w:rPr>
          <w:rFonts w:asciiTheme="minorHAnsi" w:eastAsiaTheme="minorEastAsia" w:hAnsiTheme="minorHAnsi"/>
        </w:rPr>
        <w:t xml:space="preserve"> The ADS should encourage partnerships between educational institutions and disability organisations to co-design and implement programmes that support students with </w:t>
      </w:r>
      <w:r w:rsidR="7617E667" w:rsidRPr="370ED0F8">
        <w:rPr>
          <w:rFonts w:asciiTheme="minorHAnsi" w:eastAsiaTheme="minorEastAsia" w:hAnsiTheme="minorHAnsi"/>
        </w:rPr>
        <w:t>disability</w:t>
      </w:r>
      <w:r w:rsidRPr="370ED0F8">
        <w:rPr>
          <w:rFonts w:asciiTheme="minorHAnsi" w:eastAsiaTheme="minorEastAsia" w:hAnsiTheme="minorHAnsi"/>
        </w:rPr>
        <w:t>, ensuring that their voices are central to decision-making processes.</w:t>
      </w:r>
    </w:p>
    <w:p w14:paraId="6A82CC0F" w14:textId="1747EA53" w:rsidR="00656CD4" w:rsidRDefault="00E41EEC" w:rsidP="007F532F">
      <w:pPr>
        <w:pStyle w:val="Heading1"/>
      </w:pPr>
      <w:r>
        <w:t>Enhancements</w:t>
      </w:r>
      <w:r w:rsidR="00D02857">
        <w:t xml:space="preserve"> to the Outcomes Framework</w:t>
      </w:r>
    </w:p>
    <w:p w14:paraId="74107387" w14:textId="16A1B025" w:rsidR="00656CD4" w:rsidRPr="00C1753A" w:rsidRDefault="6209ED6F" w:rsidP="370ED0F8">
      <w:pPr>
        <w:rPr>
          <w:rFonts w:asciiTheme="minorHAnsi" w:eastAsiaTheme="minorEastAsia" w:hAnsiTheme="minorHAnsi"/>
        </w:rPr>
      </w:pPr>
      <w:r w:rsidRPr="370ED0F8">
        <w:rPr>
          <w:rFonts w:asciiTheme="minorHAnsi" w:eastAsiaTheme="minorEastAsia" w:hAnsiTheme="minorHAnsi"/>
        </w:rPr>
        <w:t xml:space="preserve">To </w:t>
      </w:r>
      <w:r w:rsidR="36980244" w:rsidRPr="370ED0F8">
        <w:rPr>
          <w:rFonts w:asciiTheme="minorHAnsi" w:eastAsiaTheme="minorEastAsia" w:hAnsiTheme="minorHAnsi"/>
        </w:rPr>
        <w:t>realise authentic change in</w:t>
      </w:r>
      <w:r w:rsidRPr="370ED0F8">
        <w:rPr>
          <w:rFonts w:asciiTheme="minorHAnsi" w:eastAsiaTheme="minorEastAsia" w:hAnsiTheme="minorHAnsi"/>
        </w:rPr>
        <w:t xml:space="preserve"> the Education and Learning outcome area of the </w:t>
      </w:r>
      <w:r w:rsidR="15B8E0BB" w:rsidRPr="370ED0F8">
        <w:rPr>
          <w:rFonts w:asciiTheme="minorHAnsi" w:eastAsiaTheme="minorEastAsia" w:hAnsiTheme="minorHAnsi"/>
        </w:rPr>
        <w:t>ADS</w:t>
      </w:r>
      <w:r w:rsidRPr="370ED0F8">
        <w:rPr>
          <w:rFonts w:asciiTheme="minorHAnsi" w:eastAsiaTheme="minorEastAsia" w:hAnsiTheme="minorHAnsi"/>
        </w:rPr>
        <w:t>, it</w:t>
      </w:r>
      <w:r w:rsidR="01139BEB" w:rsidRPr="370ED0F8">
        <w:rPr>
          <w:rFonts w:asciiTheme="minorHAnsi" w:eastAsiaTheme="minorEastAsia" w:hAnsiTheme="minorHAnsi"/>
        </w:rPr>
        <w:t xml:space="preserve"> i</w:t>
      </w:r>
      <w:r w:rsidRPr="370ED0F8">
        <w:rPr>
          <w:rFonts w:asciiTheme="minorHAnsi" w:eastAsiaTheme="minorEastAsia" w:hAnsiTheme="minorHAnsi"/>
        </w:rPr>
        <w:t xml:space="preserve">s crucial to incorporate metrics </w:t>
      </w:r>
      <w:r w:rsidR="15B8E0BB" w:rsidRPr="370ED0F8">
        <w:rPr>
          <w:rFonts w:asciiTheme="minorHAnsi" w:eastAsiaTheme="minorEastAsia" w:hAnsiTheme="minorHAnsi"/>
        </w:rPr>
        <w:t xml:space="preserve">into the Outcomes Framework </w:t>
      </w:r>
      <w:r w:rsidRPr="370ED0F8">
        <w:rPr>
          <w:rFonts w:asciiTheme="minorHAnsi" w:eastAsiaTheme="minorEastAsia" w:hAnsiTheme="minorHAnsi"/>
        </w:rPr>
        <w:t xml:space="preserve">that go beyond attendance and completion rates. While these are important indicators of access, they do not fully capture the lived experiences of students with </w:t>
      </w:r>
      <w:r w:rsidR="7617E667" w:rsidRPr="370ED0F8">
        <w:rPr>
          <w:rFonts w:asciiTheme="minorHAnsi" w:eastAsiaTheme="minorEastAsia" w:hAnsiTheme="minorHAnsi"/>
        </w:rPr>
        <w:t>disability</w:t>
      </w:r>
      <w:r w:rsidRPr="370ED0F8">
        <w:rPr>
          <w:rFonts w:asciiTheme="minorHAnsi" w:eastAsiaTheme="minorEastAsia" w:hAnsiTheme="minorHAnsi"/>
        </w:rPr>
        <w:t xml:space="preserve"> in tertiary education.</w:t>
      </w:r>
      <w:r w:rsidR="63CE1A0F" w:rsidRPr="370ED0F8">
        <w:rPr>
          <w:rFonts w:asciiTheme="minorHAnsi" w:eastAsiaTheme="minorEastAsia" w:hAnsiTheme="minorHAnsi"/>
        </w:rPr>
        <w:t xml:space="preserve"> </w:t>
      </w:r>
    </w:p>
    <w:p w14:paraId="51D36DCD" w14:textId="1B3B7BB6" w:rsidR="00656CD4" w:rsidRPr="00C1753A" w:rsidRDefault="00656CD4" w:rsidP="370ED0F8">
      <w:pPr>
        <w:rPr>
          <w:rFonts w:asciiTheme="minorHAnsi" w:eastAsiaTheme="minorEastAsia" w:hAnsiTheme="minorHAnsi"/>
        </w:rPr>
      </w:pPr>
    </w:p>
    <w:p w14:paraId="36DB392F" w14:textId="70E3C3FD" w:rsidR="00656CD4" w:rsidRPr="00C1753A" w:rsidRDefault="01139BEB" w:rsidP="370ED0F8">
      <w:pPr>
        <w:rPr>
          <w:rFonts w:asciiTheme="minorHAnsi" w:eastAsiaTheme="minorEastAsia" w:hAnsiTheme="minorHAnsi"/>
        </w:rPr>
      </w:pPr>
      <w:r w:rsidRPr="370ED0F8">
        <w:rPr>
          <w:rFonts w:asciiTheme="minorHAnsi" w:eastAsiaTheme="minorEastAsia" w:hAnsiTheme="minorHAnsi"/>
        </w:rPr>
        <w:t>We propose the</w:t>
      </w:r>
      <w:r w:rsidR="63CE1A0F" w:rsidRPr="370ED0F8">
        <w:rPr>
          <w:rFonts w:asciiTheme="minorHAnsi" w:eastAsiaTheme="minorEastAsia" w:hAnsiTheme="minorHAnsi"/>
        </w:rPr>
        <w:t xml:space="preserve"> following </w:t>
      </w:r>
      <w:r w:rsidRPr="370ED0F8">
        <w:rPr>
          <w:rFonts w:asciiTheme="minorHAnsi" w:eastAsiaTheme="minorEastAsia" w:hAnsiTheme="minorHAnsi"/>
        </w:rPr>
        <w:t xml:space="preserve">measures </w:t>
      </w:r>
      <w:r w:rsidR="63CE1A0F" w:rsidRPr="370ED0F8">
        <w:rPr>
          <w:rFonts w:asciiTheme="minorHAnsi" w:eastAsiaTheme="minorEastAsia" w:hAnsiTheme="minorHAnsi"/>
        </w:rPr>
        <w:t>for inclusion in</w:t>
      </w:r>
      <w:r w:rsidR="57F729EE" w:rsidRPr="370ED0F8">
        <w:rPr>
          <w:rFonts w:asciiTheme="minorHAnsi" w:eastAsiaTheme="minorEastAsia" w:hAnsiTheme="minorHAnsi"/>
        </w:rPr>
        <w:t xml:space="preserve"> an updated version</w:t>
      </w:r>
      <w:r w:rsidR="63CE1A0F" w:rsidRPr="370ED0F8">
        <w:rPr>
          <w:rFonts w:asciiTheme="minorHAnsi" w:eastAsiaTheme="minorEastAsia" w:hAnsiTheme="minorHAnsi"/>
        </w:rPr>
        <w:t xml:space="preserve"> the Education and Learning area of the Outcomes Framework:</w:t>
      </w:r>
    </w:p>
    <w:p w14:paraId="132DA2D5" w14:textId="31034CAC" w:rsidR="00656CD4" w:rsidRPr="00C1753A" w:rsidRDefault="6209ED6F" w:rsidP="370ED0F8">
      <w:pPr>
        <w:pStyle w:val="ListParagraph"/>
        <w:numPr>
          <w:ilvl w:val="0"/>
          <w:numId w:val="11"/>
        </w:numPr>
        <w:ind w:left="714" w:hanging="357"/>
        <w:rPr>
          <w:rFonts w:asciiTheme="minorHAnsi" w:eastAsiaTheme="minorEastAsia" w:hAnsiTheme="minorHAnsi"/>
        </w:rPr>
      </w:pPr>
      <w:r w:rsidRPr="370ED0F8">
        <w:rPr>
          <w:rFonts w:asciiTheme="minorHAnsi" w:eastAsiaTheme="minorEastAsia" w:hAnsiTheme="minorHAnsi"/>
          <w:b/>
          <w:bCs/>
        </w:rPr>
        <w:t>Student satisfaction:</w:t>
      </w:r>
      <w:r w:rsidR="63CE1A0F" w:rsidRPr="370ED0F8">
        <w:rPr>
          <w:rFonts w:asciiTheme="minorHAnsi" w:eastAsiaTheme="minorEastAsia" w:hAnsiTheme="minorHAnsi"/>
        </w:rPr>
        <w:t xml:space="preserve"> Understanding student satisfaction can help identify specific areas where institutions succeed or fail in providing an inclusive learning environment. Student satisfaction is currently collected through the Quality Indicators of Learning and Teaching (QILT) surveys including the Student Experience Survey (SES) and Graduate Outcomes Survey (GOS). </w:t>
      </w:r>
      <w:r w:rsidR="5BA48BBB" w:rsidRPr="370ED0F8">
        <w:rPr>
          <w:rFonts w:asciiTheme="minorHAnsi" w:eastAsiaTheme="minorEastAsia" w:hAnsiTheme="minorHAnsi"/>
        </w:rPr>
        <w:t xml:space="preserve">These surveys also collect disability status, so this data can be easily disaggregated for ADS purposes. </w:t>
      </w:r>
    </w:p>
    <w:p w14:paraId="588039A5" w14:textId="670B1CC3" w:rsidR="00656CD4" w:rsidRPr="00C1753A" w:rsidRDefault="6209ED6F" w:rsidP="370ED0F8">
      <w:pPr>
        <w:pStyle w:val="ListParagraph"/>
        <w:numPr>
          <w:ilvl w:val="0"/>
          <w:numId w:val="11"/>
        </w:numPr>
        <w:ind w:left="714" w:hanging="357"/>
        <w:rPr>
          <w:rFonts w:asciiTheme="minorHAnsi" w:eastAsiaTheme="minorEastAsia" w:hAnsiTheme="minorHAnsi"/>
        </w:rPr>
      </w:pPr>
      <w:r w:rsidRPr="370ED0F8">
        <w:rPr>
          <w:rFonts w:asciiTheme="minorHAnsi" w:eastAsiaTheme="minorEastAsia" w:hAnsiTheme="minorHAnsi"/>
          <w:b/>
          <w:bCs/>
        </w:rPr>
        <w:t>Learning environment accessibility:</w:t>
      </w:r>
      <w:r w:rsidR="5BA48BBB" w:rsidRPr="370ED0F8">
        <w:rPr>
          <w:rFonts w:asciiTheme="minorHAnsi" w:eastAsiaTheme="minorEastAsia" w:hAnsiTheme="minorHAnsi"/>
        </w:rPr>
        <w:t xml:space="preserve"> Ensuring a barrier-free learning environment is essential for students with </w:t>
      </w:r>
      <w:r w:rsidR="7617E667" w:rsidRPr="370ED0F8">
        <w:rPr>
          <w:rFonts w:asciiTheme="minorHAnsi" w:eastAsiaTheme="minorEastAsia" w:hAnsiTheme="minorHAnsi"/>
        </w:rPr>
        <w:t>disability</w:t>
      </w:r>
      <w:r w:rsidR="5BA48BBB" w:rsidRPr="370ED0F8">
        <w:rPr>
          <w:rFonts w:asciiTheme="minorHAnsi" w:eastAsiaTheme="minorEastAsia" w:hAnsiTheme="minorHAnsi"/>
        </w:rPr>
        <w:t xml:space="preserve"> to fully participate and succeed in their studies. The Outcomes Framework should include a metric which reflects the extent to which educational institutions provide accessible learning environments. This includes physical accessibility, access to adaptive technologies, and the availability of accessible digital content.</w:t>
      </w:r>
    </w:p>
    <w:p w14:paraId="231ED288" w14:textId="1B8A7266" w:rsidR="00656CD4" w:rsidRPr="00C1753A" w:rsidRDefault="6209ED6F" w:rsidP="370ED0F8">
      <w:pPr>
        <w:pStyle w:val="ListParagraph"/>
        <w:numPr>
          <w:ilvl w:val="0"/>
          <w:numId w:val="11"/>
        </w:numPr>
        <w:ind w:left="714" w:hanging="357"/>
        <w:rPr>
          <w:rFonts w:asciiTheme="minorHAnsi" w:eastAsiaTheme="minorEastAsia" w:hAnsiTheme="minorHAnsi"/>
        </w:rPr>
      </w:pPr>
      <w:r w:rsidRPr="370ED0F8">
        <w:rPr>
          <w:rFonts w:asciiTheme="minorHAnsi" w:eastAsiaTheme="minorEastAsia" w:hAnsiTheme="minorHAnsi"/>
          <w:b/>
          <w:bCs/>
        </w:rPr>
        <w:t>Engagement and belonging:</w:t>
      </w:r>
      <w:r w:rsidR="5BA48BBB" w:rsidRPr="370ED0F8">
        <w:rPr>
          <w:rFonts w:asciiTheme="minorHAnsi" w:eastAsiaTheme="minorEastAsia" w:hAnsiTheme="minorHAnsi"/>
          <w:b/>
          <w:bCs/>
        </w:rPr>
        <w:t xml:space="preserve"> </w:t>
      </w:r>
      <w:r w:rsidR="5BA48BBB" w:rsidRPr="370ED0F8">
        <w:rPr>
          <w:rFonts w:asciiTheme="minorHAnsi" w:eastAsiaTheme="minorEastAsia" w:hAnsiTheme="minorHAnsi"/>
        </w:rPr>
        <w:t>A strong sense of belonging is closely linked to academic success and retention, making it a vital area of focus for enhancing educational outcomes. Engagement and belonging are currently collected through the Quality Indicators of Learning and Teaching (QILT) surveys including the Student Experience Survey (SES): this survey also collects disability status, so this data can be easily disaggregated for ADS purposes.</w:t>
      </w:r>
    </w:p>
    <w:p w14:paraId="3F03CB5C" w14:textId="623F1904" w:rsidR="00656CD4" w:rsidRPr="00C1753A" w:rsidRDefault="39C71B3F" w:rsidP="370ED0F8">
      <w:pPr>
        <w:pStyle w:val="ListParagraph"/>
        <w:numPr>
          <w:ilvl w:val="0"/>
          <w:numId w:val="11"/>
        </w:numPr>
        <w:ind w:left="714" w:hanging="357"/>
        <w:rPr>
          <w:rFonts w:asciiTheme="minorHAnsi" w:eastAsiaTheme="minorEastAsia" w:hAnsiTheme="minorHAnsi"/>
        </w:rPr>
      </w:pPr>
      <w:r w:rsidRPr="370ED0F8">
        <w:rPr>
          <w:rFonts w:asciiTheme="minorHAnsi" w:eastAsiaTheme="minorEastAsia" w:hAnsiTheme="minorHAnsi"/>
          <w:b/>
          <w:bCs/>
        </w:rPr>
        <w:t>G</w:t>
      </w:r>
      <w:r w:rsidR="6209ED6F" w:rsidRPr="370ED0F8">
        <w:rPr>
          <w:rFonts w:asciiTheme="minorHAnsi" w:eastAsiaTheme="minorEastAsia" w:hAnsiTheme="minorHAnsi"/>
          <w:b/>
          <w:bCs/>
        </w:rPr>
        <w:t>raduat</w:t>
      </w:r>
      <w:r w:rsidRPr="370ED0F8">
        <w:rPr>
          <w:rFonts w:asciiTheme="minorHAnsi" w:eastAsiaTheme="minorEastAsia" w:hAnsiTheme="minorHAnsi"/>
          <w:b/>
          <w:bCs/>
        </w:rPr>
        <w:t>e</w:t>
      </w:r>
      <w:r w:rsidR="6209ED6F" w:rsidRPr="370ED0F8">
        <w:rPr>
          <w:rFonts w:asciiTheme="minorHAnsi" w:eastAsiaTheme="minorEastAsia" w:hAnsiTheme="minorHAnsi"/>
          <w:b/>
          <w:bCs/>
        </w:rPr>
        <w:t xml:space="preserve"> outcomes:</w:t>
      </w:r>
      <w:r w:rsidR="5BA48BBB" w:rsidRPr="370ED0F8">
        <w:rPr>
          <w:rFonts w:asciiTheme="minorHAnsi" w:eastAsiaTheme="minorEastAsia" w:hAnsiTheme="minorHAnsi"/>
        </w:rPr>
        <w:t xml:space="preserve"> The </w:t>
      </w:r>
      <w:proofErr w:type="gramStart"/>
      <w:r w:rsidR="5BA48BBB" w:rsidRPr="370ED0F8">
        <w:rPr>
          <w:rFonts w:asciiTheme="minorHAnsi" w:eastAsiaTheme="minorEastAsia" w:hAnsiTheme="minorHAnsi"/>
        </w:rPr>
        <w:t>ultimate goal</w:t>
      </w:r>
      <w:proofErr w:type="gramEnd"/>
      <w:r w:rsidR="5BA48BBB" w:rsidRPr="370ED0F8">
        <w:rPr>
          <w:rFonts w:asciiTheme="minorHAnsi" w:eastAsiaTheme="minorEastAsia" w:hAnsiTheme="minorHAnsi"/>
        </w:rPr>
        <w:t xml:space="preserve"> of education is to prepare students for successful </w:t>
      </w:r>
      <w:r w:rsidRPr="370ED0F8">
        <w:rPr>
          <w:rFonts w:asciiTheme="minorHAnsi" w:eastAsiaTheme="minorEastAsia" w:hAnsiTheme="minorHAnsi"/>
        </w:rPr>
        <w:t xml:space="preserve">and meaningful </w:t>
      </w:r>
      <w:r w:rsidR="5BA48BBB" w:rsidRPr="370ED0F8">
        <w:rPr>
          <w:rFonts w:asciiTheme="minorHAnsi" w:eastAsiaTheme="minorEastAsia" w:hAnsiTheme="minorHAnsi"/>
        </w:rPr>
        <w:t>futures; therefore, tracking these outcomes ensures that education systems are truly equitable and supportive.</w:t>
      </w:r>
      <w:r w:rsidR="0CD41532" w:rsidRPr="370ED0F8">
        <w:rPr>
          <w:rFonts w:asciiTheme="minorHAnsi" w:eastAsiaTheme="minorEastAsia" w:hAnsiTheme="minorHAnsi"/>
        </w:rPr>
        <w:t xml:space="preserve"> This might include across further study, employment, life satisfaction, and quality of life. Many metrics measuring these items are currently collected through the Quality Indicators of Learning and Teaching (QILT) surveys including the Student Experience Survey (SES) and Graduate Outcomes Survey (GOS). These surveys also collect disability status, so this data can be easily disaggregated for ADS purposes.</w:t>
      </w:r>
      <w:r w:rsidR="50A2CF87" w:rsidRPr="370ED0F8">
        <w:rPr>
          <w:rFonts w:asciiTheme="minorHAnsi" w:eastAsiaTheme="minorEastAsia" w:hAnsiTheme="minorHAnsi"/>
        </w:rPr>
        <w:t xml:space="preserve"> Further, under the Employment and Financial Security outcome area, only VET graduate employment outcomes are tracked: university graduate employment outcome measures should be introduced in this section to reflect a holistic view of employment pathways and </w:t>
      </w:r>
      <w:r w:rsidR="5CA23547" w:rsidRPr="370ED0F8">
        <w:rPr>
          <w:rFonts w:asciiTheme="minorHAnsi" w:eastAsiaTheme="minorEastAsia" w:hAnsiTheme="minorHAnsi"/>
        </w:rPr>
        <w:t>higher expectations for students with disability entering employment through university study</w:t>
      </w:r>
      <w:r w:rsidR="50A2CF87" w:rsidRPr="370ED0F8">
        <w:rPr>
          <w:rFonts w:asciiTheme="minorHAnsi" w:eastAsiaTheme="minorEastAsia" w:hAnsiTheme="minorHAnsi"/>
        </w:rPr>
        <w:t>.</w:t>
      </w:r>
    </w:p>
    <w:p w14:paraId="76F78108" w14:textId="12923ECA" w:rsidR="007600B4" w:rsidRDefault="6209ED6F" w:rsidP="370ED0F8">
      <w:pPr>
        <w:rPr>
          <w:rFonts w:asciiTheme="minorHAnsi" w:eastAsiaTheme="minorEastAsia" w:hAnsiTheme="minorHAnsi"/>
        </w:rPr>
      </w:pPr>
      <w:r w:rsidRPr="370ED0F8">
        <w:rPr>
          <w:rFonts w:asciiTheme="minorHAnsi" w:eastAsiaTheme="minorEastAsia" w:hAnsiTheme="minorHAnsi"/>
        </w:rPr>
        <w:t xml:space="preserve">Incorporating these metrics will provide a more comprehensive understanding of how well </w:t>
      </w:r>
      <w:r w:rsidR="0CD41532" w:rsidRPr="370ED0F8">
        <w:rPr>
          <w:rFonts w:asciiTheme="minorHAnsi" w:eastAsiaTheme="minorEastAsia" w:hAnsiTheme="minorHAnsi"/>
        </w:rPr>
        <w:t xml:space="preserve">actions under the ADS are improving the experiences of students with disability on the ground, </w:t>
      </w:r>
      <w:r w:rsidRPr="370ED0F8">
        <w:rPr>
          <w:rFonts w:asciiTheme="minorHAnsi" w:eastAsiaTheme="minorEastAsia" w:hAnsiTheme="minorHAnsi"/>
        </w:rPr>
        <w:t>enabling</w:t>
      </w:r>
      <w:r w:rsidR="0CD41532" w:rsidRPr="370ED0F8">
        <w:rPr>
          <w:rFonts w:asciiTheme="minorHAnsi" w:eastAsiaTheme="minorEastAsia" w:hAnsiTheme="minorHAnsi"/>
        </w:rPr>
        <w:t xml:space="preserve"> the</w:t>
      </w:r>
      <w:r w:rsidR="36980244" w:rsidRPr="370ED0F8">
        <w:rPr>
          <w:rFonts w:asciiTheme="minorHAnsi" w:eastAsiaTheme="minorEastAsia" w:hAnsiTheme="minorHAnsi"/>
        </w:rPr>
        <w:t xml:space="preserve"> Australian </w:t>
      </w:r>
      <w:r w:rsidR="2B4D10AF" w:rsidRPr="370ED0F8">
        <w:rPr>
          <w:rFonts w:asciiTheme="minorHAnsi" w:eastAsiaTheme="minorEastAsia" w:hAnsiTheme="minorHAnsi"/>
        </w:rPr>
        <w:t>G</w:t>
      </w:r>
      <w:r w:rsidR="36980244" w:rsidRPr="370ED0F8">
        <w:rPr>
          <w:rFonts w:asciiTheme="minorHAnsi" w:eastAsiaTheme="minorEastAsia" w:hAnsiTheme="minorHAnsi"/>
        </w:rPr>
        <w:t xml:space="preserve">overnment to make policy decisions which target areas which are acting as barriers to the full realisation of Article 24 of the UNCRPD. </w:t>
      </w:r>
    </w:p>
    <w:p w14:paraId="1C7BD0C4" w14:textId="77777777" w:rsidR="00E41EEC" w:rsidRPr="00C1753A" w:rsidRDefault="00E41EEC" w:rsidP="007F532F">
      <w:pPr>
        <w:pStyle w:val="Heading1"/>
      </w:pPr>
      <w:r w:rsidRPr="00C1753A">
        <w:t>Conclusion</w:t>
      </w:r>
    </w:p>
    <w:p w14:paraId="5504B52F" w14:textId="738DD1D8" w:rsidR="00E41EEC" w:rsidRPr="0036117B" w:rsidRDefault="00E41EEC" w:rsidP="007F532F">
      <w:pPr>
        <w:rPr>
          <w:rFonts w:asciiTheme="minorHAnsi" w:hAnsiTheme="minorHAnsi"/>
        </w:rPr>
      </w:pPr>
      <w:r w:rsidRPr="0036117B">
        <w:rPr>
          <w:rFonts w:asciiTheme="minorHAnsi" w:hAnsiTheme="minorHAnsi"/>
        </w:rPr>
        <w:t xml:space="preserve">The </w:t>
      </w:r>
      <w:r w:rsidR="00010E7C" w:rsidRPr="0036117B">
        <w:rPr>
          <w:rFonts w:asciiTheme="minorHAnsi" w:hAnsiTheme="minorHAnsi"/>
        </w:rPr>
        <w:t>ADS</w:t>
      </w:r>
      <w:r w:rsidRPr="0036117B">
        <w:rPr>
          <w:rFonts w:asciiTheme="minorHAnsi" w:hAnsiTheme="minorHAnsi"/>
        </w:rPr>
        <w:t xml:space="preserve"> has the potential to be a powerful tool in advancing the educational outcomes of students with </w:t>
      </w:r>
      <w:r w:rsidR="00173D79" w:rsidRPr="0036117B">
        <w:rPr>
          <w:rFonts w:asciiTheme="minorHAnsi" w:hAnsiTheme="minorHAnsi"/>
        </w:rPr>
        <w:t>disability</w:t>
      </w:r>
      <w:r w:rsidRPr="0036117B">
        <w:rPr>
          <w:rFonts w:asciiTheme="minorHAnsi" w:hAnsiTheme="minorHAnsi"/>
        </w:rPr>
        <w:t xml:space="preserve"> in higher education and VET settings. By expanding the scope of the education outcome area, setting aspirational targets, and aligning with Article 24 of the UNCRPD, the ADS can ensure that </w:t>
      </w:r>
      <w:r w:rsidRPr="0036117B">
        <w:rPr>
          <w:rFonts w:asciiTheme="minorHAnsi" w:hAnsiTheme="minorHAnsi"/>
        </w:rPr>
        <w:lastRenderedPageBreak/>
        <w:t>these sectors are truly inclusive and supportive of all students. ADCET looks forward to continuing to work with the Australian Government and other stakeholders to achieve these important goals.</w:t>
      </w:r>
    </w:p>
    <w:p w14:paraId="1344B03C" w14:textId="473E85E7" w:rsidR="00E41EEC" w:rsidRPr="00165EAD" w:rsidRDefault="7739CCED" w:rsidP="370ED0F8">
      <w:pPr>
        <w:spacing w:line="276" w:lineRule="auto"/>
      </w:pPr>
      <w:r w:rsidRPr="370ED0F8">
        <w:rPr>
          <w:rFonts w:asciiTheme="minorHAnsi" w:eastAsiaTheme="minorEastAsia" w:hAnsiTheme="minorHAnsi"/>
        </w:rPr>
        <w:t xml:space="preserve">For further information please contact Darlene McLennan, Manager ADCET </w:t>
      </w:r>
      <w:hyperlink r:id="rId11">
        <w:r w:rsidRPr="370ED0F8">
          <w:rPr>
            <w:rFonts w:asciiTheme="minorHAnsi" w:eastAsiaTheme="minorEastAsia" w:hAnsiTheme="minorHAnsi"/>
          </w:rPr>
          <w:t>Darlene.McLennan@utas.edu.au</w:t>
        </w:r>
      </w:hyperlink>
    </w:p>
    <w:p w14:paraId="1A1B1831" w14:textId="38273527" w:rsidR="00E41EEC" w:rsidRPr="00165EAD" w:rsidRDefault="00E41EEC" w:rsidP="007F532F"/>
    <w:sectPr w:rsidR="00E41EEC" w:rsidRPr="00165EAD" w:rsidSect="00F06600">
      <w:headerReference w:type="default" r:id="rId12"/>
      <w:footerReference w:type="default" r:id="rId13"/>
      <w:pgSz w:w="11906" w:h="16838"/>
      <w:pgMar w:top="2410" w:right="1133" w:bottom="1135" w:left="1134" w:header="70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7B1C0" w14:textId="77777777" w:rsidR="005A3BDE" w:rsidRDefault="005A3BDE" w:rsidP="007F532F">
      <w:r>
        <w:separator/>
      </w:r>
    </w:p>
  </w:endnote>
  <w:endnote w:type="continuationSeparator" w:id="0">
    <w:p w14:paraId="62A23BEB" w14:textId="77777777" w:rsidR="005A3BDE" w:rsidRDefault="005A3BDE" w:rsidP="007F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04766"/>
      <w:docPartObj>
        <w:docPartGallery w:val="Page Numbers (Bottom of Page)"/>
        <w:docPartUnique/>
      </w:docPartObj>
    </w:sdtPr>
    <w:sdtContent>
      <w:sdt>
        <w:sdtPr>
          <w:id w:val="-1769616900"/>
          <w:docPartObj>
            <w:docPartGallery w:val="Page Numbers (Top of Page)"/>
            <w:docPartUnique/>
          </w:docPartObj>
        </w:sdtPr>
        <w:sdtContent>
          <w:p w14:paraId="245823F2" w14:textId="77777777" w:rsidR="00EC30CA" w:rsidRPr="00EC30CA" w:rsidRDefault="00EC30CA" w:rsidP="007F532F">
            <w:pPr>
              <w:pStyle w:val="Footer"/>
            </w:pPr>
            <w:r w:rsidRPr="00EC30CA">
              <w:t xml:space="preserve">Page </w:t>
            </w:r>
            <w:r w:rsidRPr="00EC30CA">
              <w:fldChar w:fldCharType="begin"/>
            </w:r>
            <w:r w:rsidRPr="00EC30CA">
              <w:instrText xml:space="preserve"> PAGE </w:instrText>
            </w:r>
            <w:r w:rsidRPr="00EC30CA">
              <w:fldChar w:fldCharType="separate"/>
            </w:r>
            <w:r w:rsidRPr="00EC30CA">
              <w:rPr>
                <w:noProof/>
              </w:rPr>
              <w:t>2</w:t>
            </w:r>
            <w:r w:rsidRPr="00EC30CA">
              <w:fldChar w:fldCharType="end"/>
            </w:r>
            <w:r w:rsidRPr="00EC30CA">
              <w:t xml:space="preserve"> of </w:t>
            </w:r>
            <w:r>
              <w:fldChar w:fldCharType="begin"/>
            </w:r>
            <w:r>
              <w:instrText>NUMPAGES</w:instrText>
            </w:r>
            <w:r>
              <w:fldChar w:fldCharType="separate"/>
            </w:r>
            <w:r w:rsidRPr="00EC30CA">
              <w:rPr>
                <w:noProof/>
              </w:rPr>
              <w:t>2</w:t>
            </w:r>
            <w:r>
              <w:fldChar w:fldCharType="end"/>
            </w:r>
          </w:p>
        </w:sdtContent>
      </w:sdt>
    </w:sdtContent>
  </w:sdt>
  <w:p w14:paraId="5D4EC357" w14:textId="77777777" w:rsidR="00EC30CA" w:rsidRPr="00EC30CA" w:rsidRDefault="00EC30CA" w:rsidP="007F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FFF29" w14:textId="77777777" w:rsidR="005A3BDE" w:rsidRDefault="005A3BDE" w:rsidP="007F532F">
      <w:r>
        <w:separator/>
      </w:r>
    </w:p>
  </w:footnote>
  <w:footnote w:type="continuationSeparator" w:id="0">
    <w:p w14:paraId="37B29F5A" w14:textId="77777777" w:rsidR="005A3BDE" w:rsidRDefault="005A3BDE" w:rsidP="007F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404" w14:textId="676DF2D9" w:rsidR="00EC30CA" w:rsidRDefault="00EC30CA" w:rsidP="007F532F">
    <w:pPr>
      <w:pStyle w:val="Header"/>
    </w:pPr>
    <w:r w:rsidRPr="00120876">
      <w:rPr>
        <w:noProof/>
        <w:lang w:eastAsia="en-AU"/>
      </w:rPr>
      <w:drawing>
        <wp:inline distT="0" distB="0" distL="0" distR="0" wp14:anchorId="000A6419" wp14:editId="718BBB6F">
          <wp:extent cx="2934610" cy="784860"/>
          <wp:effectExtent l="0" t="0" r="0" b="0"/>
          <wp:docPr id="2093704810" name="Picture 2" descr="ADCET Logo">
            <a:extLst xmlns:a="http://schemas.openxmlformats.org/drawingml/2006/main">
              <a:ext uri="{FF2B5EF4-FFF2-40B4-BE49-F238E27FC236}">
                <a16:creationId xmlns:a16="http://schemas.microsoft.com/office/drawing/2014/main" id="{1CD276B4-4835-0100-863C-4B5BC320F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DCET Logo">
                    <a:extLst>
                      <a:ext uri="{FF2B5EF4-FFF2-40B4-BE49-F238E27FC236}">
                        <a16:creationId xmlns:a16="http://schemas.microsoft.com/office/drawing/2014/main" id="{1CD276B4-4835-0100-863C-4B5BC320FFD7}"/>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4640" cy="795566"/>
                  </a:xfrm>
                  <a:prstGeom prst="rect">
                    <a:avLst/>
                  </a:prstGeom>
                  <a:noFill/>
                </pic:spPr>
              </pic:pic>
            </a:graphicData>
          </a:graphic>
        </wp:inline>
      </w:drawing>
    </w:r>
  </w:p>
  <w:p w14:paraId="2C3AA1E2" w14:textId="77777777" w:rsidR="00EC30CA" w:rsidRDefault="00EC30CA" w:rsidP="007F5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7FC"/>
    <w:multiLevelType w:val="hybridMultilevel"/>
    <w:tmpl w:val="A96863E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11E9478A"/>
    <w:multiLevelType w:val="multilevel"/>
    <w:tmpl w:val="88F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85134"/>
    <w:multiLevelType w:val="multilevel"/>
    <w:tmpl w:val="E110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B6C10"/>
    <w:multiLevelType w:val="multilevel"/>
    <w:tmpl w:val="ECD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7533C"/>
    <w:multiLevelType w:val="multilevel"/>
    <w:tmpl w:val="CA7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24B68"/>
    <w:multiLevelType w:val="multilevel"/>
    <w:tmpl w:val="592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40BA2"/>
    <w:multiLevelType w:val="multilevel"/>
    <w:tmpl w:val="10E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E1D39"/>
    <w:multiLevelType w:val="multilevel"/>
    <w:tmpl w:val="92402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B6AA9"/>
    <w:multiLevelType w:val="multilevel"/>
    <w:tmpl w:val="AD041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D5387"/>
    <w:multiLevelType w:val="multilevel"/>
    <w:tmpl w:val="300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01852"/>
    <w:multiLevelType w:val="multilevel"/>
    <w:tmpl w:val="6AE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39240">
    <w:abstractNumId w:val="1"/>
  </w:num>
  <w:num w:numId="2" w16cid:durableId="128325895">
    <w:abstractNumId w:val="2"/>
  </w:num>
  <w:num w:numId="3" w16cid:durableId="264506793">
    <w:abstractNumId w:val="6"/>
  </w:num>
  <w:num w:numId="4" w16cid:durableId="704216811">
    <w:abstractNumId w:val="3"/>
  </w:num>
  <w:num w:numId="5" w16cid:durableId="1272007858">
    <w:abstractNumId w:val="5"/>
  </w:num>
  <w:num w:numId="6" w16cid:durableId="437484433">
    <w:abstractNumId w:val="7"/>
  </w:num>
  <w:num w:numId="7" w16cid:durableId="2044599553">
    <w:abstractNumId w:val="9"/>
  </w:num>
  <w:num w:numId="8" w16cid:durableId="1241060774">
    <w:abstractNumId w:val="10"/>
  </w:num>
  <w:num w:numId="9" w16cid:durableId="766653394">
    <w:abstractNumId w:val="4"/>
  </w:num>
  <w:num w:numId="10" w16cid:durableId="1469322961">
    <w:abstractNumId w:val="0"/>
  </w:num>
  <w:num w:numId="11" w16cid:durableId="52948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63"/>
    <w:rsid w:val="000104F4"/>
    <w:rsid w:val="00010E7C"/>
    <w:rsid w:val="00024133"/>
    <w:rsid w:val="00034551"/>
    <w:rsid w:val="00061BDD"/>
    <w:rsid w:val="00070B62"/>
    <w:rsid w:val="00071BB5"/>
    <w:rsid w:val="00086008"/>
    <w:rsid w:val="000A5C36"/>
    <w:rsid w:val="001022D3"/>
    <w:rsid w:val="00112B63"/>
    <w:rsid w:val="00114934"/>
    <w:rsid w:val="001254EE"/>
    <w:rsid w:val="0013340D"/>
    <w:rsid w:val="00141729"/>
    <w:rsid w:val="00143DFC"/>
    <w:rsid w:val="0015040F"/>
    <w:rsid w:val="00152AAA"/>
    <w:rsid w:val="00165EAD"/>
    <w:rsid w:val="00167873"/>
    <w:rsid w:val="00170505"/>
    <w:rsid w:val="00172749"/>
    <w:rsid w:val="00173D79"/>
    <w:rsid w:val="00173EC0"/>
    <w:rsid w:val="0018083F"/>
    <w:rsid w:val="00192D8B"/>
    <w:rsid w:val="001B3A65"/>
    <w:rsid w:val="001B4C16"/>
    <w:rsid w:val="002055E5"/>
    <w:rsid w:val="002264D3"/>
    <w:rsid w:val="00251BB2"/>
    <w:rsid w:val="0026333F"/>
    <w:rsid w:val="002802B0"/>
    <w:rsid w:val="00285004"/>
    <w:rsid w:val="00287969"/>
    <w:rsid w:val="002962F3"/>
    <w:rsid w:val="002B18F2"/>
    <w:rsid w:val="002F69E1"/>
    <w:rsid w:val="0030393A"/>
    <w:rsid w:val="00305FA8"/>
    <w:rsid w:val="00322DBB"/>
    <w:rsid w:val="00354C42"/>
    <w:rsid w:val="00360480"/>
    <w:rsid w:val="0036117B"/>
    <w:rsid w:val="00364A2D"/>
    <w:rsid w:val="00384C47"/>
    <w:rsid w:val="00394614"/>
    <w:rsid w:val="00396910"/>
    <w:rsid w:val="003A0412"/>
    <w:rsid w:val="003B2FE8"/>
    <w:rsid w:val="003B7B93"/>
    <w:rsid w:val="003D1AE4"/>
    <w:rsid w:val="00405A2D"/>
    <w:rsid w:val="004121F9"/>
    <w:rsid w:val="0042280F"/>
    <w:rsid w:val="0043267A"/>
    <w:rsid w:val="00433122"/>
    <w:rsid w:val="00437BDD"/>
    <w:rsid w:val="00440522"/>
    <w:rsid w:val="004415E5"/>
    <w:rsid w:val="0046247A"/>
    <w:rsid w:val="004648CB"/>
    <w:rsid w:val="004808A4"/>
    <w:rsid w:val="00485B2F"/>
    <w:rsid w:val="004B3C7A"/>
    <w:rsid w:val="004D3A46"/>
    <w:rsid w:val="004D5470"/>
    <w:rsid w:val="004F1B8F"/>
    <w:rsid w:val="004F21C7"/>
    <w:rsid w:val="00530999"/>
    <w:rsid w:val="00535458"/>
    <w:rsid w:val="00553CDD"/>
    <w:rsid w:val="005610A7"/>
    <w:rsid w:val="005776FE"/>
    <w:rsid w:val="00581CE2"/>
    <w:rsid w:val="00591C55"/>
    <w:rsid w:val="00593EC0"/>
    <w:rsid w:val="00596D87"/>
    <w:rsid w:val="005A3BDE"/>
    <w:rsid w:val="005B4C4D"/>
    <w:rsid w:val="005C14B2"/>
    <w:rsid w:val="005C273F"/>
    <w:rsid w:val="005D5D25"/>
    <w:rsid w:val="005E3FD0"/>
    <w:rsid w:val="00605AB2"/>
    <w:rsid w:val="00627123"/>
    <w:rsid w:val="00644036"/>
    <w:rsid w:val="00653C9B"/>
    <w:rsid w:val="00656CD4"/>
    <w:rsid w:val="00660C72"/>
    <w:rsid w:val="00676840"/>
    <w:rsid w:val="006A7B04"/>
    <w:rsid w:val="00702447"/>
    <w:rsid w:val="00721BD3"/>
    <w:rsid w:val="00730169"/>
    <w:rsid w:val="00730C4A"/>
    <w:rsid w:val="00743364"/>
    <w:rsid w:val="00750AB1"/>
    <w:rsid w:val="00753B77"/>
    <w:rsid w:val="007559D5"/>
    <w:rsid w:val="007600B4"/>
    <w:rsid w:val="00793971"/>
    <w:rsid w:val="007B2BE4"/>
    <w:rsid w:val="007D6B3E"/>
    <w:rsid w:val="007F0461"/>
    <w:rsid w:val="007F1E63"/>
    <w:rsid w:val="007F532F"/>
    <w:rsid w:val="00801BBB"/>
    <w:rsid w:val="00806424"/>
    <w:rsid w:val="0082796B"/>
    <w:rsid w:val="0084057E"/>
    <w:rsid w:val="00846095"/>
    <w:rsid w:val="00861DB5"/>
    <w:rsid w:val="00895C70"/>
    <w:rsid w:val="008C4B52"/>
    <w:rsid w:val="008E1A87"/>
    <w:rsid w:val="008F263E"/>
    <w:rsid w:val="00915DBF"/>
    <w:rsid w:val="0091609B"/>
    <w:rsid w:val="00922B3B"/>
    <w:rsid w:val="009531D1"/>
    <w:rsid w:val="00957637"/>
    <w:rsid w:val="00957990"/>
    <w:rsid w:val="00971FF3"/>
    <w:rsid w:val="0098061E"/>
    <w:rsid w:val="009853E3"/>
    <w:rsid w:val="009A3CC7"/>
    <w:rsid w:val="009C1512"/>
    <w:rsid w:val="009C533D"/>
    <w:rsid w:val="009F2534"/>
    <w:rsid w:val="009F7524"/>
    <w:rsid w:val="00A04F2B"/>
    <w:rsid w:val="00A05483"/>
    <w:rsid w:val="00A4413E"/>
    <w:rsid w:val="00A46CB4"/>
    <w:rsid w:val="00A538D1"/>
    <w:rsid w:val="00A70B9C"/>
    <w:rsid w:val="00A77255"/>
    <w:rsid w:val="00A86D05"/>
    <w:rsid w:val="00AB2731"/>
    <w:rsid w:val="00AE6FC4"/>
    <w:rsid w:val="00B07640"/>
    <w:rsid w:val="00B11452"/>
    <w:rsid w:val="00B14704"/>
    <w:rsid w:val="00B173FE"/>
    <w:rsid w:val="00B57FB3"/>
    <w:rsid w:val="00BA36D1"/>
    <w:rsid w:val="00BC0F90"/>
    <w:rsid w:val="00BE3244"/>
    <w:rsid w:val="00C04C9C"/>
    <w:rsid w:val="00C17557"/>
    <w:rsid w:val="00C219ED"/>
    <w:rsid w:val="00C230D0"/>
    <w:rsid w:val="00C41556"/>
    <w:rsid w:val="00C57210"/>
    <w:rsid w:val="00C72014"/>
    <w:rsid w:val="00C73B7C"/>
    <w:rsid w:val="00C83AD9"/>
    <w:rsid w:val="00C87AFF"/>
    <w:rsid w:val="00CB77F6"/>
    <w:rsid w:val="00CE54A0"/>
    <w:rsid w:val="00D02857"/>
    <w:rsid w:val="00D629B0"/>
    <w:rsid w:val="00D65A57"/>
    <w:rsid w:val="00D70D61"/>
    <w:rsid w:val="00DB0301"/>
    <w:rsid w:val="00DB3F5B"/>
    <w:rsid w:val="00DD13CC"/>
    <w:rsid w:val="00DF2384"/>
    <w:rsid w:val="00E04295"/>
    <w:rsid w:val="00E05379"/>
    <w:rsid w:val="00E20EC6"/>
    <w:rsid w:val="00E41EEC"/>
    <w:rsid w:val="00E51FAE"/>
    <w:rsid w:val="00EB1779"/>
    <w:rsid w:val="00EB3BDE"/>
    <w:rsid w:val="00EC30CA"/>
    <w:rsid w:val="00F043E2"/>
    <w:rsid w:val="00F06600"/>
    <w:rsid w:val="00F10B4A"/>
    <w:rsid w:val="00F261EC"/>
    <w:rsid w:val="00F312C8"/>
    <w:rsid w:val="00F37652"/>
    <w:rsid w:val="00F66614"/>
    <w:rsid w:val="00F8648E"/>
    <w:rsid w:val="00F918F7"/>
    <w:rsid w:val="00F93113"/>
    <w:rsid w:val="00FD1A62"/>
    <w:rsid w:val="00FD1C1D"/>
    <w:rsid w:val="01139BEB"/>
    <w:rsid w:val="01CF473B"/>
    <w:rsid w:val="02818C98"/>
    <w:rsid w:val="04E78B19"/>
    <w:rsid w:val="055D3947"/>
    <w:rsid w:val="07D6C0A4"/>
    <w:rsid w:val="08800E62"/>
    <w:rsid w:val="0B0B2588"/>
    <w:rsid w:val="0C2DE78F"/>
    <w:rsid w:val="0C71936A"/>
    <w:rsid w:val="0CD41532"/>
    <w:rsid w:val="0CD9DCC5"/>
    <w:rsid w:val="0D1D741E"/>
    <w:rsid w:val="0ECF0E27"/>
    <w:rsid w:val="0ED05C22"/>
    <w:rsid w:val="0F0F3240"/>
    <w:rsid w:val="133687E1"/>
    <w:rsid w:val="15B8E0BB"/>
    <w:rsid w:val="17D6BC19"/>
    <w:rsid w:val="1914E831"/>
    <w:rsid w:val="1A787CBB"/>
    <w:rsid w:val="1BBDEC55"/>
    <w:rsid w:val="1D48F4BE"/>
    <w:rsid w:val="1E286A1C"/>
    <w:rsid w:val="1F45FD1B"/>
    <w:rsid w:val="205B0B9E"/>
    <w:rsid w:val="20A3E0B3"/>
    <w:rsid w:val="22131B20"/>
    <w:rsid w:val="235B4CA1"/>
    <w:rsid w:val="29A60368"/>
    <w:rsid w:val="2B4D10AF"/>
    <w:rsid w:val="2B5211F7"/>
    <w:rsid w:val="2C83C0BC"/>
    <w:rsid w:val="2DF44878"/>
    <w:rsid w:val="2F143872"/>
    <w:rsid w:val="3079069D"/>
    <w:rsid w:val="353D7E80"/>
    <w:rsid w:val="35D13CFB"/>
    <w:rsid w:val="365B17DE"/>
    <w:rsid w:val="36980244"/>
    <w:rsid w:val="370ED0F8"/>
    <w:rsid w:val="395AE42C"/>
    <w:rsid w:val="39C71B3F"/>
    <w:rsid w:val="3B334794"/>
    <w:rsid w:val="3B4CC4FB"/>
    <w:rsid w:val="3E6785CC"/>
    <w:rsid w:val="3F442150"/>
    <w:rsid w:val="439CBD52"/>
    <w:rsid w:val="43A17687"/>
    <w:rsid w:val="44D3FC69"/>
    <w:rsid w:val="4635224A"/>
    <w:rsid w:val="46EB0DFD"/>
    <w:rsid w:val="48BE4CC3"/>
    <w:rsid w:val="4A31213A"/>
    <w:rsid w:val="4EEBA5C4"/>
    <w:rsid w:val="4FE94A4E"/>
    <w:rsid w:val="50A2CF87"/>
    <w:rsid w:val="518146A5"/>
    <w:rsid w:val="531EF8CA"/>
    <w:rsid w:val="54152A62"/>
    <w:rsid w:val="57F729EE"/>
    <w:rsid w:val="59E6D090"/>
    <w:rsid w:val="5BA48BBB"/>
    <w:rsid w:val="5BAEA4D6"/>
    <w:rsid w:val="5BE51F21"/>
    <w:rsid w:val="5CA23547"/>
    <w:rsid w:val="5E447112"/>
    <w:rsid w:val="5ED4B409"/>
    <w:rsid w:val="5F276E4D"/>
    <w:rsid w:val="6209ED6F"/>
    <w:rsid w:val="62D108C1"/>
    <w:rsid w:val="63838502"/>
    <w:rsid w:val="63CE1A0F"/>
    <w:rsid w:val="65F50D89"/>
    <w:rsid w:val="660943C4"/>
    <w:rsid w:val="68745A6E"/>
    <w:rsid w:val="699A652D"/>
    <w:rsid w:val="69AAB2F5"/>
    <w:rsid w:val="6A09DEF1"/>
    <w:rsid w:val="6A9354C2"/>
    <w:rsid w:val="6C60E4EE"/>
    <w:rsid w:val="74AEA11F"/>
    <w:rsid w:val="74F8FF85"/>
    <w:rsid w:val="753F1DBB"/>
    <w:rsid w:val="7617E667"/>
    <w:rsid w:val="7739CCED"/>
    <w:rsid w:val="7D9FD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62EF"/>
  <w15:chartTrackingRefBased/>
  <w15:docId w15:val="{E90A4018-3A59-450A-B0B9-18C0E56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2F"/>
    <w:rPr>
      <w:rFonts w:ascii="Lato" w:hAnsi="Lato"/>
      <w:sz w:val="22"/>
      <w:szCs w:val="22"/>
    </w:rPr>
  </w:style>
  <w:style w:type="paragraph" w:styleId="Heading1">
    <w:name w:val="heading 1"/>
    <w:basedOn w:val="Normal"/>
    <w:next w:val="Normal"/>
    <w:link w:val="Heading1Char"/>
    <w:uiPriority w:val="9"/>
    <w:qFormat/>
    <w:rsid w:val="00656CD4"/>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656CD4"/>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112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CD4"/>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656CD4"/>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112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63"/>
    <w:rPr>
      <w:rFonts w:eastAsiaTheme="majorEastAsia" w:cstheme="majorBidi"/>
      <w:color w:val="272727" w:themeColor="text1" w:themeTint="D8"/>
    </w:rPr>
  </w:style>
  <w:style w:type="paragraph" w:styleId="Title">
    <w:name w:val="Title"/>
    <w:basedOn w:val="Normal"/>
    <w:next w:val="Normal"/>
    <w:link w:val="TitleChar"/>
    <w:uiPriority w:val="10"/>
    <w:qFormat/>
    <w:rsid w:val="00656CD4"/>
    <w:pPr>
      <w:spacing w:after="80" w:line="240" w:lineRule="auto"/>
      <w:contextualSpacing/>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656CD4"/>
    <w:rPr>
      <w:rFonts w:ascii="Lato" w:eastAsiaTheme="majorEastAsia" w:hAnsi="Lato" w:cstheme="majorBidi"/>
      <w:spacing w:val="-10"/>
      <w:kern w:val="28"/>
      <w:sz w:val="44"/>
      <w:szCs w:val="44"/>
    </w:rPr>
  </w:style>
  <w:style w:type="paragraph" w:styleId="Subtitle">
    <w:name w:val="Subtitle"/>
    <w:basedOn w:val="Normal"/>
    <w:next w:val="Normal"/>
    <w:link w:val="SubtitleChar"/>
    <w:uiPriority w:val="11"/>
    <w:qFormat/>
    <w:rsid w:val="00EC30CA"/>
    <w:rPr>
      <w:sz w:val="32"/>
      <w:szCs w:val="32"/>
    </w:rPr>
  </w:style>
  <w:style w:type="character" w:customStyle="1" w:styleId="SubtitleChar">
    <w:name w:val="Subtitle Char"/>
    <w:basedOn w:val="DefaultParagraphFont"/>
    <w:link w:val="Subtitle"/>
    <w:uiPriority w:val="11"/>
    <w:rsid w:val="00EC30CA"/>
    <w:rPr>
      <w:sz w:val="32"/>
      <w:szCs w:val="32"/>
    </w:rPr>
  </w:style>
  <w:style w:type="paragraph" w:styleId="Quote">
    <w:name w:val="Quote"/>
    <w:basedOn w:val="Normal"/>
    <w:next w:val="Normal"/>
    <w:link w:val="QuoteChar"/>
    <w:uiPriority w:val="29"/>
    <w:qFormat/>
    <w:rsid w:val="00112B63"/>
    <w:pPr>
      <w:spacing w:before="160"/>
      <w:jc w:val="center"/>
    </w:pPr>
    <w:rPr>
      <w:i/>
      <w:iCs/>
      <w:color w:val="404040" w:themeColor="text1" w:themeTint="BF"/>
    </w:rPr>
  </w:style>
  <w:style w:type="character" w:customStyle="1" w:styleId="QuoteChar">
    <w:name w:val="Quote Char"/>
    <w:basedOn w:val="DefaultParagraphFont"/>
    <w:link w:val="Quote"/>
    <w:uiPriority w:val="29"/>
    <w:rsid w:val="00112B63"/>
    <w:rPr>
      <w:i/>
      <w:iCs/>
      <w:color w:val="404040" w:themeColor="text1" w:themeTint="BF"/>
    </w:rPr>
  </w:style>
  <w:style w:type="paragraph" w:styleId="ListParagraph">
    <w:name w:val="List Paragraph"/>
    <w:basedOn w:val="Normal"/>
    <w:uiPriority w:val="34"/>
    <w:qFormat/>
    <w:rsid w:val="00112B63"/>
    <w:pPr>
      <w:ind w:left="720"/>
      <w:contextualSpacing/>
    </w:pPr>
  </w:style>
  <w:style w:type="character" w:styleId="IntenseEmphasis">
    <w:name w:val="Intense Emphasis"/>
    <w:basedOn w:val="DefaultParagraphFont"/>
    <w:uiPriority w:val="21"/>
    <w:qFormat/>
    <w:rsid w:val="00112B63"/>
    <w:rPr>
      <w:i/>
      <w:iCs/>
      <w:color w:val="0F4761" w:themeColor="accent1" w:themeShade="BF"/>
    </w:rPr>
  </w:style>
  <w:style w:type="paragraph" w:styleId="IntenseQuote">
    <w:name w:val="Intense Quote"/>
    <w:basedOn w:val="Normal"/>
    <w:next w:val="Normal"/>
    <w:link w:val="IntenseQuoteChar"/>
    <w:uiPriority w:val="30"/>
    <w:qFormat/>
    <w:rsid w:val="0011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63"/>
    <w:rPr>
      <w:i/>
      <w:iCs/>
      <w:color w:val="0F4761" w:themeColor="accent1" w:themeShade="BF"/>
    </w:rPr>
  </w:style>
  <w:style w:type="character" w:styleId="IntenseReference">
    <w:name w:val="Intense Reference"/>
    <w:basedOn w:val="DefaultParagraphFont"/>
    <w:uiPriority w:val="32"/>
    <w:qFormat/>
    <w:rsid w:val="00112B63"/>
    <w:rPr>
      <w:b/>
      <w:bCs/>
      <w:smallCaps/>
      <w:color w:val="0F4761" w:themeColor="accent1" w:themeShade="BF"/>
      <w:spacing w:val="5"/>
    </w:rPr>
  </w:style>
  <w:style w:type="paragraph" w:styleId="Header">
    <w:name w:val="header"/>
    <w:basedOn w:val="Normal"/>
    <w:link w:val="HeaderChar"/>
    <w:uiPriority w:val="99"/>
    <w:unhideWhenUsed/>
    <w:rsid w:val="00EC3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0CA"/>
  </w:style>
  <w:style w:type="paragraph" w:styleId="Footer">
    <w:name w:val="footer"/>
    <w:basedOn w:val="Normal"/>
    <w:link w:val="FooterChar"/>
    <w:uiPriority w:val="99"/>
    <w:unhideWhenUsed/>
    <w:rsid w:val="00EC3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0C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02447"/>
    <w:rPr>
      <w:color w:val="467886" w:themeColor="hyperlink"/>
      <w:u w:val="single"/>
    </w:rPr>
  </w:style>
  <w:style w:type="character" w:styleId="UnresolvedMention">
    <w:name w:val="Unresolved Mention"/>
    <w:basedOn w:val="DefaultParagraphFont"/>
    <w:uiPriority w:val="99"/>
    <w:semiHidden/>
    <w:unhideWhenUsed/>
    <w:rsid w:val="00702447"/>
    <w:rPr>
      <w:color w:val="605E5C"/>
      <w:shd w:val="clear" w:color="auto" w:fill="E1DFDD"/>
    </w:rPr>
  </w:style>
  <w:style w:type="paragraph" w:styleId="TOCHeading">
    <w:name w:val="TOC Heading"/>
    <w:basedOn w:val="Heading1"/>
    <w:next w:val="Normal"/>
    <w:uiPriority w:val="39"/>
    <w:unhideWhenUsed/>
    <w:qFormat/>
    <w:rsid w:val="00B173FE"/>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173FE"/>
    <w:pPr>
      <w:spacing w:after="100"/>
    </w:pPr>
  </w:style>
  <w:style w:type="paragraph" w:styleId="TOC2">
    <w:name w:val="toc 2"/>
    <w:basedOn w:val="Normal"/>
    <w:next w:val="Normal"/>
    <w:autoRedefine/>
    <w:uiPriority w:val="39"/>
    <w:unhideWhenUsed/>
    <w:rsid w:val="00B173F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686">
      <w:bodyDiv w:val="1"/>
      <w:marLeft w:val="0"/>
      <w:marRight w:val="0"/>
      <w:marTop w:val="0"/>
      <w:marBottom w:val="0"/>
      <w:divBdr>
        <w:top w:val="none" w:sz="0" w:space="0" w:color="auto"/>
        <w:left w:val="none" w:sz="0" w:space="0" w:color="auto"/>
        <w:bottom w:val="none" w:sz="0" w:space="0" w:color="auto"/>
        <w:right w:val="none" w:sz="0" w:space="0" w:color="auto"/>
      </w:divBdr>
    </w:div>
    <w:div w:id="1409234612">
      <w:bodyDiv w:val="1"/>
      <w:marLeft w:val="0"/>
      <w:marRight w:val="0"/>
      <w:marTop w:val="0"/>
      <w:marBottom w:val="0"/>
      <w:divBdr>
        <w:top w:val="none" w:sz="0" w:space="0" w:color="auto"/>
        <w:left w:val="none" w:sz="0" w:space="0" w:color="auto"/>
        <w:bottom w:val="none" w:sz="0" w:space="0" w:color="auto"/>
        <w:right w:val="none" w:sz="0" w:space="0" w:color="auto"/>
      </w:divBdr>
    </w:div>
    <w:div w:id="2015717249">
      <w:bodyDiv w:val="1"/>
      <w:marLeft w:val="0"/>
      <w:marRight w:val="0"/>
      <w:marTop w:val="0"/>
      <w:marBottom w:val="0"/>
      <w:divBdr>
        <w:top w:val="none" w:sz="0" w:space="0" w:color="auto"/>
        <w:left w:val="none" w:sz="0" w:space="0" w:color="auto"/>
        <w:bottom w:val="none" w:sz="0" w:space="0" w:color="auto"/>
        <w:right w:val="none" w:sz="0" w:space="0" w:color="auto"/>
      </w:divBdr>
    </w:div>
    <w:div w:id="21148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lene.McLennan@utas.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7" ma:contentTypeDescription="Create a new document." ma:contentTypeScope="" ma:versionID="df692d4eb8f35f7cb6b684990722a209">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689983356e70d2e680e2836a87bab5f2"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242F3-2889-42DD-A21B-18DF7FB9FC1C}">
  <ds:schemaRefs>
    <ds:schemaRef ds:uri="http://schemas.openxmlformats.org/officeDocument/2006/bibliography"/>
  </ds:schemaRefs>
</ds:datastoreItem>
</file>

<file path=customXml/itemProps2.xml><?xml version="1.0" encoding="utf-8"?>
<ds:datastoreItem xmlns:ds="http://schemas.openxmlformats.org/officeDocument/2006/customXml" ds:itemID="{BE175C3A-4F83-4CCB-9EBF-8C5F348FD084}">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3.xml><?xml version="1.0" encoding="utf-8"?>
<ds:datastoreItem xmlns:ds="http://schemas.openxmlformats.org/officeDocument/2006/customXml" ds:itemID="{2C84D68B-04CD-4F44-AF65-FA91A6093044}">
  <ds:schemaRefs>
    <ds:schemaRef ds:uri="http://schemas.microsoft.com/sharepoint/v3/contenttype/forms"/>
  </ds:schemaRefs>
</ds:datastoreItem>
</file>

<file path=customXml/itemProps4.xml><?xml version="1.0" encoding="utf-8"?>
<ds:datastoreItem xmlns:ds="http://schemas.openxmlformats.org/officeDocument/2006/customXml" ds:itemID="{4637F1D4-F106-4943-8FA0-E2FF84DE2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Ganon</dc:creator>
  <cp:keywords/>
  <dc:description/>
  <cp:lastModifiedBy>Kylie Geard</cp:lastModifiedBy>
  <cp:revision>3</cp:revision>
  <dcterms:created xsi:type="dcterms:W3CDTF">2024-09-06T05:24:00Z</dcterms:created>
  <dcterms:modified xsi:type="dcterms:W3CDTF">2024-09-10T03:30:00Z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