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F6AC" w14:textId="4405E513" w:rsidR="00785207" w:rsidRPr="00785207" w:rsidRDefault="00785207" w:rsidP="00785207">
      <w:pPr>
        <w:pStyle w:val="Heading1"/>
        <w:spacing w:before="120" w:after="360" w:line="240" w:lineRule="auto"/>
        <w:rPr>
          <w:lang w:val="en-US"/>
        </w:rPr>
      </w:pPr>
      <w:r>
        <w:rPr>
          <w:noProof/>
        </w:rPr>
        <w:drawing>
          <wp:inline distT="0" distB="0" distL="0" distR="0" wp14:anchorId="1CD9251C" wp14:editId="5315EFB6">
            <wp:extent cx="3429000" cy="1076325"/>
            <wp:effectExtent l="0" t="0" r="0" b="9525"/>
            <wp:docPr id="16351553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155335"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076325"/>
                    </a:xfrm>
                    <a:prstGeom prst="rect">
                      <a:avLst/>
                    </a:prstGeom>
                    <a:noFill/>
                    <a:ln>
                      <a:noFill/>
                    </a:ln>
                  </pic:spPr>
                </pic:pic>
              </a:graphicData>
            </a:graphic>
          </wp:inline>
        </w:drawing>
      </w:r>
    </w:p>
    <w:p w14:paraId="1D43B066" w14:textId="2C2171A5" w:rsidR="0093671B" w:rsidRPr="00E62D77" w:rsidRDefault="0093671B" w:rsidP="0093671B">
      <w:pPr>
        <w:pStyle w:val="Heading1"/>
        <w:spacing w:before="0" w:line="240" w:lineRule="auto"/>
        <w:jc w:val="center"/>
        <w:rPr>
          <w:b/>
          <w:bCs/>
          <w:lang w:val="en-US"/>
        </w:rPr>
      </w:pPr>
      <w:r w:rsidRPr="00E62D77">
        <w:rPr>
          <w:b/>
          <w:bCs/>
          <w:lang w:val="en-US"/>
        </w:rPr>
        <w:t>GRADUATE EMPLOYMENT FOR STUDENTS WITH DISABILITY</w:t>
      </w:r>
    </w:p>
    <w:p w14:paraId="39AB6BC6" w14:textId="3A25E3F0" w:rsidR="0093671B" w:rsidRDefault="0093671B" w:rsidP="0093671B">
      <w:pPr>
        <w:pStyle w:val="Heading2"/>
        <w:spacing w:before="0" w:line="240" w:lineRule="auto"/>
        <w:jc w:val="center"/>
        <w:rPr>
          <w:lang w:val="en-US"/>
        </w:rPr>
      </w:pPr>
      <w:r>
        <w:rPr>
          <w:lang w:val="en-US"/>
        </w:rPr>
        <w:t>Programs and Services Overview</w:t>
      </w:r>
    </w:p>
    <w:p w14:paraId="3499AF15" w14:textId="77777777" w:rsidR="0093671B" w:rsidRPr="0093671B" w:rsidRDefault="0093671B" w:rsidP="0093671B">
      <w:pPr>
        <w:spacing w:after="0" w:line="240" w:lineRule="auto"/>
        <w:rPr>
          <w:lang w:val="en-US"/>
        </w:rPr>
      </w:pPr>
    </w:p>
    <w:p w14:paraId="16E8FC61" w14:textId="3CC79AC4" w:rsidR="0093671B" w:rsidRPr="00E62D77" w:rsidRDefault="0093671B" w:rsidP="00E62D77">
      <w:pPr>
        <w:spacing w:after="240" w:line="240" w:lineRule="auto"/>
        <w:rPr>
          <w:sz w:val="24"/>
          <w:szCs w:val="24"/>
        </w:rPr>
      </w:pPr>
      <w:r w:rsidRPr="00E62D77">
        <w:rPr>
          <w:sz w:val="24"/>
          <w:szCs w:val="24"/>
        </w:rPr>
        <w:t>There are a range of programs and services designed to support people with disability prepare for and move into graduate employment roles, some of these include:</w:t>
      </w:r>
    </w:p>
    <w:p w14:paraId="6F658A09" w14:textId="31DB74F6" w:rsidR="00722B84" w:rsidRPr="00A76ACE" w:rsidRDefault="0093671B" w:rsidP="0093671B">
      <w:pPr>
        <w:pStyle w:val="Heading3"/>
        <w:spacing w:before="0" w:line="240" w:lineRule="auto"/>
        <w:rPr>
          <w:sz w:val="26"/>
          <w:szCs w:val="26"/>
          <w:lang w:val="en-US"/>
        </w:rPr>
      </w:pPr>
      <w:r w:rsidRPr="00A76ACE">
        <w:rPr>
          <w:sz w:val="26"/>
          <w:szCs w:val="26"/>
          <w:lang w:val="en-US"/>
        </w:rPr>
        <w:t>The Australian Association of Graduate Employers (</w:t>
      </w:r>
      <w:r w:rsidR="00755F9E" w:rsidRPr="00A76ACE">
        <w:rPr>
          <w:sz w:val="26"/>
          <w:szCs w:val="26"/>
          <w:lang w:val="en-US"/>
        </w:rPr>
        <w:t>AAGE</w:t>
      </w:r>
      <w:r w:rsidRPr="00A76ACE">
        <w:rPr>
          <w:sz w:val="26"/>
          <w:szCs w:val="26"/>
          <w:lang w:val="en-US"/>
        </w:rPr>
        <w:t>)</w:t>
      </w:r>
    </w:p>
    <w:p w14:paraId="7F9DEC3D" w14:textId="527667A5" w:rsidR="00326890" w:rsidRPr="00A76ACE" w:rsidRDefault="00E62D77" w:rsidP="0093671B">
      <w:pPr>
        <w:spacing w:after="0" w:line="240" w:lineRule="auto"/>
        <w:rPr>
          <w:sz w:val="24"/>
          <w:szCs w:val="24"/>
          <w:lang w:val="en-US"/>
        </w:rPr>
      </w:pPr>
      <w:hyperlink r:id="rId6" w:history="1">
        <w:r w:rsidR="00326890" w:rsidRPr="00A76ACE">
          <w:rPr>
            <w:rStyle w:val="Hyperlink"/>
            <w:sz w:val="24"/>
            <w:szCs w:val="24"/>
            <w:lang w:val="en-US"/>
          </w:rPr>
          <w:t>https://aage.com.au/</w:t>
        </w:r>
      </w:hyperlink>
    </w:p>
    <w:p w14:paraId="65507F10" w14:textId="26FD8FCA" w:rsidR="0093671B" w:rsidRPr="00A76ACE" w:rsidRDefault="00326890" w:rsidP="00785207">
      <w:pPr>
        <w:spacing w:after="120" w:line="240" w:lineRule="auto"/>
        <w:rPr>
          <w:sz w:val="24"/>
          <w:szCs w:val="24"/>
        </w:rPr>
      </w:pPr>
      <w:r w:rsidRPr="00A76ACE">
        <w:rPr>
          <w:sz w:val="24"/>
          <w:szCs w:val="24"/>
        </w:rPr>
        <w:t>The </w:t>
      </w:r>
      <w:r w:rsidRPr="00A76ACE">
        <w:rPr>
          <w:b/>
          <w:bCs/>
          <w:sz w:val="24"/>
          <w:szCs w:val="24"/>
        </w:rPr>
        <w:t>Australian Association of Graduate Employers</w:t>
      </w:r>
      <w:r w:rsidRPr="00A76ACE">
        <w:rPr>
          <w:sz w:val="24"/>
          <w:szCs w:val="24"/>
        </w:rPr>
        <w:t> (</w:t>
      </w:r>
      <w:r w:rsidRPr="00A76ACE">
        <w:rPr>
          <w:b/>
          <w:bCs/>
          <w:sz w:val="24"/>
          <w:szCs w:val="24"/>
        </w:rPr>
        <w:t>AAGE</w:t>
      </w:r>
      <w:r w:rsidRPr="00A76ACE">
        <w:rPr>
          <w:sz w:val="24"/>
          <w:szCs w:val="24"/>
        </w:rPr>
        <w:t>) is the peak industry body representing organisations that recruit and develop Australian graduates. The AAGE provides members with regular opportunities to connect with employers, universities, industry partners, student societies and candidates.</w:t>
      </w:r>
      <w:r w:rsidR="00785207">
        <w:rPr>
          <w:sz w:val="24"/>
          <w:szCs w:val="24"/>
        </w:rPr>
        <w:t xml:space="preserve"> </w:t>
      </w:r>
      <w:r w:rsidR="0093671B" w:rsidRPr="00A76ACE">
        <w:rPr>
          <w:sz w:val="24"/>
          <w:szCs w:val="24"/>
        </w:rPr>
        <w:t>The AAGE is a well recognised and respected organisation that provides comprehensive services and supports to their members. They also hold annual graduate expos in major capital cities, called The Big Meet, which students can attend.</w:t>
      </w:r>
    </w:p>
    <w:p w14:paraId="3A8D6102" w14:textId="7DF48E66" w:rsidR="00755F9E" w:rsidRPr="00A76ACE" w:rsidRDefault="00722B84" w:rsidP="00E62D77">
      <w:pPr>
        <w:spacing w:after="240" w:line="240" w:lineRule="auto"/>
        <w:rPr>
          <w:sz w:val="24"/>
          <w:szCs w:val="24"/>
          <w:lang w:val="en-US"/>
        </w:rPr>
      </w:pPr>
      <w:r w:rsidRPr="00A76ACE">
        <w:rPr>
          <w:sz w:val="24"/>
          <w:szCs w:val="24"/>
          <w:lang w:val="en-US"/>
        </w:rPr>
        <w:t xml:space="preserve">Main target audience: </w:t>
      </w:r>
      <w:r w:rsidR="00B10AF3" w:rsidRPr="00A76ACE">
        <w:rPr>
          <w:sz w:val="24"/>
          <w:szCs w:val="24"/>
          <w:lang w:val="en-US"/>
        </w:rPr>
        <w:t>employer</w:t>
      </w:r>
    </w:p>
    <w:p w14:paraId="1A5BBA7B" w14:textId="2C2FEFAD" w:rsidR="00B10AF3" w:rsidRPr="00A76ACE" w:rsidRDefault="0093671B" w:rsidP="0093671B">
      <w:pPr>
        <w:pStyle w:val="Heading3"/>
        <w:spacing w:before="0" w:line="240" w:lineRule="auto"/>
        <w:rPr>
          <w:sz w:val="26"/>
          <w:szCs w:val="26"/>
          <w:lang w:val="en-US"/>
        </w:rPr>
      </w:pPr>
      <w:r w:rsidRPr="00A76ACE">
        <w:rPr>
          <w:sz w:val="26"/>
          <w:szCs w:val="26"/>
          <w:lang w:val="en-US"/>
        </w:rPr>
        <w:t>University Specialist Employment Partnership/ TAFE Specialist Employment Partnership (</w:t>
      </w:r>
      <w:r w:rsidR="00755F9E" w:rsidRPr="00A76ACE">
        <w:rPr>
          <w:sz w:val="26"/>
          <w:szCs w:val="26"/>
          <w:lang w:val="en-US"/>
        </w:rPr>
        <w:t>USEP/TSEP</w:t>
      </w:r>
      <w:r w:rsidRPr="00A76ACE">
        <w:rPr>
          <w:sz w:val="26"/>
          <w:szCs w:val="26"/>
          <w:lang w:val="en-US"/>
        </w:rPr>
        <w:t>)</w:t>
      </w:r>
      <w:r w:rsidR="00B10AF3" w:rsidRPr="00A76ACE">
        <w:rPr>
          <w:sz w:val="26"/>
          <w:szCs w:val="26"/>
          <w:lang w:val="en-US"/>
        </w:rPr>
        <w:t xml:space="preserve"> </w:t>
      </w:r>
    </w:p>
    <w:p w14:paraId="5A955540" w14:textId="7D9AB9EB" w:rsidR="00326890" w:rsidRPr="00785207" w:rsidRDefault="00E62D77" w:rsidP="0093671B">
      <w:pPr>
        <w:spacing w:after="0" w:line="240" w:lineRule="auto"/>
        <w:rPr>
          <w:sz w:val="24"/>
          <w:szCs w:val="24"/>
        </w:rPr>
      </w:pPr>
      <w:hyperlink r:id="rId7" w:history="1">
        <w:r w:rsidR="00326890" w:rsidRPr="00785207">
          <w:rPr>
            <w:rStyle w:val="Hyperlink"/>
            <w:sz w:val="24"/>
            <w:szCs w:val="24"/>
          </w:rPr>
          <w:t>https://www.adcet.edu.au/resources/usep-and-tsep</w:t>
        </w:r>
      </w:hyperlink>
    </w:p>
    <w:p w14:paraId="0DBE424D" w14:textId="13EE2F6F" w:rsidR="00326890" w:rsidRPr="00785207" w:rsidRDefault="00326890" w:rsidP="00785207">
      <w:pPr>
        <w:spacing w:after="120" w:line="240" w:lineRule="auto"/>
        <w:rPr>
          <w:sz w:val="24"/>
          <w:szCs w:val="24"/>
        </w:rPr>
      </w:pPr>
      <w:r w:rsidRPr="00A76ACE">
        <w:rPr>
          <w:sz w:val="24"/>
          <w:szCs w:val="24"/>
        </w:rPr>
        <w:t>University Specialist Employment Partnerships (</w:t>
      </w:r>
      <w:r w:rsidRPr="00A76ACE">
        <w:rPr>
          <w:b/>
          <w:bCs/>
          <w:sz w:val="24"/>
          <w:szCs w:val="24"/>
        </w:rPr>
        <w:t>USEP</w:t>
      </w:r>
      <w:r w:rsidRPr="00A76ACE">
        <w:rPr>
          <w:sz w:val="24"/>
          <w:szCs w:val="24"/>
        </w:rPr>
        <w:t>) is a specialist employment on-campus service developed for graduates with disability in Australia. TAFE Specialist Employment Partnerships (</w:t>
      </w:r>
      <w:r w:rsidRPr="00A76ACE">
        <w:rPr>
          <w:b/>
          <w:bCs/>
          <w:sz w:val="24"/>
          <w:szCs w:val="24"/>
        </w:rPr>
        <w:t>TSEP</w:t>
      </w:r>
      <w:r w:rsidRPr="00A76ACE">
        <w:rPr>
          <w:sz w:val="24"/>
          <w:szCs w:val="24"/>
        </w:rPr>
        <w:t>) is an employment service based at the TAFE campus to meet specific needs of graduating or graduate students with disability.</w:t>
      </w:r>
      <w:r w:rsidR="00785207">
        <w:rPr>
          <w:sz w:val="24"/>
          <w:szCs w:val="24"/>
        </w:rPr>
        <w:t xml:space="preserve"> </w:t>
      </w:r>
      <w:r w:rsidR="0093671B" w:rsidRPr="00A76ACE">
        <w:rPr>
          <w:sz w:val="24"/>
          <w:szCs w:val="24"/>
        </w:rPr>
        <w:t>This project is set-up to provide a self-service online toolkit resource to tertiary education providers and/or disability employment services who are interested in establishing this type of service on-campus.</w:t>
      </w:r>
    </w:p>
    <w:p w14:paraId="54A2B46F" w14:textId="0E712A48" w:rsidR="00755F9E" w:rsidRPr="00A76ACE" w:rsidRDefault="00722B84" w:rsidP="00E62D77">
      <w:pPr>
        <w:spacing w:after="240" w:line="240" w:lineRule="auto"/>
        <w:rPr>
          <w:sz w:val="24"/>
          <w:szCs w:val="24"/>
        </w:rPr>
      </w:pPr>
      <w:r w:rsidRPr="00A76ACE">
        <w:rPr>
          <w:sz w:val="24"/>
          <w:szCs w:val="24"/>
          <w:lang w:val="en-US"/>
        </w:rPr>
        <w:t xml:space="preserve">Main target audience: </w:t>
      </w:r>
      <w:r w:rsidR="00B10AF3" w:rsidRPr="00A76ACE">
        <w:rPr>
          <w:sz w:val="24"/>
          <w:szCs w:val="24"/>
        </w:rPr>
        <w:t>tertiary education</w:t>
      </w:r>
    </w:p>
    <w:p w14:paraId="679B9E02" w14:textId="16954B68" w:rsidR="00B10AF3" w:rsidRPr="00A76ACE" w:rsidRDefault="00D2795E" w:rsidP="0093671B">
      <w:pPr>
        <w:pStyle w:val="Heading3"/>
        <w:spacing w:before="0" w:line="240" w:lineRule="auto"/>
        <w:rPr>
          <w:sz w:val="26"/>
          <w:szCs w:val="26"/>
          <w:lang w:val="en-US"/>
        </w:rPr>
      </w:pPr>
      <w:proofErr w:type="spellStart"/>
      <w:r w:rsidRPr="00A76ACE">
        <w:rPr>
          <w:sz w:val="26"/>
          <w:szCs w:val="26"/>
          <w:lang w:val="en-US"/>
        </w:rPr>
        <w:t>Grad</w:t>
      </w:r>
      <w:r w:rsidR="0093671B" w:rsidRPr="00A76ACE">
        <w:rPr>
          <w:sz w:val="26"/>
          <w:szCs w:val="26"/>
          <w:lang w:val="en-US"/>
        </w:rPr>
        <w:t>WISE</w:t>
      </w:r>
      <w:proofErr w:type="spellEnd"/>
    </w:p>
    <w:p w14:paraId="6E4AA560" w14:textId="71E04442" w:rsidR="00326890" w:rsidRPr="00785207" w:rsidRDefault="00E62D77" w:rsidP="0093671B">
      <w:pPr>
        <w:spacing w:after="0" w:line="240" w:lineRule="auto"/>
        <w:rPr>
          <w:sz w:val="24"/>
          <w:szCs w:val="24"/>
        </w:rPr>
      </w:pPr>
      <w:hyperlink r:id="rId8" w:history="1">
        <w:r w:rsidR="00326890" w:rsidRPr="00785207">
          <w:rPr>
            <w:rStyle w:val="Hyperlink"/>
            <w:sz w:val="24"/>
            <w:szCs w:val="24"/>
          </w:rPr>
          <w:t>https://wiseemployment.com.au/gradwise-graduate-jobs/</w:t>
        </w:r>
      </w:hyperlink>
    </w:p>
    <w:p w14:paraId="70FAEE6F" w14:textId="0BDB6ACC" w:rsidR="0093671B" w:rsidRPr="00785207" w:rsidRDefault="00326890" w:rsidP="00785207">
      <w:pPr>
        <w:spacing w:after="120" w:line="240" w:lineRule="auto"/>
        <w:rPr>
          <w:sz w:val="24"/>
          <w:szCs w:val="24"/>
        </w:rPr>
      </w:pPr>
      <w:proofErr w:type="spellStart"/>
      <w:r w:rsidRPr="00785207">
        <w:rPr>
          <w:b/>
          <w:bCs/>
          <w:sz w:val="24"/>
          <w:szCs w:val="24"/>
        </w:rPr>
        <w:t>GradWISE</w:t>
      </w:r>
      <w:proofErr w:type="spellEnd"/>
      <w:r w:rsidR="00A76ACE" w:rsidRPr="00785207">
        <w:rPr>
          <w:sz w:val="24"/>
          <w:szCs w:val="24"/>
        </w:rPr>
        <w:t xml:space="preserve"> </w:t>
      </w:r>
      <w:r w:rsidRPr="00785207">
        <w:rPr>
          <w:sz w:val="24"/>
          <w:szCs w:val="24"/>
        </w:rPr>
        <w:t>is a graduate employment program, developed with Australian Universities, helping graduates and tertiary students who have a disability find work.</w:t>
      </w:r>
      <w:r w:rsidR="00785207" w:rsidRPr="00785207">
        <w:rPr>
          <w:sz w:val="24"/>
          <w:szCs w:val="24"/>
        </w:rPr>
        <w:t xml:space="preserve"> </w:t>
      </w:r>
      <w:r w:rsidR="0093671B" w:rsidRPr="00785207">
        <w:rPr>
          <w:sz w:val="24"/>
          <w:szCs w:val="24"/>
        </w:rPr>
        <w:t>This program is well established and supported by a national team within WISE Employment Services, however, it is not available in all areas.</w:t>
      </w:r>
    </w:p>
    <w:p w14:paraId="6508D586" w14:textId="5702496E" w:rsidR="00D2795E" w:rsidRPr="00785207" w:rsidRDefault="00722B84" w:rsidP="00E62D77">
      <w:pPr>
        <w:spacing w:after="240" w:line="240" w:lineRule="auto"/>
        <w:rPr>
          <w:sz w:val="24"/>
          <w:szCs w:val="24"/>
        </w:rPr>
      </w:pPr>
      <w:r w:rsidRPr="00785207">
        <w:rPr>
          <w:sz w:val="24"/>
          <w:szCs w:val="24"/>
          <w:lang w:val="en-US"/>
        </w:rPr>
        <w:t xml:space="preserve">Main target audience: </w:t>
      </w:r>
      <w:r w:rsidR="00B10AF3" w:rsidRPr="00785207">
        <w:rPr>
          <w:sz w:val="24"/>
          <w:szCs w:val="24"/>
        </w:rPr>
        <w:t>tertiary student</w:t>
      </w:r>
    </w:p>
    <w:p w14:paraId="78BA8AEF" w14:textId="1ACA1C34" w:rsidR="00B10AF3" w:rsidRPr="00A76ACE" w:rsidRDefault="006858D1" w:rsidP="0093671B">
      <w:pPr>
        <w:pStyle w:val="Heading3"/>
        <w:spacing w:before="0" w:line="240" w:lineRule="auto"/>
        <w:rPr>
          <w:sz w:val="26"/>
          <w:szCs w:val="26"/>
          <w:lang w:val="en-US"/>
        </w:rPr>
      </w:pPr>
      <w:r w:rsidRPr="00A76ACE">
        <w:rPr>
          <w:sz w:val="26"/>
          <w:szCs w:val="26"/>
          <w:lang w:val="en-US"/>
        </w:rPr>
        <w:t>A</w:t>
      </w:r>
      <w:r w:rsidR="00326890" w:rsidRPr="00A76ACE">
        <w:rPr>
          <w:sz w:val="26"/>
          <w:szCs w:val="26"/>
          <w:lang w:val="en-US"/>
        </w:rPr>
        <w:t>ustralian Network on Disability (A</w:t>
      </w:r>
      <w:r w:rsidRPr="00A76ACE">
        <w:rPr>
          <w:sz w:val="26"/>
          <w:szCs w:val="26"/>
          <w:lang w:val="en-US"/>
        </w:rPr>
        <w:t>ND</w:t>
      </w:r>
      <w:r w:rsidR="00326890" w:rsidRPr="00A76ACE">
        <w:rPr>
          <w:sz w:val="26"/>
          <w:szCs w:val="26"/>
          <w:lang w:val="en-US"/>
        </w:rPr>
        <w:t>)</w:t>
      </w:r>
    </w:p>
    <w:p w14:paraId="62DE9A43" w14:textId="597C2367" w:rsidR="00326890" w:rsidRPr="00785207" w:rsidRDefault="00E62D77" w:rsidP="0093671B">
      <w:pPr>
        <w:spacing w:after="0" w:line="240" w:lineRule="auto"/>
        <w:rPr>
          <w:sz w:val="24"/>
          <w:szCs w:val="24"/>
          <w:lang w:val="en-US"/>
        </w:rPr>
      </w:pPr>
      <w:hyperlink r:id="rId9" w:history="1">
        <w:r w:rsidR="00326890" w:rsidRPr="00785207">
          <w:rPr>
            <w:rStyle w:val="Hyperlink"/>
            <w:sz w:val="24"/>
            <w:szCs w:val="24"/>
            <w:lang w:val="en-US"/>
          </w:rPr>
          <w:t>https://and.org.au/</w:t>
        </w:r>
      </w:hyperlink>
    </w:p>
    <w:p w14:paraId="6F98A30C" w14:textId="7EF116EC" w:rsidR="00326890" w:rsidRPr="00785207" w:rsidRDefault="0093671B" w:rsidP="0093671B">
      <w:pPr>
        <w:spacing w:after="0" w:line="240" w:lineRule="auto"/>
        <w:rPr>
          <w:sz w:val="24"/>
          <w:szCs w:val="24"/>
          <w:lang w:val="en-US"/>
        </w:rPr>
      </w:pPr>
      <w:r w:rsidRPr="00785207">
        <w:rPr>
          <w:sz w:val="24"/>
          <w:szCs w:val="24"/>
          <w:lang w:val="en-US"/>
        </w:rPr>
        <w:t xml:space="preserve">The </w:t>
      </w:r>
      <w:r w:rsidRPr="00785207">
        <w:rPr>
          <w:b/>
          <w:bCs/>
          <w:sz w:val="24"/>
          <w:szCs w:val="24"/>
          <w:lang w:val="en-US"/>
        </w:rPr>
        <w:t>Australian Network on Disability</w:t>
      </w:r>
      <w:r w:rsidRPr="00785207">
        <w:rPr>
          <w:sz w:val="24"/>
          <w:szCs w:val="24"/>
          <w:lang w:val="en-US"/>
        </w:rPr>
        <w:t xml:space="preserve"> is a member-based organisation for employers seeking to improve the accessibility and inclusivity of their recruitment practices and increase the diversity of their workforce. They h</w:t>
      </w:r>
      <w:r w:rsidR="00326890" w:rsidRPr="00785207">
        <w:rPr>
          <w:sz w:val="24"/>
          <w:szCs w:val="24"/>
          <w:lang w:val="en-US"/>
        </w:rPr>
        <w:t>elp</w:t>
      </w:r>
      <w:r w:rsidRPr="00785207">
        <w:rPr>
          <w:sz w:val="24"/>
          <w:szCs w:val="24"/>
          <w:lang w:val="en-US"/>
        </w:rPr>
        <w:t xml:space="preserve"> members</w:t>
      </w:r>
      <w:r w:rsidR="00326890" w:rsidRPr="00785207">
        <w:rPr>
          <w:sz w:val="24"/>
          <w:szCs w:val="24"/>
          <w:lang w:val="en-US"/>
        </w:rPr>
        <w:t xml:space="preserve"> to employ people with </w:t>
      </w:r>
      <w:r w:rsidRPr="00785207">
        <w:rPr>
          <w:sz w:val="24"/>
          <w:szCs w:val="24"/>
          <w:lang w:val="en-US"/>
        </w:rPr>
        <w:t>disability and</w:t>
      </w:r>
      <w:r w:rsidR="00326890" w:rsidRPr="00785207">
        <w:rPr>
          <w:sz w:val="24"/>
          <w:szCs w:val="24"/>
          <w:lang w:val="en-US"/>
        </w:rPr>
        <w:t xml:space="preserve"> design their products and services for customers with disability. </w:t>
      </w:r>
      <w:r w:rsidRPr="00785207">
        <w:rPr>
          <w:sz w:val="24"/>
          <w:szCs w:val="24"/>
          <w:lang w:val="en-US"/>
        </w:rPr>
        <w:t xml:space="preserve">Additionally, offers mentoring and internship programs for students with </w:t>
      </w:r>
      <w:proofErr w:type="gramStart"/>
      <w:r w:rsidRPr="00785207">
        <w:rPr>
          <w:sz w:val="24"/>
          <w:szCs w:val="24"/>
          <w:lang w:val="en-US"/>
        </w:rPr>
        <w:t>disability</w:t>
      </w:r>
      <w:proofErr w:type="gramEnd"/>
      <w:r w:rsidRPr="00785207">
        <w:rPr>
          <w:sz w:val="24"/>
          <w:szCs w:val="24"/>
          <w:lang w:val="en-US"/>
        </w:rPr>
        <w:t>. Selection for these is merit-based.</w:t>
      </w:r>
    </w:p>
    <w:p w14:paraId="1E1D5D82" w14:textId="77777777" w:rsidR="00326890" w:rsidRDefault="00326890" w:rsidP="0093671B">
      <w:pPr>
        <w:pStyle w:val="Heading1"/>
        <w:spacing w:before="0" w:line="240" w:lineRule="auto"/>
        <w:rPr>
          <w:rFonts w:eastAsia="Times New Roman"/>
        </w:rPr>
      </w:pPr>
    </w:p>
    <w:p w14:paraId="7C344B39" w14:textId="61FF66F3" w:rsidR="00B10AF3" w:rsidRPr="00A76ACE" w:rsidRDefault="00F72626" w:rsidP="0093671B">
      <w:pPr>
        <w:pStyle w:val="Heading3"/>
        <w:spacing w:before="0" w:line="240" w:lineRule="auto"/>
        <w:rPr>
          <w:sz w:val="26"/>
          <w:szCs w:val="26"/>
          <w:lang w:val="en-US"/>
        </w:rPr>
      </w:pPr>
      <w:r w:rsidRPr="00A76ACE">
        <w:rPr>
          <w:sz w:val="26"/>
          <w:szCs w:val="26"/>
          <w:lang w:val="en-US"/>
        </w:rPr>
        <w:t>Career Development Learning Hub project and resources</w:t>
      </w:r>
    </w:p>
    <w:p w14:paraId="294BE400" w14:textId="62409B7D" w:rsidR="00326890" w:rsidRPr="00785207" w:rsidRDefault="00E62D77" w:rsidP="0093671B">
      <w:pPr>
        <w:spacing w:after="0" w:line="240" w:lineRule="auto"/>
        <w:rPr>
          <w:sz w:val="24"/>
          <w:szCs w:val="24"/>
        </w:rPr>
      </w:pPr>
      <w:hyperlink r:id="rId10" w:history="1">
        <w:r w:rsidR="00326890" w:rsidRPr="00785207">
          <w:rPr>
            <w:rStyle w:val="Hyperlink"/>
            <w:sz w:val="24"/>
            <w:szCs w:val="24"/>
          </w:rPr>
          <w:t>https://www.adcet.edu.au/resources/cdl-hub</w:t>
        </w:r>
      </w:hyperlink>
      <w:r w:rsidR="00326890" w:rsidRPr="00785207">
        <w:rPr>
          <w:sz w:val="24"/>
          <w:szCs w:val="24"/>
        </w:rPr>
        <w:t xml:space="preserve"> </w:t>
      </w:r>
    </w:p>
    <w:p w14:paraId="63CE57A6" w14:textId="395A9D97" w:rsidR="00326890" w:rsidRPr="00785207" w:rsidRDefault="00326890" w:rsidP="00785207">
      <w:pPr>
        <w:spacing w:after="120" w:line="240" w:lineRule="auto"/>
        <w:rPr>
          <w:sz w:val="24"/>
          <w:szCs w:val="24"/>
          <w:lang w:val="en-US"/>
        </w:rPr>
      </w:pPr>
      <w:r w:rsidRPr="00785207">
        <w:rPr>
          <w:sz w:val="24"/>
          <w:szCs w:val="24"/>
          <w:lang w:val="en-US"/>
        </w:rPr>
        <w:t xml:space="preserve">The </w:t>
      </w:r>
      <w:r w:rsidRPr="00785207">
        <w:rPr>
          <w:b/>
          <w:bCs/>
          <w:sz w:val="24"/>
          <w:szCs w:val="24"/>
          <w:lang w:val="en-US"/>
        </w:rPr>
        <w:t>CDL Hub</w:t>
      </w:r>
      <w:r w:rsidRPr="00785207">
        <w:rPr>
          <w:sz w:val="24"/>
          <w:szCs w:val="24"/>
          <w:lang w:val="en-US"/>
        </w:rPr>
        <w:t xml:space="preserve"> is a suite of evidence-based resources which have been developed to add value to and complement existing sites and sources of information. The co-designed resources are based upon best practice principles and strength-based approaches to career development for people living with disabilities, and were informed also by students, </w:t>
      </w:r>
      <w:proofErr w:type="gramStart"/>
      <w:r w:rsidRPr="00785207">
        <w:rPr>
          <w:sz w:val="24"/>
          <w:szCs w:val="24"/>
          <w:lang w:val="en-US"/>
        </w:rPr>
        <w:t>parents</w:t>
      </w:r>
      <w:proofErr w:type="gramEnd"/>
      <w:r w:rsidRPr="00785207">
        <w:rPr>
          <w:sz w:val="24"/>
          <w:szCs w:val="24"/>
          <w:lang w:val="en-US"/>
        </w:rPr>
        <w:t xml:space="preserve"> and key stakeholders.</w:t>
      </w:r>
    </w:p>
    <w:p w14:paraId="01D6602E" w14:textId="50F23C06" w:rsidR="00F72626" w:rsidRPr="00785207" w:rsidRDefault="00722B84" w:rsidP="00E62D77">
      <w:pPr>
        <w:spacing w:after="240" w:line="240" w:lineRule="auto"/>
        <w:rPr>
          <w:sz w:val="24"/>
          <w:szCs w:val="24"/>
        </w:rPr>
      </w:pPr>
      <w:r w:rsidRPr="00785207">
        <w:rPr>
          <w:sz w:val="24"/>
          <w:szCs w:val="24"/>
          <w:lang w:val="en-US"/>
        </w:rPr>
        <w:t xml:space="preserve">Main target audience: </w:t>
      </w:r>
      <w:r w:rsidR="00326890" w:rsidRPr="00785207">
        <w:rPr>
          <w:sz w:val="24"/>
          <w:szCs w:val="24"/>
        </w:rPr>
        <w:t xml:space="preserve">varied – The resources are all freely available and will be useful for anyone with an interest in CDL for students with disabilities, including school and tertiary students, family members, friends/supporters, career development practitioners, teaching staff, </w:t>
      </w:r>
      <w:proofErr w:type="gramStart"/>
      <w:r w:rsidR="00326890" w:rsidRPr="00785207">
        <w:rPr>
          <w:sz w:val="24"/>
          <w:szCs w:val="24"/>
        </w:rPr>
        <w:t>employers</w:t>
      </w:r>
      <w:proofErr w:type="gramEnd"/>
      <w:r w:rsidR="00326890" w:rsidRPr="00785207">
        <w:rPr>
          <w:sz w:val="24"/>
          <w:szCs w:val="24"/>
        </w:rPr>
        <w:t xml:space="preserve"> and industry.</w:t>
      </w:r>
    </w:p>
    <w:p w14:paraId="0844EA6F" w14:textId="67BFF914" w:rsidR="00722B84" w:rsidRPr="00A76ACE" w:rsidRDefault="003F3261" w:rsidP="0093671B">
      <w:pPr>
        <w:pStyle w:val="Heading3"/>
        <w:spacing w:before="0" w:line="240" w:lineRule="auto"/>
        <w:rPr>
          <w:sz w:val="26"/>
          <w:szCs w:val="26"/>
          <w:lang w:val="en-US"/>
        </w:rPr>
      </w:pPr>
      <w:r w:rsidRPr="00A76ACE">
        <w:rPr>
          <w:sz w:val="26"/>
          <w:szCs w:val="26"/>
          <w:lang w:val="en-US"/>
        </w:rPr>
        <w:t>National Careers Institute</w:t>
      </w:r>
      <w:r w:rsidR="0093671B" w:rsidRPr="00A76ACE">
        <w:rPr>
          <w:sz w:val="26"/>
          <w:szCs w:val="26"/>
          <w:lang w:val="en-US"/>
        </w:rPr>
        <w:t xml:space="preserve"> (NCI)</w:t>
      </w:r>
    </w:p>
    <w:p w14:paraId="2B030115" w14:textId="65FADF41" w:rsidR="00326890" w:rsidRPr="00785207" w:rsidRDefault="00E62D77" w:rsidP="0093671B">
      <w:pPr>
        <w:spacing w:after="0" w:line="240" w:lineRule="auto"/>
        <w:rPr>
          <w:sz w:val="24"/>
          <w:szCs w:val="24"/>
        </w:rPr>
      </w:pPr>
      <w:hyperlink r:id="rId11" w:history="1">
        <w:r w:rsidR="00326890" w:rsidRPr="00785207">
          <w:rPr>
            <w:rStyle w:val="Hyperlink"/>
            <w:sz w:val="24"/>
            <w:szCs w:val="24"/>
          </w:rPr>
          <w:t>https://www.dewr.gov.au/nci</w:t>
        </w:r>
      </w:hyperlink>
    </w:p>
    <w:p w14:paraId="09AAF2BF" w14:textId="154A1991" w:rsidR="00326890" w:rsidRPr="00785207" w:rsidRDefault="00326890" w:rsidP="00785207">
      <w:pPr>
        <w:spacing w:after="120" w:line="240" w:lineRule="auto"/>
        <w:rPr>
          <w:sz w:val="24"/>
          <w:szCs w:val="24"/>
        </w:rPr>
      </w:pPr>
      <w:r w:rsidRPr="00785207">
        <w:rPr>
          <w:sz w:val="24"/>
          <w:szCs w:val="24"/>
        </w:rPr>
        <w:t xml:space="preserve">The </w:t>
      </w:r>
      <w:r w:rsidRPr="00785207">
        <w:rPr>
          <w:b/>
          <w:bCs/>
          <w:sz w:val="24"/>
          <w:szCs w:val="24"/>
        </w:rPr>
        <w:t>NCI</w:t>
      </w:r>
      <w:r w:rsidRPr="00785207">
        <w:rPr>
          <w:sz w:val="24"/>
          <w:szCs w:val="24"/>
        </w:rPr>
        <w:t xml:space="preserve"> was established to ensure Australians have access to accurate careers information and resources, whatever their age or career stage.</w:t>
      </w:r>
      <w:r w:rsidR="00A76ACE" w:rsidRPr="00785207">
        <w:rPr>
          <w:sz w:val="24"/>
          <w:szCs w:val="24"/>
        </w:rPr>
        <w:t xml:space="preserve"> </w:t>
      </w:r>
      <w:r w:rsidRPr="00785207">
        <w:rPr>
          <w:sz w:val="24"/>
          <w:szCs w:val="24"/>
        </w:rPr>
        <w:t>The foundation of the NCI’s work is the world-leading labour market intelligence provided by Jobs and Skills Australia (JSA).</w:t>
      </w:r>
    </w:p>
    <w:p w14:paraId="6915BFEB" w14:textId="0532134D" w:rsidR="003F3261" w:rsidRPr="00785207" w:rsidRDefault="00722B84" w:rsidP="00785207">
      <w:pPr>
        <w:spacing w:after="240" w:line="240" w:lineRule="auto"/>
        <w:rPr>
          <w:rFonts w:eastAsia="Times New Roman"/>
          <w:sz w:val="24"/>
          <w:szCs w:val="24"/>
        </w:rPr>
      </w:pPr>
      <w:r w:rsidRPr="00785207">
        <w:rPr>
          <w:sz w:val="24"/>
          <w:szCs w:val="24"/>
          <w:lang w:val="en-US"/>
        </w:rPr>
        <w:t xml:space="preserve">Main target audience: </w:t>
      </w:r>
      <w:r w:rsidR="00B10AF3" w:rsidRPr="00785207">
        <w:rPr>
          <w:rFonts w:eastAsia="Times New Roman"/>
          <w:sz w:val="24"/>
          <w:szCs w:val="24"/>
        </w:rPr>
        <w:t xml:space="preserve"> </w:t>
      </w:r>
      <w:r w:rsidRPr="00785207">
        <w:rPr>
          <w:rFonts w:eastAsia="Times New Roman"/>
          <w:sz w:val="24"/>
          <w:szCs w:val="24"/>
        </w:rPr>
        <w:t>individuals, schools, VET</w:t>
      </w:r>
    </w:p>
    <w:p w14:paraId="01F0EE38" w14:textId="60F0E501" w:rsidR="00722B84" w:rsidRPr="00A76ACE" w:rsidRDefault="00722B84" w:rsidP="0093671B">
      <w:pPr>
        <w:pStyle w:val="Heading3"/>
        <w:spacing w:before="0" w:line="240" w:lineRule="auto"/>
        <w:rPr>
          <w:sz w:val="26"/>
          <w:szCs w:val="26"/>
          <w:lang w:val="en-US"/>
        </w:rPr>
      </w:pPr>
      <w:r w:rsidRPr="00A76ACE">
        <w:rPr>
          <w:sz w:val="26"/>
          <w:szCs w:val="26"/>
          <w:lang w:val="en-US"/>
        </w:rPr>
        <w:t>JobAccess</w:t>
      </w:r>
    </w:p>
    <w:p w14:paraId="2D8CBBA6" w14:textId="753D0B59" w:rsidR="00326890" w:rsidRDefault="00E62D77" w:rsidP="0093671B">
      <w:pPr>
        <w:spacing w:after="0" w:line="240" w:lineRule="auto"/>
      </w:pPr>
      <w:hyperlink r:id="rId12" w:history="1">
        <w:r w:rsidR="00326890" w:rsidRPr="00552AD3">
          <w:rPr>
            <w:rStyle w:val="Hyperlink"/>
          </w:rPr>
          <w:t>https://www.jobaccess.gov.au/home</w:t>
        </w:r>
      </w:hyperlink>
    </w:p>
    <w:p w14:paraId="27ACEC6E" w14:textId="47368C2B" w:rsidR="00326890" w:rsidRPr="00785207" w:rsidRDefault="00326890" w:rsidP="00785207">
      <w:pPr>
        <w:spacing w:after="120" w:line="240" w:lineRule="auto"/>
        <w:rPr>
          <w:sz w:val="24"/>
          <w:szCs w:val="24"/>
        </w:rPr>
      </w:pPr>
      <w:r w:rsidRPr="00785207">
        <w:rPr>
          <w:b/>
          <w:bCs/>
          <w:sz w:val="24"/>
          <w:szCs w:val="24"/>
        </w:rPr>
        <w:t>JobAccess</w:t>
      </w:r>
      <w:r w:rsidRPr="00785207">
        <w:rPr>
          <w:sz w:val="24"/>
          <w:szCs w:val="24"/>
        </w:rPr>
        <w:t xml:space="preserve"> is the national hub for workplace and employment information for people with disability, </w:t>
      </w:r>
      <w:proofErr w:type="gramStart"/>
      <w:r w:rsidRPr="00785207">
        <w:rPr>
          <w:sz w:val="24"/>
          <w:szCs w:val="24"/>
        </w:rPr>
        <w:t>employers</w:t>
      </w:r>
      <w:proofErr w:type="gramEnd"/>
      <w:r w:rsidRPr="00785207">
        <w:rPr>
          <w:sz w:val="24"/>
          <w:szCs w:val="24"/>
        </w:rPr>
        <w:t xml:space="preserve"> and service providers.</w:t>
      </w:r>
      <w:r w:rsidR="0093671B" w:rsidRPr="00785207">
        <w:rPr>
          <w:sz w:val="24"/>
          <w:szCs w:val="24"/>
        </w:rPr>
        <w:t xml:space="preserve"> JobAccess also manages the government funded Employee Assistance Fund, which can </w:t>
      </w:r>
      <w:proofErr w:type="gramStart"/>
      <w:r w:rsidR="0093671B" w:rsidRPr="00785207">
        <w:rPr>
          <w:sz w:val="24"/>
          <w:szCs w:val="24"/>
        </w:rPr>
        <w:t>provide assistance</w:t>
      </w:r>
      <w:proofErr w:type="gramEnd"/>
      <w:r w:rsidR="0093671B" w:rsidRPr="00785207">
        <w:rPr>
          <w:sz w:val="24"/>
          <w:szCs w:val="24"/>
        </w:rPr>
        <w:t xml:space="preserve"> with the costs associated with implementing workplace adjustments for employees with disability.</w:t>
      </w:r>
    </w:p>
    <w:p w14:paraId="0499DC3F" w14:textId="54C1BE43" w:rsidR="00722B84" w:rsidRPr="00785207" w:rsidRDefault="00722B84" w:rsidP="00785207">
      <w:pPr>
        <w:spacing w:after="240" w:line="240" w:lineRule="auto"/>
        <w:rPr>
          <w:rFonts w:eastAsia="Times New Roman"/>
          <w:sz w:val="24"/>
          <w:szCs w:val="24"/>
        </w:rPr>
      </w:pPr>
      <w:r w:rsidRPr="00785207">
        <w:rPr>
          <w:sz w:val="24"/>
          <w:szCs w:val="24"/>
          <w:lang w:val="en-US"/>
        </w:rPr>
        <w:t xml:space="preserve">Main target audience: </w:t>
      </w:r>
      <w:r w:rsidRPr="00785207">
        <w:rPr>
          <w:rFonts w:eastAsia="Times New Roman"/>
          <w:sz w:val="24"/>
          <w:szCs w:val="24"/>
        </w:rPr>
        <w:t xml:space="preserve"> employers, DES providers</w:t>
      </w:r>
    </w:p>
    <w:p w14:paraId="5A8F93E0" w14:textId="162ABA76" w:rsidR="00C36278" w:rsidRPr="00A76ACE" w:rsidRDefault="00C36278" w:rsidP="0093671B">
      <w:pPr>
        <w:pStyle w:val="Heading3"/>
        <w:spacing w:before="0" w:line="240" w:lineRule="auto"/>
        <w:rPr>
          <w:sz w:val="26"/>
          <w:szCs w:val="26"/>
          <w:lang w:val="en-US"/>
        </w:rPr>
      </w:pPr>
      <w:r w:rsidRPr="00A76ACE">
        <w:rPr>
          <w:sz w:val="26"/>
          <w:szCs w:val="26"/>
          <w:lang w:val="en-US"/>
        </w:rPr>
        <w:t xml:space="preserve">Australian </w:t>
      </w:r>
      <w:r w:rsidR="00D9174D" w:rsidRPr="00A76ACE">
        <w:rPr>
          <w:sz w:val="26"/>
          <w:szCs w:val="26"/>
          <w:lang w:val="en-US"/>
        </w:rPr>
        <w:t xml:space="preserve">Public Service Commission </w:t>
      </w:r>
      <w:r w:rsidR="0093671B" w:rsidRPr="00A76ACE">
        <w:rPr>
          <w:sz w:val="26"/>
          <w:szCs w:val="26"/>
          <w:lang w:val="en-US"/>
        </w:rPr>
        <w:t xml:space="preserve">(APS) </w:t>
      </w:r>
      <w:r w:rsidRPr="00A76ACE">
        <w:rPr>
          <w:sz w:val="26"/>
          <w:szCs w:val="26"/>
          <w:lang w:val="en-US"/>
        </w:rPr>
        <w:t>RecruitAbility Program</w:t>
      </w:r>
    </w:p>
    <w:p w14:paraId="300EC9B6" w14:textId="51F3414D" w:rsidR="00326890" w:rsidRPr="00785207" w:rsidRDefault="00E62D77" w:rsidP="0093671B">
      <w:pPr>
        <w:spacing w:after="0" w:line="240" w:lineRule="auto"/>
        <w:rPr>
          <w:sz w:val="24"/>
          <w:szCs w:val="24"/>
        </w:rPr>
      </w:pPr>
      <w:hyperlink r:id="rId13" w:history="1">
        <w:r w:rsidR="00326890" w:rsidRPr="00785207">
          <w:rPr>
            <w:rStyle w:val="Hyperlink"/>
            <w:sz w:val="24"/>
            <w:szCs w:val="24"/>
          </w:rPr>
          <w:t>https://www.apsc.gov.au/working-aps/diversity-and-inclusion/disability/recruitability</w:t>
        </w:r>
      </w:hyperlink>
    </w:p>
    <w:p w14:paraId="6165CEB1" w14:textId="4F72A637" w:rsidR="0093671B" w:rsidRPr="00785207" w:rsidRDefault="00326890" w:rsidP="00785207">
      <w:pPr>
        <w:spacing w:after="120" w:line="240" w:lineRule="auto"/>
        <w:rPr>
          <w:sz w:val="24"/>
          <w:szCs w:val="24"/>
        </w:rPr>
      </w:pPr>
      <w:r w:rsidRPr="00785207">
        <w:rPr>
          <w:b/>
          <w:bCs/>
          <w:sz w:val="24"/>
          <w:szCs w:val="24"/>
        </w:rPr>
        <w:t xml:space="preserve">RecruitAbility </w:t>
      </w:r>
      <w:r w:rsidRPr="00785207">
        <w:rPr>
          <w:sz w:val="24"/>
          <w:szCs w:val="24"/>
        </w:rPr>
        <w:t xml:space="preserve">is a scheme which aims to attract and develop applicants with disability </w:t>
      </w:r>
      <w:proofErr w:type="gramStart"/>
      <w:r w:rsidRPr="00785207">
        <w:rPr>
          <w:sz w:val="24"/>
          <w:szCs w:val="24"/>
        </w:rPr>
        <w:t>and also</w:t>
      </w:r>
      <w:proofErr w:type="gramEnd"/>
      <w:r w:rsidRPr="00785207">
        <w:rPr>
          <w:sz w:val="24"/>
          <w:szCs w:val="24"/>
        </w:rPr>
        <w:t xml:space="preserve"> facilitate cultural changes in selection panels and agency recruitment.</w:t>
      </w:r>
      <w:r w:rsidR="00A76ACE" w:rsidRPr="00785207">
        <w:rPr>
          <w:sz w:val="24"/>
          <w:szCs w:val="24"/>
        </w:rPr>
        <w:t xml:space="preserve"> </w:t>
      </w:r>
      <w:proofErr w:type="spellStart"/>
      <w:r w:rsidRPr="00785207">
        <w:rPr>
          <w:sz w:val="24"/>
          <w:szCs w:val="24"/>
        </w:rPr>
        <w:t>RecruitAbility</w:t>
      </w:r>
      <w:proofErr w:type="spellEnd"/>
      <w:r w:rsidRPr="00785207">
        <w:rPr>
          <w:sz w:val="24"/>
          <w:szCs w:val="24"/>
        </w:rPr>
        <w:t xml:space="preserve"> can be applied to all vacancies across the APS, including Senior Executive Service roles.</w:t>
      </w:r>
    </w:p>
    <w:p w14:paraId="1BB7BB75" w14:textId="4471EB89" w:rsidR="00C36278" w:rsidRPr="00785207" w:rsidRDefault="00C36278" w:rsidP="00785207">
      <w:pPr>
        <w:spacing w:after="240" w:line="240" w:lineRule="auto"/>
        <w:rPr>
          <w:rFonts w:eastAsia="Times New Roman"/>
          <w:sz w:val="24"/>
          <w:szCs w:val="24"/>
        </w:rPr>
      </w:pPr>
      <w:r w:rsidRPr="00785207">
        <w:rPr>
          <w:sz w:val="24"/>
          <w:szCs w:val="24"/>
          <w:lang w:val="en-US"/>
        </w:rPr>
        <w:t xml:space="preserve">Main target audience: </w:t>
      </w:r>
      <w:r w:rsidRPr="00785207">
        <w:rPr>
          <w:rFonts w:eastAsia="Times New Roman"/>
          <w:sz w:val="24"/>
          <w:szCs w:val="24"/>
        </w:rPr>
        <w:t xml:space="preserve"> </w:t>
      </w:r>
      <w:r w:rsidR="00D9174D" w:rsidRPr="00785207">
        <w:rPr>
          <w:rFonts w:eastAsia="Times New Roman"/>
          <w:sz w:val="24"/>
          <w:szCs w:val="24"/>
        </w:rPr>
        <w:t>graduates, individuals, hiring managers Australian Government</w:t>
      </w:r>
    </w:p>
    <w:p w14:paraId="1E54AEFF" w14:textId="4CFDD82E" w:rsidR="002319A2" w:rsidRPr="00A76ACE" w:rsidRDefault="002319A2" w:rsidP="0093671B">
      <w:pPr>
        <w:pStyle w:val="Heading3"/>
        <w:spacing w:before="0" w:line="240" w:lineRule="auto"/>
        <w:rPr>
          <w:sz w:val="26"/>
          <w:szCs w:val="26"/>
          <w:lang w:val="en-US"/>
        </w:rPr>
      </w:pPr>
      <w:r w:rsidRPr="00A76ACE">
        <w:rPr>
          <w:sz w:val="26"/>
          <w:szCs w:val="26"/>
          <w:lang w:val="en-US"/>
        </w:rPr>
        <w:t xml:space="preserve">AHRC’s </w:t>
      </w:r>
      <w:proofErr w:type="spellStart"/>
      <w:r w:rsidRPr="00A76ACE">
        <w:rPr>
          <w:sz w:val="26"/>
          <w:szCs w:val="26"/>
          <w:lang w:val="en-US"/>
        </w:rPr>
        <w:t>IncludeAbility</w:t>
      </w:r>
      <w:proofErr w:type="spellEnd"/>
    </w:p>
    <w:p w14:paraId="0784863B" w14:textId="26CF9FBC" w:rsidR="00326890" w:rsidRPr="00785207" w:rsidRDefault="00E62D77" w:rsidP="0093671B">
      <w:pPr>
        <w:spacing w:after="0" w:line="240" w:lineRule="auto"/>
        <w:rPr>
          <w:sz w:val="24"/>
          <w:szCs w:val="24"/>
        </w:rPr>
      </w:pPr>
      <w:hyperlink r:id="rId14" w:history="1">
        <w:r w:rsidR="00326890" w:rsidRPr="00785207">
          <w:rPr>
            <w:rStyle w:val="Hyperlink"/>
            <w:sz w:val="24"/>
            <w:szCs w:val="24"/>
          </w:rPr>
          <w:t>https://includeability.gov.au/</w:t>
        </w:r>
      </w:hyperlink>
    </w:p>
    <w:p w14:paraId="28E308D1" w14:textId="77777777" w:rsidR="00326890" w:rsidRPr="00785207" w:rsidRDefault="00326890" w:rsidP="00785207">
      <w:pPr>
        <w:spacing w:after="120" w:line="240" w:lineRule="auto"/>
        <w:rPr>
          <w:sz w:val="24"/>
          <w:szCs w:val="24"/>
        </w:rPr>
      </w:pPr>
      <w:r w:rsidRPr="00785207">
        <w:rPr>
          <w:b/>
          <w:bCs/>
          <w:sz w:val="24"/>
          <w:szCs w:val="24"/>
        </w:rPr>
        <w:t>IncludeAbility</w:t>
      </w:r>
      <w:r w:rsidRPr="00785207">
        <w:rPr>
          <w:sz w:val="24"/>
          <w:szCs w:val="24"/>
        </w:rPr>
        <w:t xml:space="preserve"> is a disability employment project that aims to improve employment opportunities for people with disability. IncludeAbility aims to address the participation gap in employment for people with disability by building greater capacity among employers to address employment barriers for people with disability. </w:t>
      </w:r>
    </w:p>
    <w:p w14:paraId="79ECBD47" w14:textId="28D614E4" w:rsidR="002319A2" w:rsidRPr="00785207" w:rsidRDefault="002319A2" w:rsidP="00785207">
      <w:pPr>
        <w:spacing w:after="240" w:line="240" w:lineRule="auto"/>
        <w:rPr>
          <w:sz w:val="24"/>
          <w:szCs w:val="24"/>
        </w:rPr>
      </w:pPr>
      <w:r w:rsidRPr="00785207">
        <w:rPr>
          <w:sz w:val="24"/>
          <w:szCs w:val="24"/>
        </w:rPr>
        <w:t>Main target audience: individuals, employers</w:t>
      </w:r>
    </w:p>
    <w:p w14:paraId="69FD0248" w14:textId="617CA596" w:rsidR="00023EE9" w:rsidRPr="00A76ACE" w:rsidRDefault="00023EE9" w:rsidP="0093671B">
      <w:pPr>
        <w:pStyle w:val="Heading3"/>
        <w:spacing w:before="0" w:line="240" w:lineRule="auto"/>
        <w:rPr>
          <w:sz w:val="26"/>
          <w:szCs w:val="26"/>
          <w:lang w:val="en-US"/>
        </w:rPr>
      </w:pPr>
      <w:r w:rsidRPr="00A76ACE">
        <w:rPr>
          <w:sz w:val="26"/>
          <w:szCs w:val="26"/>
          <w:lang w:val="en-US"/>
        </w:rPr>
        <w:t>ACEN</w:t>
      </w:r>
    </w:p>
    <w:p w14:paraId="73608D1E" w14:textId="6E7431CB" w:rsidR="00326890" w:rsidRPr="00785207" w:rsidRDefault="00E62D77" w:rsidP="0093671B">
      <w:pPr>
        <w:spacing w:after="0" w:line="240" w:lineRule="auto"/>
        <w:rPr>
          <w:sz w:val="24"/>
          <w:szCs w:val="24"/>
        </w:rPr>
      </w:pPr>
      <w:hyperlink r:id="rId15" w:history="1">
        <w:r w:rsidR="00326890" w:rsidRPr="00785207">
          <w:rPr>
            <w:rStyle w:val="Hyperlink"/>
            <w:sz w:val="24"/>
            <w:szCs w:val="24"/>
          </w:rPr>
          <w:t>https://acen.edu.au/</w:t>
        </w:r>
      </w:hyperlink>
    </w:p>
    <w:p w14:paraId="2D6D4FD4" w14:textId="3B1B7846" w:rsidR="00326890" w:rsidRPr="00785207" w:rsidRDefault="00326890" w:rsidP="00785207">
      <w:pPr>
        <w:pStyle w:val="xmsolistparagraph"/>
        <w:spacing w:after="120"/>
        <w:ind w:left="0"/>
        <w:rPr>
          <w:sz w:val="24"/>
          <w:szCs w:val="24"/>
        </w:rPr>
      </w:pPr>
      <w:r w:rsidRPr="00785207">
        <w:rPr>
          <w:sz w:val="24"/>
          <w:szCs w:val="24"/>
        </w:rPr>
        <w:t xml:space="preserve">The Australian Collaborative Education Network </w:t>
      </w:r>
      <w:r w:rsidRPr="00785207">
        <w:rPr>
          <w:b/>
          <w:bCs/>
          <w:sz w:val="24"/>
          <w:szCs w:val="24"/>
        </w:rPr>
        <w:t>(ACEN)</w:t>
      </w:r>
      <w:r w:rsidRPr="00785207">
        <w:rPr>
          <w:sz w:val="24"/>
          <w:szCs w:val="24"/>
        </w:rPr>
        <w:t xml:space="preserve"> is the national professional association for work-integrated learning (WIL) and collaborative education. ACEN advances collaborative, quality and inclusive WIL through scholarship, partnerships, and professional learning.</w:t>
      </w:r>
    </w:p>
    <w:p w14:paraId="2EA6B51A" w14:textId="53D764B9" w:rsidR="00023EE9" w:rsidRPr="00785207" w:rsidRDefault="00023EE9" w:rsidP="0093671B">
      <w:pPr>
        <w:pStyle w:val="xmsolistparagraph"/>
        <w:ind w:left="0"/>
        <w:rPr>
          <w:sz w:val="24"/>
          <w:szCs w:val="24"/>
        </w:rPr>
      </w:pPr>
      <w:r w:rsidRPr="00785207">
        <w:rPr>
          <w:sz w:val="24"/>
          <w:szCs w:val="24"/>
        </w:rPr>
        <w:t>Main Target audience:</w:t>
      </w:r>
      <w:r w:rsidR="00326890" w:rsidRPr="00785207">
        <w:rPr>
          <w:sz w:val="24"/>
          <w:szCs w:val="24"/>
        </w:rPr>
        <w:t xml:space="preserve"> Higher education and vocational education work-integrated learning stakeholders</w:t>
      </w:r>
    </w:p>
    <w:p w14:paraId="490701CE" w14:textId="77777777" w:rsidR="00023EE9" w:rsidRDefault="00023EE9" w:rsidP="0093671B">
      <w:pPr>
        <w:pStyle w:val="xmsolistparagraph"/>
        <w:ind w:left="0"/>
      </w:pPr>
    </w:p>
    <w:sectPr w:rsidR="00023EE9" w:rsidSect="004B4B9F">
      <w:pgSz w:w="11906" w:h="16838"/>
      <w:pgMar w:top="851" w:right="85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1BDA"/>
    <w:multiLevelType w:val="multilevel"/>
    <w:tmpl w:val="5046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F2F39"/>
    <w:multiLevelType w:val="hybridMultilevel"/>
    <w:tmpl w:val="BAB2E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B94777"/>
    <w:multiLevelType w:val="hybridMultilevel"/>
    <w:tmpl w:val="B8E82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7E4D6A"/>
    <w:multiLevelType w:val="hybridMultilevel"/>
    <w:tmpl w:val="553E80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B83CC7"/>
    <w:multiLevelType w:val="hybridMultilevel"/>
    <w:tmpl w:val="9D58E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0000AF"/>
    <w:multiLevelType w:val="hybridMultilevel"/>
    <w:tmpl w:val="B8923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8051E7"/>
    <w:multiLevelType w:val="hybridMultilevel"/>
    <w:tmpl w:val="90348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527EBB"/>
    <w:multiLevelType w:val="hybridMultilevel"/>
    <w:tmpl w:val="3A0E9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9C205F"/>
    <w:multiLevelType w:val="hybridMultilevel"/>
    <w:tmpl w:val="3550C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795512"/>
    <w:multiLevelType w:val="hybridMultilevel"/>
    <w:tmpl w:val="C5EC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B13DC"/>
    <w:multiLevelType w:val="multilevel"/>
    <w:tmpl w:val="30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47498F"/>
    <w:multiLevelType w:val="hybridMultilevel"/>
    <w:tmpl w:val="67E6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F10EE6"/>
    <w:multiLevelType w:val="hybridMultilevel"/>
    <w:tmpl w:val="96641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693D5F"/>
    <w:multiLevelType w:val="hybridMultilevel"/>
    <w:tmpl w:val="078E0C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A03088"/>
    <w:multiLevelType w:val="multilevel"/>
    <w:tmpl w:val="2E7805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340669457">
    <w:abstractNumId w:val="14"/>
  </w:num>
  <w:num w:numId="2" w16cid:durableId="1797718504">
    <w:abstractNumId w:val="0"/>
  </w:num>
  <w:num w:numId="3" w16cid:durableId="1543832093">
    <w:abstractNumId w:val="10"/>
  </w:num>
  <w:num w:numId="4" w16cid:durableId="1483084888">
    <w:abstractNumId w:val="7"/>
  </w:num>
  <w:num w:numId="5" w16cid:durableId="524830194">
    <w:abstractNumId w:val="3"/>
  </w:num>
  <w:num w:numId="6" w16cid:durableId="956062030">
    <w:abstractNumId w:val="8"/>
  </w:num>
  <w:num w:numId="7" w16cid:durableId="1055199708">
    <w:abstractNumId w:val="11"/>
  </w:num>
  <w:num w:numId="8" w16cid:durableId="34888440">
    <w:abstractNumId w:val="2"/>
  </w:num>
  <w:num w:numId="9" w16cid:durableId="1373771754">
    <w:abstractNumId w:val="4"/>
  </w:num>
  <w:num w:numId="10" w16cid:durableId="1056663071">
    <w:abstractNumId w:val="13"/>
  </w:num>
  <w:num w:numId="11" w16cid:durableId="1143351889">
    <w:abstractNumId w:val="1"/>
  </w:num>
  <w:num w:numId="12" w16cid:durableId="1844122040">
    <w:abstractNumId w:val="12"/>
  </w:num>
  <w:num w:numId="13" w16cid:durableId="771363675">
    <w:abstractNumId w:val="6"/>
  </w:num>
  <w:num w:numId="14" w16cid:durableId="1274941499">
    <w:abstractNumId w:val="9"/>
  </w:num>
  <w:num w:numId="15" w16cid:durableId="1295910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E"/>
    <w:rsid w:val="00023EE9"/>
    <w:rsid w:val="0009642A"/>
    <w:rsid w:val="0012055B"/>
    <w:rsid w:val="001D150B"/>
    <w:rsid w:val="001E2003"/>
    <w:rsid w:val="00221322"/>
    <w:rsid w:val="002319A2"/>
    <w:rsid w:val="0024545C"/>
    <w:rsid w:val="002F296F"/>
    <w:rsid w:val="00326890"/>
    <w:rsid w:val="003F3261"/>
    <w:rsid w:val="004B4B9F"/>
    <w:rsid w:val="004B75E0"/>
    <w:rsid w:val="00680B3E"/>
    <w:rsid w:val="006858D1"/>
    <w:rsid w:val="006B471A"/>
    <w:rsid w:val="00722B84"/>
    <w:rsid w:val="00755F9E"/>
    <w:rsid w:val="00785207"/>
    <w:rsid w:val="0093671B"/>
    <w:rsid w:val="00A76ACE"/>
    <w:rsid w:val="00B10AF3"/>
    <w:rsid w:val="00B532BD"/>
    <w:rsid w:val="00BA360F"/>
    <w:rsid w:val="00BF6A8C"/>
    <w:rsid w:val="00C36278"/>
    <w:rsid w:val="00CD0140"/>
    <w:rsid w:val="00D2795E"/>
    <w:rsid w:val="00D301CD"/>
    <w:rsid w:val="00D9174D"/>
    <w:rsid w:val="00DF6048"/>
    <w:rsid w:val="00E62D77"/>
    <w:rsid w:val="00EE1150"/>
    <w:rsid w:val="00F64256"/>
    <w:rsid w:val="00F72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F8CB"/>
  <w15:chartTrackingRefBased/>
  <w15:docId w15:val="{E1C3EA62-37B2-4563-9DD7-6472DEB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78"/>
  </w:style>
  <w:style w:type="paragraph" w:styleId="Heading1">
    <w:name w:val="heading 1"/>
    <w:basedOn w:val="Normal"/>
    <w:next w:val="Normal"/>
    <w:link w:val="Heading1Char"/>
    <w:uiPriority w:val="9"/>
    <w:qFormat/>
    <w:rsid w:val="00096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8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09642A"/>
    <w:pPr>
      <w:spacing w:line="240" w:lineRule="auto"/>
    </w:pPr>
    <w:rPr>
      <w:rFonts w:ascii="Arial" w:hAnsi="Arial"/>
      <w:b/>
      <w:bCs/>
      <w:color w:val="000000" w:themeColor="text1"/>
    </w:rPr>
  </w:style>
  <w:style w:type="character" w:customStyle="1" w:styleId="Style1Char">
    <w:name w:val="Style1 Char"/>
    <w:basedOn w:val="Heading1Char"/>
    <w:link w:val="Style1"/>
    <w:rsid w:val="0009642A"/>
    <w:rPr>
      <w:rFonts w:ascii="Arial" w:eastAsiaTheme="majorEastAsia" w:hAnsi="Arial" w:cstheme="majorBidi"/>
      <w:b/>
      <w:bCs/>
      <w:color w:val="000000" w:themeColor="text1"/>
      <w:sz w:val="32"/>
      <w:szCs w:val="32"/>
    </w:rPr>
  </w:style>
  <w:style w:type="character" w:customStyle="1" w:styleId="Heading1Char">
    <w:name w:val="Heading 1 Char"/>
    <w:basedOn w:val="DefaultParagraphFont"/>
    <w:link w:val="Heading1"/>
    <w:uiPriority w:val="9"/>
    <w:rsid w:val="0009642A"/>
    <w:rPr>
      <w:rFonts w:asciiTheme="majorHAnsi" w:eastAsiaTheme="majorEastAsia" w:hAnsiTheme="majorHAnsi" w:cstheme="majorBidi"/>
      <w:color w:val="2F5496" w:themeColor="accent1" w:themeShade="BF"/>
      <w:sz w:val="32"/>
      <w:szCs w:val="32"/>
    </w:rPr>
  </w:style>
  <w:style w:type="paragraph" w:customStyle="1" w:styleId="Debbie">
    <w:name w:val="Debbie"/>
    <w:basedOn w:val="Normal"/>
    <w:link w:val="DebbieChar"/>
    <w:qFormat/>
    <w:rsid w:val="00221322"/>
    <w:pPr>
      <w:spacing w:after="0" w:line="240" w:lineRule="auto"/>
    </w:pPr>
    <w:rPr>
      <w:rFonts w:ascii="Arial" w:hAnsi="Arial"/>
    </w:rPr>
  </w:style>
  <w:style w:type="character" w:customStyle="1" w:styleId="DebbieChar">
    <w:name w:val="Debbie Char"/>
    <w:basedOn w:val="DefaultParagraphFont"/>
    <w:link w:val="Debbie"/>
    <w:rsid w:val="00221322"/>
    <w:rPr>
      <w:rFonts w:ascii="Arial" w:hAnsi="Arial"/>
    </w:rPr>
  </w:style>
  <w:style w:type="paragraph" w:customStyle="1" w:styleId="xmsolistparagraph">
    <w:name w:val="x_msolistparagraph"/>
    <w:basedOn w:val="Normal"/>
    <w:rsid w:val="00755F9E"/>
    <w:pPr>
      <w:spacing w:after="0" w:line="240" w:lineRule="auto"/>
      <w:ind w:left="720"/>
    </w:pPr>
    <w:rPr>
      <w:rFonts w:ascii="Calibri" w:hAnsi="Calibri" w:cs="Calibri"/>
      <w:kern w:val="0"/>
      <w:sz w:val="20"/>
      <w:szCs w:val="20"/>
      <w:lang w:eastAsia="en-AU"/>
      <w14:ligatures w14:val="none"/>
    </w:rPr>
  </w:style>
  <w:style w:type="paragraph" w:styleId="ListParagraph">
    <w:name w:val="List Paragraph"/>
    <w:basedOn w:val="Normal"/>
    <w:uiPriority w:val="34"/>
    <w:qFormat/>
    <w:rsid w:val="00755F9E"/>
    <w:pPr>
      <w:ind w:left="720"/>
      <w:contextualSpacing/>
    </w:pPr>
  </w:style>
  <w:style w:type="character" w:customStyle="1" w:styleId="Heading2Char">
    <w:name w:val="Heading 2 Char"/>
    <w:basedOn w:val="DefaultParagraphFont"/>
    <w:link w:val="Heading2"/>
    <w:uiPriority w:val="9"/>
    <w:rsid w:val="00755F9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36278"/>
    <w:rPr>
      <w:color w:val="0000FF"/>
      <w:u w:val="single"/>
    </w:rPr>
  </w:style>
  <w:style w:type="character" w:styleId="FollowedHyperlink">
    <w:name w:val="FollowedHyperlink"/>
    <w:basedOn w:val="DefaultParagraphFont"/>
    <w:uiPriority w:val="99"/>
    <w:semiHidden/>
    <w:unhideWhenUsed/>
    <w:rsid w:val="00C36278"/>
    <w:rPr>
      <w:color w:val="954F72" w:themeColor="followedHyperlink"/>
      <w:u w:val="single"/>
    </w:rPr>
  </w:style>
  <w:style w:type="character" w:styleId="Emphasis">
    <w:name w:val="Emphasis"/>
    <w:basedOn w:val="DefaultParagraphFont"/>
    <w:uiPriority w:val="20"/>
    <w:qFormat/>
    <w:rsid w:val="00D9174D"/>
    <w:rPr>
      <w:i/>
      <w:iCs/>
    </w:rPr>
  </w:style>
  <w:style w:type="character" w:customStyle="1" w:styleId="sr-only">
    <w:name w:val="sr-only"/>
    <w:basedOn w:val="DefaultParagraphFont"/>
    <w:rsid w:val="00D9174D"/>
  </w:style>
  <w:style w:type="paragraph" w:styleId="NormalWeb">
    <w:name w:val="Normal (Web)"/>
    <w:basedOn w:val="Normal"/>
    <w:uiPriority w:val="99"/>
    <w:unhideWhenUsed/>
    <w:rsid w:val="00D9174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3Char">
    <w:name w:val="Heading 3 Char"/>
    <w:basedOn w:val="DefaultParagraphFont"/>
    <w:link w:val="Heading3"/>
    <w:uiPriority w:val="9"/>
    <w:rsid w:val="0032689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32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24676">
      <w:bodyDiv w:val="1"/>
      <w:marLeft w:val="0"/>
      <w:marRight w:val="0"/>
      <w:marTop w:val="0"/>
      <w:marBottom w:val="0"/>
      <w:divBdr>
        <w:top w:val="none" w:sz="0" w:space="0" w:color="auto"/>
        <w:left w:val="none" w:sz="0" w:space="0" w:color="auto"/>
        <w:bottom w:val="none" w:sz="0" w:space="0" w:color="auto"/>
        <w:right w:val="none" w:sz="0" w:space="0" w:color="auto"/>
      </w:divBdr>
    </w:div>
    <w:div w:id="798690765">
      <w:bodyDiv w:val="1"/>
      <w:marLeft w:val="0"/>
      <w:marRight w:val="0"/>
      <w:marTop w:val="0"/>
      <w:marBottom w:val="0"/>
      <w:divBdr>
        <w:top w:val="none" w:sz="0" w:space="0" w:color="auto"/>
        <w:left w:val="none" w:sz="0" w:space="0" w:color="auto"/>
        <w:bottom w:val="none" w:sz="0" w:space="0" w:color="auto"/>
        <w:right w:val="none" w:sz="0" w:space="0" w:color="auto"/>
      </w:divBdr>
    </w:div>
    <w:div w:id="832838113">
      <w:bodyDiv w:val="1"/>
      <w:marLeft w:val="0"/>
      <w:marRight w:val="0"/>
      <w:marTop w:val="0"/>
      <w:marBottom w:val="0"/>
      <w:divBdr>
        <w:top w:val="none" w:sz="0" w:space="0" w:color="auto"/>
        <w:left w:val="none" w:sz="0" w:space="0" w:color="auto"/>
        <w:bottom w:val="none" w:sz="0" w:space="0" w:color="auto"/>
        <w:right w:val="none" w:sz="0" w:space="0" w:color="auto"/>
      </w:divBdr>
    </w:div>
    <w:div w:id="943267394">
      <w:bodyDiv w:val="1"/>
      <w:marLeft w:val="0"/>
      <w:marRight w:val="0"/>
      <w:marTop w:val="0"/>
      <w:marBottom w:val="0"/>
      <w:divBdr>
        <w:top w:val="none" w:sz="0" w:space="0" w:color="auto"/>
        <w:left w:val="none" w:sz="0" w:space="0" w:color="auto"/>
        <w:bottom w:val="none" w:sz="0" w:space="0" w:color="auto"/>
        <w:right w:val="none" w:sz="0" w:space="0" w:color="auto"/>
      </w:divBdr>
    </w:div>
    <w:div w:id="1263026325">
      <w:bodyDiv w:val="1"/>
      <w:marLeft w:val="0"/>
      <w:marRight w:val="0"/>
      <w:marTop w:val="0"/>
      <w:marBottom w:val="0"/>
      <w:divBdr>
        <w:top w:val="none" w:sz="0" w:space="0" w:color="auto"/>
        <w:left w:val="none" w:sz="0" w:space="0" w:color="auto"/>
        <w:bottom w:val="none" w:sz="0" w:space="0" w:color="auto"/>
        <w:right w:val="none" w:sz="0" w:space="0" w:color="auto"/>
      </w:divBdr>
    </w:div>
    <w:div w:id="1718042285">
      <w:bodyDiv w:val="1"/>
      <w:marLeft w:val="0"/>
      <w:marRight w:val="0"/>
      <w:marTop w:val="0"/>
      <w:marBottom w:val="0"/>
      <w:divBdr>
        <w:top w:val="none" w:sz="0" w:space="0" w:color="auto"/>
        <w:left w:val="none" w:sz="0" w:space="0" w:color="auto"/>
        <w:bottom w:val="none" w:sz="0" w:space="0" w:color="auto"/>
        <w:right w:val="none" w:sz="0" w:space="0" w:color="auto"/>
      </w:divBdr>
    </w:div>
    <w:div w:id="18846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eemployment.com.au/gradwise-graduate-jobs/" TargetMode="External"/><Relationship Id="rId13" Type="http://schemas.openxmlformats.org/officeDocument/2006/relationships/hyperlink" Target="https://www.apsc.gov.au/working-aps/diversity-and-inclusion/disability/recruitability" TargetMode="External"/><Relationship Id="rId3" Type="http://schemas.openxmlformats.org/officeDocument/2006/relationships/settings" Target="settings.xml"/><Relationship Id="rId7" Type="http://schemas.openxmlformats.org/officeDocument/2006/relationships/hyperlink" Target="https://www.adcet.edu.au/resources/usep-and-tsep" TargetMode="External"/><Relationship Id="rId12" Type="http://schemas.openxmlformats.org/officeDocument/2006/relationships/hyperlink" Target="https://www.jobaccess.gov.au/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age.com.au/" TargetMode="External"/><Relationship Id="rId11" Type="http://schemas.openxmlformats.org/officeDocument/2006/relationships/hyperlink" Target="https://www.dewr.gov.au/nci" TargetMode="External"/><Relationship Id="rId5" Type="http://schemas.openxmlformats.org/officeDocument/2006/relationships/image" Target="media/image1.jpeg"/><Relationship Id="rId15" Type="http://schemas.openxmlformats.org/officeDocument/2006/relationships/hyperlink" Target="https://acen.edu.au/" TargetMode="External"/><Relationship Id="rId10" Type="http://schemas.openxmlformats.org/officeDocument/2006/relationships/hyperlink" Target="https://www.adcet.edu.au/resources/cdl-hub" TargetMode="External"/><Relationship Id="rId4" Type="http://schemas.openxmlformats.org/officeDocument/2006/relationships/webSettings" Target="webSettings.xml"/><Relationship Id="rId9" Type="http://schemas.openxmlformats.org/officeDocument/2006/relationships/hyperlink" Target="https://and.org.au/" TargetMode="External"/><Relationship Id="rId14" Type="http://schemas.openxmlformats.org/officeDocument/2006/relationships/hyperlink" Target="https://includeabili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891</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2</cp:revision>
  <dcterms:created xsi:type="dcterms:W3CDTF">2023-08-30T03:31:00Z</dcterms:created>
  <dcterms:modified xsi:type="dcterms:W3CDTF">2023-08-30T03:31:00Z</dcterms:modified>
</cp:coreProperties>
</file>