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0A482" w14:textId="77777777" w:rsidR="0000630B" w:rsidRDefault="0000630B" w:rsidP="00B611C5">
      <w:pPr>
        <w:rPr>
          <w:shd w:val="clear" w:color="auto" w:fill="FFFFFF"/>
        </w:rPr>
      </w:pPr>
      <w:r>
        <w:rPr>
          <w:shd w:val="clear" w:color="auto" w:fill="FFFFFF"/>
        </w:rPr>
        <w:t>House Standing Committee on Employment, Education and Training</w:t>
      </w:r>
    </w:p>
    <w:p w14:paraId="4C9F9BFB" w14:textId="3055E75F" w:rsidR="78D53F4C" w:rsidRDefault="0064282A" w:rsidP="00B611C5">
      <w:hyperlink r:id="rId11" w:history="1">
        <w:r w:rsidR="00FC44EF">
          <w:rPr>
            <w:rStyle w:val="Hyperlink"/>
            <w:rFonts w:ascii="Open Sans" w:hAnsi="Open Sans"/>
            <w:color w:val="1F538D"/>
            <w:sz w:val="23"/>
            <w:szCs w:val="23"/>
            <w:shd w:val="clear" w:color="auto" w:fill="FFFFFF"/>
          </w:rPr>
          <w:t>ee.reps@aph.gov.au</w:t>
        </w:r>
      </w:hyperlink>
    </w:p>
    <w:p w14:paraId="77E79D5F" w14:textId="77777777" w:rsidR="00FE5AA5" w:rsidRDefault="00FE5AA5" w:rsidP="00B611C5"/>
    <w:p w14:paraId="176113BE" w14:textId="77777777" w:rsidR="0030543D" w:rsidRDefault="0030543D" w:rsidP="00B611C5"/>
    <w:p w14:paraId="5F8B6E9A" w14:textId="440B9613" w:rsidR="00FE5AA5" w:rsidRDefault="000A7058" w:rsidP="00B611C5">
      <w:r>
        <w:t>1 March 2023</w:t>
      </w:r>
    </w:p>
    <w:p w14:paraId="31B52E13" w14:textId="77777777" w:rsidR="002711F5" w:rsidRDefault="002711F5" w:rsidP="00E537FF"/>
    <w:p w14:paraId="40005425" w14:textId="77777777" w:rsidR="0030543D" w:rsidRDefault="0030543D" w:rsidP="00E537FF"/>
    <w:p w14:paraId="56943A9F" w14:textId="77777777" w:rsidR="0030543D" w:rsidRDefault="0030543D" w:rsidP="00E537FF"/>
    <w:p w14:paraId="1B40E3BE" w14:textId="77777777" w:rsidR="00685448" w:rsidRDefault="00AE2FDD" w:rsidP="00B611C5">
      <w:pPr>
        <w:rPr>
          <w:shd w:val="clear" w:color="auto" w:fill="FFFFFF"/>
        </w:rPr>
      </w:pPr>
      <w:r>
        <w:t xml:space="preserve">To the </w:t>
      </w:r>
      <w:r w:rsidR="00685448">
        <w:rPr>
          <w:shd w:val="clear" w:color="auto" w:fill="FFFFFF"/>
        </w:rPr>
        <w:t>House Standing Committee on Employment, Education and Training</w:t>
      </w:r>
    </w:p>
    <w:p w14:paraId="497987EC" w14:textId="236DB82E" w:rsidR="00FE5AA5" w:rsidRPr="00FE5AA5" w:rsidRDefault="00FE5AA5" w:rsidP="00E537FF"/>
    <w:p w14:paraId="1D3D2D31" w14:textId="77777777" w:rsidR="00FE5AA5" w:rsidRDefault="00FE5AA5" w:rsidP="00E537FF">
      <w:pPr>
        <w:rPr>
          <w:bdr w:val="none" w:sz="0" w:space="0" w:color="auto" w:frame="1"/>
          <w:shd w:val="clear" w:color="auto" w:fill="FFFFFF"/>
        </w:rPr>
      </w:pPr>
    </w:p>
    <w:p w14:paraId="1FEA9B8D" w14:textId="77777777" w:rsidR="00685448" w:rsidRPr="00B611C5" w:rsidRDefault="00E537FF" w:rsidP="00B611C5">
      <w:pPr>
        <w:rPr>
          <w:rFonts w:eastAsia="Times New Roman"/>
          <w:b/>
          <w:bCs/>
          <w:sz w:val="48"/>
          <w:szCs w:val="48"/>
        </w:rPr>
      </w:pPr>
      <w:r w:rsidRPr="00B611C5">
        <w:rPr>
          <w:rFonts w:eastAsia="Calibri"/>
          <w:b/>
          <w:bCs/>
        </w:rPr>
        <w:t xml:space="preserve">Re: </w:t>
      </w:r>
      <w:r w:rsidR="00685448" w:rsidRPr="00B611C5">
        <w:rPr>
          <w:b/>
          <w:bCs/>
        </w:rPr>
        <w:t>Inquiry into the Perceptions and Status of Vocational Education and Training</w:t>
      </w:r>
    </w:p>
    <w:p w14:paraId="3188FCE7" w14:textId="065E3742" w:rsidR="00BC56A0" w:rsidRDefault="00BC56A0" w:rsidP="78D53F4C">
      <w:pPr>
        <w:rPr>
          <w:rFonts w:eastAsia="Calibri"/>
          <w:b/>
          <w:bCs/>
        </w:rPr>
      </w:pPr>
    </w:p>
    <w:p w14:paraId="4F44F078" w14:textId="6EE70FB1" w:rsidR="00A63E74" w:rsidRDefault="0759ED87" w:rsidP="1D4B17BE">
      <w:pPr>
        <w:textAlignment w:val="baseline"/>
      </w:pPr>
      <w:r w:rsidRPr="1D4B17BE">
        <w:rPr>
          <w:rFonts w:eastAsia="Arial" w:cs="Arial"/>
          <w:color w:val="000000" w:themeColor="text1"/>
          <w:lang w:val="en-AU"/>
        </w:rPr>
        <w:t xml:space="preserve">The </w:t>
      </w:r>
      <w:r w:rsidR="001046F3" w:rsidRPr="1D4B17BE">
        <w:rPr>
          <w:rFonts w:eastAsia="Arial" w:cs="Arial"/>
          <w:color w:val="000000" w:themeColor="text1"/>
          <w:lang w:val="en-AU"/>
        </w:rPr>
        <w:t>Australian Disability Clearinghouse on Education and Training</w:t>
      </w:r>
      <w:r w:rsidRPr="1D4B17BE">
        <w:rPr>
          <w:rFonts w:eastAsia="Arial" w:cs="Arial"/>
          <w:color w:val="000000" w:themeColor="text1"/>
          <w:lang w:val="en-AU"/>
        </w:rPr>
        <w:t xml:space="preserve"> (ADCET</w:t>
      </w:r>
      <w:r w:rsidR="001046F3" w:rsidRPr="1D4B17BE">
        <w:rPr>
          <w:rFonts w:eastAsia="Arial" w:cs="Arial"/>
          <w:color w:val="000000" w:themeColor="text1"/>
          <w:lang w:val="en-AU"/>
        </w:rPr>
        <w:t xml:space="preserve">) </w:t>
      </w:r>
      <w:r w:rsidR="00533A01" w:rsidRPr="1D4B17BE">
        <w:rPr>
          <w:rFonts w:eastAsia="Arial" w:cs="Arial"/>
          <w:color w:val="000000" w:themeColor="text1"/>
          <w:lang w:val="en-AU"/>
        </w:rPr>
        <w:t xml:space="preserve">is Australia’s leading resource </w:t>
      </w:r>
      <w:r w:rsidRPr="1D4B17BE">
        <w:rPr>
          <w:rFonts w:eastAsia="Arial" w:cs="Arial"/>
          <w:color w:val="000000" w:themeColor="text1"/>
          <w:lang w:val="en-AU"/>
        </w:rPr>
        <w:t>on</w:t>
      </w:r>
      <w:r w:rsidR="00533A01" w:rsidRPr="1D4B17BE">
        <w:rPr>
          <w:rFonts w:eastAsia="Arial" w:cs="Arial"/>
          <w:color w:val="000000" w:themeColor="text1"/>
          <w:lang w:val="en-AU"/>
        </w:rPr>
        <w:t xml:space="preserve"> disability </w:t>
      </w:r>
      <w:r w:rsidRPr="1D4B17BE">
        <w:rPr>
          <w:rFonts w:eastAsia="Arial" w:cs="Arial"/>
          <w:color w:val="000000" w:themeColor="text1"/>
          <w:lang w:val="en-AU"/>
        </w:rPr>
        <w:t>in tertiary education. ADCET works strategically to build capacity across the tertiary education sector to improve the access</w:t>
      </w:r>
      <w:r w:rsidR="00533A01" w:rsidRPr="1D4B17BE">
        <w:rPr>
          <w:rFonts w:eastAsia="Arial" w:cs="Arial"/>
          <w:color w:val="000000" w:themeColor="text1"/>
          <w:lang w:val="en-AU"/>
        </w:rPr>
        <w:t xml:space="preserve"> and </w:t>
      </w:r>
      <w:r w:rsidRPr="1D4B17BE">
        <w:rPr>
          <w:rFonts w:eastAsia="Arial" w:cs="Arial"/>
          <w:color w:val="000000" w:themeColor="text1"/>
          <w:lang w:val="en-AU"/>
        </w:rPr>
        <w:t xml:space="preserve">participation of </w:t>
      </w:r>
      <w:r w:rsidR="00533A01" w:rsidRPr="1D4B17BE">
        <w:rPr>
          <w:rFonts w:eastAsia="Arial" w:cs="Arial"/>
          <w:color w:val="000000" w:themeColor="text1"/>
          <w:lang w:val="en-AU"/>
        </w:rPr>
        <w:t xml:space="preserve">students </w:t>
      </w:r>
      <w:r w:rsidRPr="1D4B17BE">
        <w:rPr>
          <w:rFonts w:eastAsia="Arial" w:cs="Arial"/>
          <w:color w:val="000000" w:themeColor="text1"/>
          <w:lang w:val="en-AU"/>
        </w:rPr>
        <w:t xml:space="preserve">with disability.    </w:t>
      </w:r>
      <w:r w:rsidRPr="1D4B17BE">
        <w:rPr>
          <w:lang w:val="en-AU"/>
        </w:rPr>
        <w:t xml:space="preserve"> </w:t>
      </w:r>
    </w:p>
    <w:p w14:paraId="6A370BA0" w14:textId="227335F0" w:rsidR="00A63E74" w:rsidRDefault="00533A01" w:rsidP="00C008F7">
      <w:pPr>
        <w:pStyle w:val="paragraph"/>
        <w:spacing w:before="0" w:beforeAutospacing="0" w:after="0" w:afterAutospacing="0"/>
        <w:textAlignment w:val="baseline"/>
        <w:rPr>
          <w:rStyle w:val="eop"/>
          <w:rFonts w:cs="Arial"/>
        </w:rPr>
      </w:pPr>
      <w:r w:rsidRPr="7C7B12C3">
        <w:rPr>
          <w:rStyle w:val="eop"/>
          <w:rFonts w:cs="Arial"/>
        </w:rPr>
        <w:t> </w:t>
      </w:r>
    </w:p>
    <w:p w14:paraId="34E054BD" w14:textId="633F1486" w:rsidR="005934E0" w:rsidRDefault="008F1978" w:rsidP="78D53F4C">
      <w:pPr>
        <w:pStyle w:val="paragraph"/>
        <w:spacing w:before="0" w:beforeAutospacing="0" w:after="0" w:afterAutospacing="0"/>
      </w:pPr>
      <w:r w:rsidRPr="78D53F4C">
        <w:rPr>
          <w:rFonts w:cs="Arial"/>
        </w:rPr>
        <w:t xml:space="preserve">ADCET welcomes the opportunity to contribute to </w:t>
      </w:r>
      <w:r w:rsidR="00013AE6">
        <w:rPr>
          <w:rFonts w:cs="Arial"/>
        </w:rPr>
        <w:t xml:space="preserve">the </w:t>
      </w:r>
      <w:r w:rsidR="00FC44EF" w:rsidRPr="009F711E">
        <w:t xml:space="preserve">House Standing Committee on Employment, Education and Training </w:t>
      </w:r>
      <w:r w:rsidR="009F711E">
        <w:t>on the important topic of</w:t>
      </w:r>
      <w:r w:rsidR="00434340">
        <w:t xml:space="preserve"> the perceptions and status of vocational education and training as it </w:t>
      </w:r>
      <w:r w:rsidR="005934E0">
        <w:t>applies to people with disability.</w:t>
      </w:r>
    </w:p>
    <w:p w14:paraId="61C62710" w14:textId="77777777" w:rsidR="005934E0" w:rsidRDefault="005934E0" w:rsidP="78D53F4C">
      <w:pPr>
        <w:pStyle w:val="paragraph"/>
        <w:spacing w:before="0" w:beforeAutospacing="0" w:after="0" w:afterAutospacing="0"/>
      </w:pPr>
    </w:p>
    <w:p w14:paraId="3642CFEB" w14:textId="45BAED79" w:rsidR="00EE38E4" w:rsidRDefault="005934E0" w:rsidP="78D53F4C">
      <w:pPr>
        <w:pStyle w:val="paragraph"/>
        <w:spacing w:before="0" w:beforeAutospacing="0" w:after="0" w:afterAutospacing="0"/>
      </w:pPr>
      <w:r>
        <w:t xml:space="preserve">This particular focus aligns with our core goals as an organisation but </w:t>
      </w:r>
      <w:r w:rsidR="00250DC6">
        <w:t>also highlights the particular challenges for people with disability</w:t>
      </w:r>
      <w:r w:rsidR="00C634C5">
        <w:t xml:space="preserve"> having</w:t>
      </w:r>
      <w:r w:rsidR="00250DC6">
        <w:t xml:space="preserve"> </w:t>
      </w:r>
      <w:r w:rsidR="00C634C5" w:rsidRPr="78D53F4C">
        <w:rPr>
          <w:rFonts w:cs="Arial"/>
        </w:rPr>
        <w:t xml:space="preserve">fair access to </w:t>
      </w:r>
      <w:r w:rsidR="00250DC6">
        <w:t xml:space="preserve">vocational education and training compared with </w:t>
      </w:r>
      <w:r w:rsidR="00EE38E4">
        <w:t xml:space="preserve">their peers without disability. We hope you will pay particular attention to this cohort as you review responses. </w:t>
      </w:r>
    </w:p>
    <w:p w14:paraId="7C475E10" w14:textId="77777777" w:rsidR="00EE38E4" w:rsidRDefault="00EE38E4" w:rsidP="78D53F4C">
      <w:pPr>
        <w:pStyle w:val="paragraph"/>
        <w:spacing w:before="0" w:beforeAutospacing="0" w:after="0" w:afterAutospacing="0"/>
      </w:pPr>
    </w:p>
    <w:p w14:paraId="7482016A" w14:textId="2AE0A255" w:rsidR="000B3872" w:rsidRDefault="00A63E74" w:rsidP="000B3872">
      <w:pPr>
        <w:rPr>
          <w:lang w:val="en-AU" w:eastAsia="en-AU"/>
        </w:rPr>
      </w:pPr>
      <w:r>
        <w:rPr>
          <w:lang w:val="en-AU" w:eastAsia="en-AU"/>
        </w:rPr>
        <w:t xml:space="preserve">Please </w:t>
      </w:r>
      <w:r w:rsidR="00BF33ED">
        <w:rPr>
          <w:lang w:val="en-AU" w:eastAsia="en-AU"/>
        </w:rPr>
        <w:t>do not</w:t>
      </w:r>
      <w:r>
        <w:rPr>
          <w:lang w:val="en-AU" w:eastAsia="en-AU"/>
        </w:rPr>
        <w:t xml:space="preserve"> hesitate to contact us for any clarification or questions.</w:t>
      </w:r>
    </w:p>
    <w:p w14:paraId="71EA9145" w14:textId="77777777" w:rsidR="00A63E74" w:rsidRDefault="00A63E74" w:rsidP="000B3872">
      <w:pPr>
        <w:rPr>
          <w:lang w:val="en-AU" w:eastAsia="en-AU"/>
        </w:rPr>
      </w:pPr>
    </w:p>
    <w:p w14:paraId="363062C3" w14:textId="2CFAC55C" w:rsidR="00A63E74" w:rsidRDefault="00A63E74" w:rsidP="000B3872">
      <w:pPr>
        <w:rPr>
          <w:lang w:val="en-AU" w:eastAsia="en-AU"/>
        </w:rPr>
      </w:pPr>
      <w:r>
        <w:rPr>
          <w:lang w:val="en-AU" w:eastAsia="en-AU"/>
        </w:rPr>
        <w:t>Regards</w:t>
      </w:r>
    </w:p>
    <w:p w14:paraId="52EAB273" w14:textId="77777777" w:rsidR="00A63E74" w:rsidRDefault="00A63E74" w:rsidP="000B3872">
      <w:pPr>
        <w:rPr>
          <w:lang w:val="en-AU" w:eastAsia="en-AU"/>
        </w:rPr>
      </w:pPr>
    </w:p>
    <w:p w14:paraId="0095917D" w14:textId="03ABAAFD" w:rsidR="0030543D" w:rsidRDefault="006803EC" w:rsidP="000B3872">
      <w:pPr>
        <w:rPr>
          <w:lang w:val="en-AU" w:eastAsia="en-AU"/>
        </w:rPr>
      </w:pPr>
      <w:r>
        <w:rPr>
          <w:noProof/>
        </w:rPr>
        <w:drawing>
          <wp:inline distT="0" distB="0" distL="0" distR="0" wp14:anchorId="2F7C0859" wp14:editId="1E7651DD">
            <wp:extent cx="1020470" cy="428467"/>
            <wp:effectExtent l="0" t="0" r="825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37003" cy="435409"/>
                    </a:xfrm>
                    <a:prstGeom prst="rect">
                      <a:avLst/>
                    </a:prstGeom>
                    <a:noFill/>
                    <a:ln>
                      <a:noFill/>
                    </a:ln>
                  </pic:spPr>
                </pic:pic>
              </a:graphicData>
            </a:graphic>
          </wp:inline>
        </w:drawing>
      </w:r>
      <w:r>
        <w:rPr>
          <w:rFonts w:cs="Arial"/>
          <w:color w:val="000000"/>
          <w:shd w:val="clear" w:color="auto" w:fill="FFFFFF"/>
        </w:rPr>
        <w:br/>
      </w:r>
    </w:p>
    <w:p w14:paraId="193369D5" w14:textId="11B98550" w:rsidR="00A63E74" w:rsidRDefault="00A63E74" w:rsidP="000B3872">
      <w:pPr>
        <w:rPr>
          <w:lang w:val="en-AU" w:eastAsia="en-AU"/>
        </w:rPr>
      </w:pPr>
      <w:r>
        <w:rPr>
          <w:lang w:val="en-AU" w:eastAsia="en-AU"/>
        </w:rPr>
        <w:t>Darlene McLennan</w:t>
      </w:r>
    </w:p>
    <w:p w14:paraId="3DA033F0" w14:textId="18EEDB74" w:rsidR="00A63E74" w:rsidRDefault="00A63E74" w:rsidP="000B3872">
      <w:pPr>
        <w:rPr>
          <w:lang w:val="en-AU" w:eastAsia="en-AU"/>
        </w:rPr>
      </w:pPr>
      <w:r>
        <w:rPr>
          <w:lang w:val="en-AU" w:eastAsia="en-AU"/>
        </w:rPr>
        <w:t>Manager, ADCET</w:t>
      </w:r>
    </w:p>
    <w:p w14:paraId="2F743B84" w14:textId="77777777" w:rsidR="0030543D" w:rsidRDefault="0030543D" w:rsidP="000B3872">
      <w:pPr>
        <w:rPr>
          <w:lang w:val="en-AU" w:eastAsia="en-AU"/>
        </w:rPr>
      </w:pPr>
    </w:p>
    <w:p w14:paraId="6392B54D" w14:textId="3EA79C95" w:rsidR="0030543D" w:rsidRPr="0030543D" w:rsidRDefault="0030543D" w:rsidP="0030543D">
      <w:r w:rsidRPr="0030543D">
        <w:t>Phone: 0419 154 368</w:t>
      </w:r>
    </w:p>
    <w:p w14:paraId="79C77F87" w14:textId="60FD435D" w:rsidR="0030543D" w:rsidRPr="0030543D" w:rsidRDefault="0030543D" w:rsidP="0030543D">
      <w:r w:rsidRPr="0030543D">
        <w:t xml:space="preserve">Email: </w:t>
      </w:r>
      <w:hyperlink r:id="rId13" w:history="1">
        <w:r w:rsidRPr="0030543D">
          <w:rPr>
            <w:rStyle w:val="Hyperlink"/>
          </w:rPr>
          <w:t>darlene.mclennan@utas.edu.au</w:t>
        </w:r>
      </w:hyperlink>
    </w:p>
    <w:p w14:paraId="2B6C1AD3" w14:textId="31D292BB" w:rsidR="0030543D" w:rsidRPr="0030543D" w:rsidRDefault="0030543D" w:rsidP="0030543D">
      <w:r w:rsidRPr="0030543D">
        <w:t xml:space="preserve">Web: </w:t>
      </w:r>
      <w:hyperlink r:id="rId14" w:history="1">
        <w:r w:rsidRPr="0030543D">
          <w:rPr>
            <w:rStyle w:val="Hyperlink"/>
          </w:rPr>
          <w:t>www.adcet.edu.au</w:t>
        </w:r>
      </w:hyperlink>
    </w:p>
    <w:p w14:paraId="600E6358" w14:textId="77777777" w:rsidR="0030543D" w:rsidRDefault="0030543D" w:rsidP="000B3872">
      <w:pPr>
        <w:rPr>
          <w:lang w:val="en-AU" w:eastAsia="en-AU"/>
        </w:rPr>
      </w:pPr>
    </w:p>
    <w:p w14:paraId="42CBAC36" w14:textId="77777777" w:rsidR="00FE0E4C" w:rsidRDefault="006803EC">
      <w:pPr>
        <w:rPr>
          <w:b/>
          <w:bCs/>
          <w:color w:val="2F5496" w:themeColor="accent1" w:themeShade="BF"/>
          <w:kern w:val="36"/>
          <w:sz w:val="36"/>
          <w:szCs w:val="48"/>
          <w:lang w:val="en-AU" w:eastAsia="en-AU"/>
        </w:rPr>
      </w:pPr>
      <w:bookmarkStart w:id="0" w:name="_Toc122011814"/>
      <w:r>
        <w:rPr>
          <w:lang w:val="en-AU" w:eastAsia="en-AU"/>
        </w:rPr>
        <w:br w:type="page"/>
      </w:r>
    </w:p>
    <w:sdt>
      <w:sdtPr>
        <w:rPr>
          <w:rFonts w:ascii="Arial" w:eastAsiaTheme="minorEastAsia" w:hAnsi="Arial" w:cs="Times New Roman"/>
          <w:color w:val="auto"/>
          <w:sz w:val="22"/>
          <w:szCs w:val="24"/>
        </w:rPr>
        <w:id w:val="1931389251"/>
        <w:docPartObj>
          <w:docPartGallery w:val="Table of Contents"/>
          <w:docPartUnique/>
        </w:docPartObj>
      </w:sdtPr>
      <w:sdtEndPr>
        <w:rPr>
          <w:b/>
          <w:bCs/>
          <w:noProof/>
        </w:rPr>
      </w:sdtEndPr>
      <w:sdtContent>
        <w:p w14:paraId="1A9A6537" w14:textId="6A9A3928" w:rsidR="00FE0E4C" w:rsidRDefault="00FE0E4C">
          <w:pPr>
            <w:pStyle w:val="TOCHeading"/>
          </w:pPr>
          <w:r>
            <w:t>Contents</w:t>
          </w:r>
        </w:p>
        <w:p w14:paraId="22BBCD08" w14:textId="760DFE42" w:rsidR="004F48B5" w:rsidRDefault="00FE0E4C">
          <w:pPr>
            <w:pStyle w:val="TOC1"/>
            <w:rPr>
              <w:rFonts w:asciiTheme="minorHAnsi" w:hAnsiTheme="minorHAnsi" w:cstheme="minorBidi"/>
              <w:noProof/>
              <w:szCs w:val="22"/>
              <w:lang w:val="en-AU" w:eastAsia="en-AU"/>
            </w:rPr>
          </w:pPr>
          <w:r>
            <w:fldChar w:fldCharType="begin"/>
          </w:r>
          <w:r>
            <w:instrText xml:space="preserve"> TOC \o "1-3" \h \z \u </w:instrText>
          </w:r>
          <w:r>
            <w:fldChar w:fldCharType="separate"/>
          </w:r>
          <w:hyperlink w:anchor="_Toc128578509" w:history="1">
            <w:r w:rsidR="004F48B5" w:rsidRPr="008C70A5">
              <w:rPr>
                <w:rStyle w:val="Hyperlink"/>
                <w:noProof/>
                <w:lang w:val="en-AU" w:eastAsia="en-AU"/>
              </w:rPr>
              <w:t>About ADCET</w:t>
            </w:r>
            <w:r w:rsidR="004F48B5">
              <w:rPr>
                <w:noProof/>
                <w:webHidden/>
              </w:rPr>
              <w:tab/>
            </w:r>
            <w:r w:rsidR="004F48B5">
              <w:rPr>
                <w:noProof/>
                <w:webHidden/>
              </w:rPr>
              <w:fldChar w:fldCharType="begin"/>
            </w:r>
            <w:r w:rsidR="004F48B5">
              <w:rPr>
                <w:noProof/>
                <w:webHidden/>
              </w:rPr>
              <w:instrText xml:space="preserve"> PAGEREF _Toc128578509 \h </w:instrText>
            </w:r>
            <w:r w:rsidR="004F48B5">
              <w:rPr>
                <w:noProof/>
                <w:webHidden/>
              </w:rPr>
            </w:r>
            <w:r w:rsidR="004F48B5">
              <w:rPr>
                <w:noProof/>
                <w:webHidden/>
              </w:rPr>
              <w:fldChar w:fldCharType="separate"/>
            </w:r>
            <w:r w:rsidR="004F48B5">
              <w:rPr>
                <w:noProof/>
                <w:webHidden/>
              </w:rPr>
              <w:t>3</w:t>
            </w:r>
            <w:r w:rsidR="004F48B5">
              <w:rPr>
                <w:noProof/>
                <w:webHidden/>
              </w:rPr>
              <w:fldChar w:fldCharType="end"/>
            </w:r>
          </w:hyperlink>
        </w:p>
        <w:p w14:paraId="19B56168" w14:textId="0740DBA5" w:rsidR="004F48B5" w:rsidRDefault="0064282A">
          <w:pPr>
            <w:pStyle w:val="TOC2"/>
            <w:rPr>
              <w:rFonts w:asciiTheme="minorHAnsi" w:hAnsiTheme="minorHAnsi" w:cstheme="minorBidi"/>
              <w:noProof/>
              <w:szCs w:val="22"/>
              <w:lang w:val="en-AU" w:eastAsia="en-AU"/>
            </w:rPr>
          </w:pPr>
          <w:hyperlink w:anchor="_Toc128578510" w:history="1">
            <w:r w:rsidR="004F48B5" w:rsidRPr="008C70A5">
              <w:rPr>
                <w:rStyle w:val="Hyperlink"/>
                <w:noProof/>
              </w:rPr>
              <w:t>Alignment and context with Standing Committee’s Terms of Reference</w:t>
            </w:r>
            <w:r w:rsidR="004F48B5">
              <w:rPr>
                <w:noProof/>
                <w:webHidden/>
              </w:rPr>
              <w:tab/>
            </w:r>
            <w:r w:rsidR="004F48B5">
              <w:rPr>
                <w:noProof/>
                <w:webHidden/>
              </w:rPr>
              <w:fldChar w:fldCharType="begin"/>
            </w:r>
            <w:r w:rsidR="004F48B5">
              <w:rPr>
                <w:noProof/>
                <w:webHidden/>
              </w:rPr>
              <w:instrText xml:space="preserve"> PAGEREF _Toc128578510 \h </w:instrText>
            </w:r>
            <w:r w:rsidR="004F48B5">
              <w:rPr>
                <w:noProof/>
                <w:webHidden/>
              </w:rPr>
            </w:r>
            <w:r w:rsidR="004F48B5">
              <w:rPr>
                <w:noProof/>
                <w:webHidden/>
              </w:rPr>
              <w:fldChar w:fldCharType="separate"/>
            </w:r>
            <w:r w:rsidR="004F48B5">
              <w:rPr>
                <w:noProof/>
                <w:webHidden/>
              </w:rPr>
              <w:t>4</w:t>
            </w:r>
            <w:r w:rsidR="004F48B5">
              <w:rPr>
                <w:noProof/>
                <w:webHidden/>
              </w:rPr>
              <w:fldChar w:fldCharType="end"/>
            </w:r>
          </w:hyperlink>
        </w:p>
        <w:p w14:paraId="5E66A0C8" w14:textId="5FFD6CC2" w:rsidR="004F48B5" w:rsidRDefault="0064282A">
          <w:pPr>
            <w:pStyle w:val="TOC2"/>
            <w:rPr>
              <w:rFonts w:asciiTheme="minorHAnsi" w:hAnsiTheme="minorHAnsi" w:cstheme="minorBidi"/>
              <w:noProof/>
              <w:szCs w:val="22"/>
              <w:lang w:val="en-AU" w:eastAsia="en-AU"/>
            </w:rPr>
          </w:pPr>
          <w:hyperlink w:anchor="_Toc128578511" w:history="1">
            <w:r w:rsidR="004F48B5" w:rsidRPr="008C70A5">
              <w:rPr>
                <w:rStyle w:val="Hyperlink"/>
                <w:noProof/>
              </w:rPr>
              <w:t>ISSUE 1: Failure of some tertiary education providers to address physical, digital, learning and cultural environments within their organisations adequately.</w:t>
            </w:r>
            <w:r w:rsidR="004F48B5">
              <w:rPr>
                <w:noProof/>
                <w:webHidden/>
              </w:rPr>
              <w:tab/>
            </w:r>
            <w:r w:rsidR="004F48B5">
              <w:rPr>
                <w:noProof/>
                <w:webHidden/>
              </w:rPr>
              <w:fldChar w:fldCharType="begin"/>
            </w:r>
            <w:r w:rsidR="004F48B5">
              <w:rPr>
                <w:noProof/>
                <w:webHidden/>
              </w:rPr>
              <w:instrText xml:space="preserve"> PAGEREF _Toc128578511 \h </w:instrText>
            </w:r>
            <w:r w:rsidR="004F48B5">
              <w:rPr>
                <w:noProof/>
                <w:webHidden/>
              </w:rPr>
            </w:r>
            <w:r w:rsidR="004F48B5">
              <w:rPr>
                <w:noProof/>
                <w:webHidden/>
              </w:rPr>
              <w:fldChar w:fldCharType="separate"/>
            </w:r>
            <w:r w:rsidR="004F48B5">
              <w:rPr>
                <w:noProof/>
                <w:webHidden/>
              </w:rPr>
              <w:t>5</w:t>
            </w:r>
            <w:r w:rsidR="004F48B5">
              <w:rPr>
                <w:noProof/>
                <w:webHidden/>
              </w:rPr>
              <w:fldChar w:fldCharType="end"/>
            </w:r>
          </w:hyperlink>
        </w:p>
        <w:p w14:paraId="2232F5DF" w14:textId="5E708AB3" w:rsidR="004F48B5" w:rsidRDefault="0064282A">
          <w:pPr>
            <w:pStyle w:val="TOC3"/>
            <w:tabs>
              <w:tab w:val="right" w:leader="dot" w:pos="9350"/>
            </w:tabs>
            <w:rPr>
              <w:rFonts w:asciiTheme="minorHAnsi" w:hAnsiTheme="minorHAnsi" w:cstheme="minorBidi"/>
              <w:noProof/>
              <w:szCs w:val="22"/>
              <w:lang w:val="en-AU" w:eastAsia="en-AU"/>
            </w:rPr>
          </w:pPr>
          <w:hyperlink w:anchor="_Toc128578512" w:history="1">
            <w:r w:rsidR="004F48B5" w:rsidRPr="008C70A5">
              <w:rPr>
                <w:rStyle w:val="Hyperlink"/>
                <w:noProof/>
              </w:rPr>
              <w:t>ADCET recommends:</w:t>
            </w:r>
            <w:r w:rsidR="004F48B5">
              <w:rPr>
                <w:noProof/>
                <w:webHidden/>
              </w:rPr>
              <w:tab/>
            </w:r>
            <w:r w:rsidR="004F48B5">
              <w:rPr>
                <w:noProof/>
                <w:webHidden/>
              </w:rPr>
              <w:fldChar w:fldCharType="begin"/>
            </w:r>
            <w:r w:rsidR="004F48B5">
              <w:rPr>
                <w:noProof/>
                <w:webHidden/>
              </w:rPr>
              <w:instrText xml:space="preserve"> PAGEREF _Toc128578512 \h </w:instrText>
            </w:r>
            <w:r w:rsidR="004F48B5">
              <w:rPr>
                <w:noProof/>
                <w:webHidden/>
              </w:rPr>
            </w:r>
            <w:r w:rsidR="004F48B5">
              <w:rPr>
                <w:noProof/>
                <w:webHidden/>
              </w:rPr>
              <w:fldChar w:fldCharType="separate"/>
            </w:r>
            <w:r w:rsidR="004F48B5">
              <w:rPr>
                <w:noProof/>
                <w:webHidden/>
              </w:rPr>
              <w:t>7</w:t>
            </w:r>
            <w:r w:rsidR="004F48B5">
              <w:rPr>
                <w:noProof/>
                <w:webHidden/>
              </w:rPr>
              <w:fldChar w:fldCharType="end"/>
            </w:r>
          </w:hyperlink>
        </w:p>
        <w:p w14:paraId="180F1DFE" w14:textId="4F4BE03E" w:rsidR="004F48B5" w:rsidRDefault="0064282A">
          <w:pPr>
            <w:pStyle w:val="TOC3"/>
            <w:tabs>
              <w:tab w:val="right" w:leader="dot" w:pos="9350"/>
            </w:tabs>
            <w:rPr>
              <w:rFonts w:asciiTheme="minorHAnsi" w:hAnsiTheme="minorHAnsi" w:cstheme="minorBidi"/>
              <w:noProof/>
              <w:szCs w:val="22"/>
              <w:lang w:val="en-AU" w:eastAsia="en-AU"/>
            </w:rPr>
          </w:pPr>
          <w:hyperlink w:anchor="_Toc128578513" w:history="1">
            <w:r w:rsidR="004F48B5" w:rsidRPr="008C70A5">
              <w:rPr>
                <w:rStyle w:val="Hyperlink"/>
                <w:noProof/>
              </w:rPr>
              <w:t>Current ADCET strategies:</w:t>
            </w:r>
            <w:r w:rsidR="004F48B5">
              <w:rPr>
                <w:noProof/>
                <w:webHidden/>
              </w:rPr>
              <w:tab/>
            </w:r>
            <w:r w:rsidR="004F48B5">
              <w:rPr>
                <w:noProof/>
                <w:webHidden/>
              </w:rPr>
              <w:fldChar w:fldCharType="begin"/>
            </w:r>
            <w:r w:rsidR="004F48B5">
              <w:rPr>
                <w:noProof/>
                <w:webHidden/>
              </w:rPr>
              <w:instrText xml:space="preserve"> PAGEREF _Toc128578513 \h </w:instrText>
            </w:r>
            <w:r w:rsidR="004F48B5">
              <w:rPr>
                <w:noProof/>
                <w:webHidden/>
              </w:rPr>
            </w:r>
            <w:r w:rsidR="004F48B5">
              <w:rPr>
                <w:noProof/>
                <w:webHidden/>
              </w:rPr>
              <w:fldChar w:fldCharType="separate"/>
            </w:r>
            <w:r w:rsidR="004F48B5">
              <w:rPr>
                <w:noProof/>
                <w:webHidden/>
              </w:rPr>
              <w:t>7</w:t>
            </w:r>
            <w:r w:rsidR="004F48B5">
              <w:rPr>
                <w:noProof/>
                <w:webHidden/>
              </w:rPr>
              <w:fldChar w:fldCharType="end"/>
            </w:r>
          </w:hyperlink>
        </w:p>
        <w:p w14:paraId="16FE52AC" w14:textId="1838EB14" w:rsidR="004F48B5" w:rsidRDefault="0064282A">
          <w:pPr>
            <w:pStyle w:val="TOC2"/>
            <w:rPr>
              <w:rFonts w:asciiTheme="minorHAnsi" w:hAnsiTheme="minorHAnsi" w:cstheme="minorBidi"/>
              <w:noProof/>
              <w:szCs w:val="22"/>
              <w:lang w:val="en-AU" w:eastAsia="en-AU"/>
            </w:rPr>
          </w:pPr>
          <w:hyperlink w:anchor="_Toc128578514" w:history="1">
            <w:r w:rsidR="004F48B5" w:rsidRPr="008C70A5">
              <w:rPr>
                <w:rStyle w:val="Hyperlink"/>
                <w:noProof/>
              </w:rPr>
              <w:t>ISSUE 2: a culture of low expectations around people with disability and their ability to engage with post-school study.</w:t>
            </w:r>
            <w:r w:rsidR="004F48B5">
              <w:rPr>
                <w:noProof/>
                <w:webHidden/>
              </w:rPr>
              <w:tab/>
            </w:r>
            <w:r w:rsidR="004F48B5">
              <w:rPr>
                <w:noProof/>
                <w:webHidden/>
              </w:rPr>
              <w:fldChar w:fldCharType="begin"/>
            </w:r>
            <w:r w:rsidR="004F48B5">
              <w:rPr>
                <w:noProof/>
                <w:webHidden/>
              </w:rPr>
              <w:instrText xml:space="preserve"> PAGEREF _Toc128578514 \h </w:instrText>
            </w:r>
            <w:r w:rsidR="004F48B5">
              <w:rPr>
                <w:noProof/>
                <w:webHidden/>
              </w:rPr>
            </w:r>
            <w:r w:rsidR="004F48B5">
              <w:rPr>
                <w:noProof/>
                <w:webHidden/>
              </w:rPr>
              <w:fldChar w:fldCharType="separate"/>
            </w:r>
            <w:r w:rsidR="004F48B5">
              <w:rPr>
                <w:noProof/>
                <w:webHidden/>
              </w:rPr>
              <w:t>9</w:t>
            </w:r>
            <w:r w:rsidR="004F48B5">
              <w:rPr>
                <w:noProof/>
                <w:webHidden/>
              </w:rPr>
              <w:fldChar w:fldCharType="end"/>
            </w:r>
          </w:hyperlink>
        </w:p>
        <w:p w14:paraId="35B64935" w14:textId="71101CF2" w:rsidR="004F48B5" w:rsidRDefault="0064282A">
          <w:pPr>
            <w:pStyle w:val="TOC3"/>
            <w:tabs>
              <w:tab w:val="right" w:leader="dot" w:pos="9350"/>
            </w:tabs>
            <w:rPr>
              <w:rFonts w:asciiTheme="minorHAnsi" w:hAnsiTheme="minorHAnsi" w:cstheme="minorBidi"/>
              <w:noProof/>
              <w:szCs w:val="22"/>
              <w:lang w:val="en-AU" w:eastAsia="en-AU"/>
            </w:rPr>
          </w:pPr>
          <w:hyperlink w:anchor="_Toc128578515" w:history="1">
            <w:r w:rsidR="004F48B5" w:rsidRPr="008C70A5">
              <w:rPr>
                <w:rStyle w:val="Hyperlink"/>
                <w:noProof/>
              </w:rPr>
              <w:t>ADCET recommends:</w:t>
            </w:r>
            <w:r w:rsidR="004F48B5">
              <w:rPr>
                <w:noProof/>
                <w:webHidden/>
              </w:rPr>
              <w:tab/>
            </w:r>
            <w:r w:rsidR="004F48B5">
              <w:rPr>
                <w:noProof/>
                <w:webHidden/>
              </w:rPr>
              <w:fldChar w:fldCharType="begin"/>
            </w:r>
            <w:r w:rsidR="004F48B5">
              <w:rPr>
                <w:noProof/>
                <w:webHidden/>
              </w:rPr>
              <w:instrText xml:space="preserve"> PAGEREF _Toc128578515 \h </w:instrText>
            </w:r>
            <w:r w:rsidR="004F48B5">
              <w:rPr>
                <w:noProof/>
                <w:webHidden/>
              </w:rPr>
            </w:r>
            <w:r w:rsidR="004F48B5">
              <w:rPr>
                <w:noProof/>
                <w:webHidden/>
              </w:rPr>
              <w:fldChar w:fldCharType="separate"/>
            </w:r>
            <w:r w:rsidR="004F48B5">
              <w:rPr>
                <w:noProof/>
                <w:webHidden/>
              </w:rPr>
              <w:t>10</w:t>
            </w:r>
            <w:r w:rsidR="004F48B5">
              <w:rPr>
                <w:noProof/>
                <w:webHidden/>
              </w:rPr>
              <w:fldChar w:fldCharType="end"/>
            </w:r>
          </w:hyperlink>
        </w:p>
        <w:p w14:paraId="2D233CFD" w14:textId="5C5580B4" w:rsidR="004F48B5" w:rsidRDefault="0064282A">
          <w:pPr>
            <w:pStyle w:val="TOC3"/>
            <w:tabs>
              <w:tab w:val="right" w:leader="dot" w:pos="9350"/>
            </w:tabs>
            <w:rPr>
              <w:rFonts w:asciiTheme="minorHAnsi" w:hAnsiTheme="minorHAnsi" w:cstheme="minorBidi"/>
              <w:noProof/>
              <w:szCs w:val="22"/>
              <w:lang w:val="en-AU" w:eastAsia="en-AU"/>
            </w:rPr>
          </w:pPr>
          <w:hyperlink w:anchor="_Toc128578516" w:history="1">
            <w:r w:rsidR="004F48B5" w:rsidRPr="008C70A5">
              <w:rPr>
                <w:rStyle w:val="Hyperlink"/>
                <w:noProof/>
              </w:rPr>
              <w:t>Current ADCET strategies:</w:t>
            </w:r>
            <w:r w:rsidR="004F48B5">
              <w:rPr>
                <w:noProof/>
                <w:webHidden/>
              </w:rPr>
              <w:tab/>
            </w:r>
            <w:r w:rsidR="004F48B5">
              <w:rPr>
                <w:noProof/>
                <w:webHidden/>
              </w:rPr>
              <w:fldChar w:fldCharType="begin"/>
            </w:r>
            <w:r w:rsidR="004F48B5">
              <w:rPr>
                <w:noProof/>
                <w:webHidden/>
              </w:rPr>
              <w:instrText xml:space="preserve"> PAGEREF _Toc128578516 \h </w:instrText>
            </w:r>
            <w:r w:rsidR="004F48B5">
              <w:rPr>
                <w:noProof/>
                <w:webHidden/>
              </w:rPr>
            </w:r>
            <w:r w:rsidR="004F48B5">
              <w:rPr>
                <w:noProof/>
                <w:webHidden/>
              </w:rPr>
              <w:fldChar w:fldCharType="separate"/>
            </w:r>
            <w:r w:rsidR="004F48B5">
              <w:rPr>
                <w:noProof/>
                <w:webHidden/>
              </w:rPr>
              <w:t>10</w:t>
            </w:r>
            <w:r w:rsidR="004F48B5">
              <w:rPr>
                <w:noProof/>
                <w:webHidden/>
              </w:rPr>
              <w:fldChar w:fldCharType="end"/>
            </w:r>
          </w:hyperlink>
        </w:p>
        <w:p w14:paraId="3BE77B5F" w14:textId="1D8BE035" w:rsidR="004F48B5" w:rsidRDefault="0064282A">
          <w:pPr>
            <w:pStyle w:val="TOC2"/>
            <w:rPr>
              <w:rFonts w:asciiTheme="minorHAnsi" w:hAnsiTheme="minorHAnsi" w:cstheme="minorBidi"/>
              <w:noProof/>
              <w:szCs w:val="22"/>
              <w:lang w:val="en-AU" w:eastAsia="en-AU"/>
            </w:rPr>
          </w:pPr>
          <w:hyperlink w:anchor="_Toc128578517" w:history="1">
            <w:r w:rsidR="004F48B5" w:rsidRPr="008C70A5">
              <w:rPr>
                <w:rStyle w:val="Hyperlink"/>
                <w:noProof/>
              </w:rPr>
              <w:t>ISSUE 3: Lack of understanding and awareness by some tertiary education providers to understand the legislative framework for disability</w:t>
            </w:r>
            <w:r w:rsidR="004F48B5">
              <w:rPr>
                <w:noProof/>
                <w:webHidden/>
              </w:rPr>
              <w:tab/>
            </w:r>
            <w:r w:rsidR="004F48B5">
              <w:rPr>
                <w:noProof/>
                <w:webHidden/>
              </w:rPr>
              <w:fldChar w:fldCharType="begin"/>
            </w:r>
            <w:r w:rsidR="004F48B5">
              <w:rPr>
                <w:noProof/>
                <w:webHidden/>
              </w:rPr>
              <w:instrText xml:space="preserve"> PAGEREF _Toc128578517 \h </w:instrText>
            </w:r>
            <w:r w:rsidR="004F48B5">
              <w:rPr>
                <w:noProof/>
                <w:webHidden/>
              </w:rPr>
            </w:r>
            <w:r w:rsidR="004F48B5">
              <w:rPr>
                <w:noProof/>
                <w:webHidden/>
              </w:rPr>
              <w:fldChar w:fldCharType="separate"/>
            </w:r>
            <w:r w:rsidR="004F48B5">
              <w:rPr>
                <w:noProof/>
                <w:webHidden/>
              </w:rPr>
              <w:t>12</w:t>
            </w:r>
            <w:r w:rsidR="004F48B5">
              <w:rPr>
                <w:noProof/>
                <w:webHidden/>
              </w:rPr>
              <w:fldChar w:fldCharType="end"/>
            </w:r>
          </w:hyperlink>
        </w:p>
        <w:p w14:paraId="3A74AD99" w14:textId="19F1FCF6" w:rsidR="004F48B5" w:rsidRDefault="0064282A">
          <w:pPr>
            <w:pStyle w:val="TOC3"/>
            <w:tabs>
              <w:tab w:val="right" w:leader="dot" w:pos="9350"/>
            </w:tabs>
            <w:rPr>
              <w:rFonts w:asciiTheme="minorHAnsi" w:hAnsiTheme="minorHAnsi" w:cstheme="minorBidi"/>
              <w:noProof/>
              <w:szCs w:val="22"/>
              <w:lang w:val="en-AU" w:eastAsia="en-AU"/>
            </w:rPr>
          </w:pPr>
          <w:hyperlink w:anchor="_Toc128578518" w:history="1">
            <w:r w:rsidR="004F48B5" w:rsidRPr="008C70A5">
              <w:rPr>
                <w:rStyle w:val="Hyperlink"/>
                <w:noProof/>
              </w:rPr>
              <w:t>ADCET recommends:</w:t>
            </w:r>
            <w:r w:rsidR="004F48B5">
              <w:rPr>
                <w:noProof/>
                <w:webHidden/>
              </w:rPr>
              <w:tab/>
            </w:r>
            <w:r w:rsidR="004F48B5">
              <w:rPr>
                <w:noProof/>
                <w:webHidden/>
              </w:rPr>
              <w:fldChar w:fldCharType="begin"/>
            </w:r>
            <w:r w:rsidR="004F48B5">
              <w:rPr>
                <w:noProof/>
                <w:webHidden/>
              </w:rPr>
              <w:instrText xml:space="preserve"> PAGEREF _Toc128578518 \h </w:instrText>
            </w:r>
            <w:r w:rsidR="004F48B5">
              <w:rPr>
                <w:noProof/>
                <w:webHidden/>
              </w:rPr>
            </w:r>
            <w:r w:rsidR="004F48B5">
              <w:rPr>
                <w:noProof/>
                <w:webHidden/>
              </w:rPr>
              <w:fldChar w:fldCharType="separate"/>
            </w:r>
            <w:r w:rsidR="004F48B5">
              <w:rPr>
                <w:noProof/>
                <w:webHidden/>
              </w:rPr>
              <w:t>15</w:t>
            </w:r>
            <w:r w:rsidR="004F48B5">
              <w:rPr>
                <w:noProof/>
                <w:webHidden/>
              </w:rPr>
              <w:fldChar w:fldCharType="end"/>
            </w:r>
          </w:hyperlink>
        </w:p>
        <w:p w14:paraId="2934A85D" w14:textId="43218412" w:rsidR="004F48B5" w:rsidRDefault="0064282A">
          <w:pPr>
            <w:pStyle w:val="TOC3"/>
            <w:tabs>
              <w:tab w:val="right" w:leader="dot" w:pos="9350"/>
            </w:tabs>
            <w:rPr>
              <w:rFonts w:asciiTheme="minorHAnsi" w:hAnsiTheme="minorHAnsi" w:cstheme="minorBidi"/>
              <w:noProof/>
              <w:szCs w:val="22"/>
              <w:lang w:val="en-AU" w:eastAsia="en-AU"/>
            </w:rPr>
          </w:pPr>
          <w:hyperlink w:anchor="_Toc128578519" w:history="1">
            <w:r w:rsidR="004F48B5" w:rsidRPr="008C70A5">
              <w:rPr>
                <w:rStyle w:val="Hyperlink"/>
                <w:noProof/>
              </w:rPr>
              <w:t>Current ADCET strategies:</w:t>
            </w:r>
            <w:r w:rsidR="004F48B5">
              <w:rPr>
                <w:noProof/>
                <w:webHidden/>
              </w:rPr>
              <w:tab/>
            </w:r>
            <w:r w:rsidR="004F48B5">
              <w:rPr>
                <w:noProof/>
                <w:webHidden/>
              </w:rPr>
              <w:fldChar w:fldCharType="begin"/>
            </w:r>
            <w:r w:rsidR="004F48B5">
              <w:rPr>
                <w:noProof/>
                <w:webHidden/>
              </w:rPr>
              <w:instrText xml:space="preserve"> PAGEREF _Toc128578519 \h </w:instrText>
            </w:r>
            <w:r w:rsidR="004F48B5">
              <w:rPr>
                <w:noProof/>
                <w:webHidden/>
              </w:rPr>
            </w:r>
            <w:r w:rsidR="004F48B5">
              <w:rPr>
                <w:noProof/>
                <w:webHidden/>
              </w:rPr>
              <w:fldChar w:fldCharType="separate"/>
            </w:r>
            <w:r w:rsidR="004F48B5">
              <w:rPr>
                <w:noProof/>
                <w:webHidden/>
              </w:rPr>
              <w:t>15</w:t>
            </w:r>
            <w:r w:rsidR="004F48B5">
              <w:rPr>
                <w:noProof/>
                <w:webHidden/>
              </w:rPr>
              <w:fldChar w:fldCharType="end"/>
            </w:r>
          </w:hyperlink>
        </w:p>
        <w:p w14:paraId="642BD332" w14:textId="4EBF3877" w:rsidR="004F48B5" w:rsidRDefault="0064282A">
          <w:pPr>
            <w:pStyle w:val="TOC2"/>
            <w:rPr>
              <w:rFonts w:asciiTheme="minorHAnsi" w:hAnsiTheme="minorHAnsi" w:cstheme="minorBidi"/>
              <w:noProof/>
              <w:szCs w:val="22"/>
              <w:lang w:val="en-AU" w:eastAsia="en-AU"/>
            </w:rPr>
          </w:pPr>
          <w:hyperlink w:anchor="_Toc128578520" w:history="1">
            <w:r w:rsidR="004F48B5" w:rsidRPr="008C70A5">
              <w:rPr>
                <w:rStyle w:val="Hyperlink"/>
                <w:noProof/>
              </w:rPr>
              <w:t>ISSUE 4: insufficient funding for students in tertiary education.</w:t>
            </w:r>
            <w:r w:rsidR="004F48B5">
              <w:rPr>
                <w:noProof/>
                <w:webHidden/>
              </w:rPr>
              <w:tab/>
            </w:r>
            <w:r w:rsidR="004F48B5">
              <w:rPr>
                <w:noProof/>
                <w:webHidden/>
              </w:rPr>
              <w:fldChar w:fldCharType="begin"/>
            </w:r>
            <w:r w:rsidR="004F48B5">
              <w:rPr>
                <w:noProof/>
                <w:webHidden/>
              </w:rPr>
              <w:instrText xml:space="preserve"> PAGEREF _Toc128578520 \h </w:instrText>
            </w:r>
            <w:r w:rsidR="004F48B5">
              <w:rPr>
                <w:noProof/>
                <w:webHidden/>
              </w:rPr>
            </w:r>
            <w:r w:rsidR="004F48B5">
              <w:rPr>
                <w:noProof/>
                <w:webHidden/>
              </w:rPr>
              <w:fldChar w:fldCharType="separate"/>
            </w:r>
            <w:r w:rsidR="004F48B5">
              <w:rPr>
                <w:noProof/>
                <w:webHidden/>
              </w:rPr>
              <w:t>17</w:t>
            </w:r>
            <w:r w:rsidR="004F48B5">
              <w:rPr>
                <w:noProof/>
                <w:webHidden/>
              </w:rPr>
              <w:fldChar w:fldCharType="end"/>
            </w:r>
          </w:hyperlink>
        </w:p>
        <w:p w14:paraId="00521616" w14:textId="4C74D294" w:rsidR="004F48B5" w:rsidRDefault="0064282A">
          <w:pPr>
            <w:pStyle w:val="TOC3"/>
            <w:tabs>
              <w:tab w:val="right" w:leader="dot" w:pos="9350"/>
            </w:tabs>
            <w:rPr>
              <w:rFonts w:asciiTheme="minorHAnsi" w:hAnsiTheme="minorHAnsi" w:cstheme="minorBidi"/>
              <w:noProof/>
              <w:szCs w:val="22"/>
              <w:lang w:val="en-AU" w:eastAsia="en-AU"/>
            </w:rPr>
          </w:pPr>
          <w:hyperlink w:anchor="_Toc128578521" w:history="1">
            <w:r w:rsidR="004F48B5" w:rsidRPr="008C70A5">
              <w:rPr>
                <w:rStyle w:val="Hyperlink"/>
                <w:noProof/>
              </w:rPr>
              <w:t>ADCET recommends:</w:t>
            </w:r>
            <w:r w:rsidR="004F48B5">
              <w:rPr>
                <w:noProof/>
                <w:webHidden/>
              </w:rPr>
              <w:tab/>
            </w:r>
            <w:r w:rsidR="004F48B5">
              <w:rPr>
                <w:noProof/>
                <w:webHidden/>
              </w:rPr>
              <w:fldChar w:fldCharType="begin"/>
            </w:r>
            <w:r w:rsidR="004F48B5">
              <w:rPr>
                <w:noProof/>
                <w:webHidden/>
              </w:rPr>
              <w:instrText xml:space="preserve"> PAGEREF _Toc128578521 \h </w:instrText>
            </w:r>
            <w:r w:rsidR="004F48B5">
              <w:rPr>
                <w:noProof/>
                <w:webHidden/>
              </w:rPr>
            </w:r>
            <w:r w:rsidR="004F48B5">
              <w:rPr>
                <w:noProof/>
                <w:webHidden/>
              </w:rPr>
              <w:fldChar w:fldCharType="separate"/>
            </w:r>
            <w:r w:rsidR="004F48B5">
              <w:rPr>
                <w:noProof/>
                <w:webHidden/>
              </w:rPr>
              <w:t>18</w:t>
            </w:r>
            <w:r w:rsidR="004F48B5">
              <w:rPr>
                <w:noProof/>
                <w:webHidden/>
              </w:rPr>
              <w:fldChar w:fldCharType="end"/>
            </w:r>
          </w:hyperlink>
        </w:p>
        <w:p w14:paraId="6825F333" w14:textId="31CDAA6E" w:rsidR="004F48B5" w:rsidRDefault="0064282A">
          <w:pPr>
            <w:pStyle w:val="TOC3"/>
            <w:tabs>
              <w:tab w:val="right" w:leader="dot" w:pos="9350"/>
            </w:tabs>
            <w:rPr>
              <w:rFonts w:asciiTheme="minorHAnsi" w:hAnsiTheme="minorHAnsi" w:cstheme="minorBidi"/>
              <w:noProof/>
              <w:szCs w:val="22"/>
              <w:lang w:val="en-AU" w:eastAsia="en-AU"/>
            </w:rPr>
          </w:pPr>
          <w:hyperlink w:anchor="_Toc128578522" w:history="1">
            <w:r w:rsidR="004F48B5" w:rsidRPr="008C70A5">
              <w:rPr>
                <w:rStyle w:val="Hyperlink"/>
                <w:noProof/>
              </w:rPr>
              <w:t>Current ADCET strategies:</w:t>
            </w:r>
            <w:r w:rsidR="004F48B5">
              <w:rPr>
                <w:noProof/>
                <w:webHidden/>
              </w:rPr>
              <w:tab/>
            </w:r>
            <w:r w:rsidR="004F48B5">
              <w:rPr>
                <w:noProof/>
                <w:webHidden/>
              </w:rPr>
              <w:fldChar w:fldCharType="begin"/>
            </w:r>
            <w:r w:rsidR="004F48B5">
              <w:rPr>
                <w:noProof/>
                <w:webHidden/>
              </w:rPr>
              <w:instrText xml:space="preserve"> PAGEREF _Toc128578522 \h </w:instrText>
            </w:r>
            <w:r w:rsidR="004F48B5">
              <w:rPr>
                <w:noProof/>
                <w:webHidden/>
              </w:rPr>
            </w:r>
            <w:r w:rsidR="004F48B5">
              <w:rPr>
                <w:noProof/>
                <w:webHidden/>
              </w:rPr>
              <w:fldChar w:fldCharType="separate"/>
            </w:r>
            <w:r w:rsidR="004F48B5">
              <w:rPr>
                <w:noProof/>
                <w:webHidden/>
              </w:rPr>
              <w:t>18</w:t>
            </w:r>
            <w:r w:rsidR="004F48B5">
              <w:rPr>
                <w:noProof/>
                <w:webHidden/>
              </w:rPr>
              <w:fldChar w:fldCharType="end"/>
            </w:r>
          </w:hyperlink>
        </w:p>
        <w:p w14:paraId="12EFE7FD" w14:textId="5E332BFE" w:rsidR="004F48B5" w:rsidRDefault="0064282A">
          <w:pPr>
            <w:pStyle w:val="TOC1"/>
            <w:rPr>
              <w:rFonts w:asciiTheme="minorHAnsi" w:hAnsiTheme="minorHAnsi" w:cstheme="minorBidi"/>
              <w:noProof/>
              <w:szCs w:val="22"/>
              <w:lang w:val="en-AU" w:eastAsia="en-AU"/>
            </w:rPr>
          </w:pPr>
          <w:hyperlink w:anchor="_Toc128578523" w:history="1">
            <w:r w:rsidR="004F48B5" w:rsidRPr="008C70A5">
              <w:rPr>
                <w:rStyle w:val="Hyperlink"/>
                <w:rFonts w:cs="Arial"/>
                <w:noProof/>
              </w:rPr>
              <w:t>References</w:t>
            </w:r>
            <w:r w:rsidR="004F48B5">
              <w:rPr>
                <w:noProof/>
                <w:webHidden/>
              </w:rPr>
              <w:tab/>
            </w:r>
            <w:r w:rsidR="004F48B5">
              <w:rPr>
                <w:noProof/>
                <w:webHidden/>
              </w:rPr>
              <w:fldChar w:fldCharType="begin"/>
            </w:r>
            <w:r w:rsidR="004F48B5">
              <w:rPr>
                <w:noProof/>
                <w:webHidden/>
              </w:rPr>
              <w:instrText xml:space="preserve"> PAGEREF _Toc128578523 \h </w:instrText>
            </w:r>
            <w:r w:rsidR="004F48B5">
              <w:rPr>
                <w:noProof/>
                <w:webHidden/>
              </w:rPr>
            </w:r>
            <w:r w:rsidR="004F48B5">
              <w:rPr>
                <w:noProof/>
                <w:webHidden/>
              </w:rPr>
              <w:fldChar w:fldCharType="separate"/>
            </w:r>
            <w:r w:rsidR="004F48B5">
              <w:rPr>
                <w:noProof/>
                <w:webHidden/>
              </w:rPr>
              <w:t>20</w:t>
            </w:r>
            <w:r w:rsidR="004F48B5">
              <w:rPr>
                <w:noProof/>
                <w:webHidden/>
              </w:rPr>
              <w:fldChar w:fldCharType="end"/>
            </w:r>
          </w:hyperlink>
        </w:p>
        <w:p w14:paraId="3029C167" w14:textId="18A38B76" w:rsidR="00FE0E4C" w:rsidRDefault="00FE0E4C">
          <w:r>
            <w:rPr>
              <w:b/>
              <w:bCs/>
              <w:noProof/>
            </w:rPr>
            <w:fldChar w:fldCharType="end"/>
          </w:r>
        </w:p>
      </w:sdtContent>
    </w:sdt>
    <w:p w14:paraId="404CB547" w14:textId="515B2226" w:rsidR="00B87B4B" w:rsidRDefault="00B87B4B">
      <w:pPr>
        <w:rPr>
          <w:b/>
          <w:bCs/>
          <w:color w:val="2F5496" w:themeColor="accent1" w:themeShade="BF"/>
          <w:kern w:val="36"/>
          <w:sz w:val="36"/>
          <w:szCs w:val="48"/>
          <w:lang w:val="en-AU" w:eastAsia="en-AU"/>
        </w:rPr>
      </w:pPr>
      <w:r>
        <w:rPr>
          <w:b/>
          <w:bCs/>
          <w:color w:val="2F5496" w:themeColor="accent1" w:themeShade="BF"/>
          <w:kern w:val="36"/>
          <w:sz w:val="36"/>
          <w:szCs w:val="48"/>
          <w:lang w:val="en-AU" w:eastAsia="en-AU"/>
        </w:rPr>
        <w:br w:type="page"/>
      </w:r>
    </w:p>
    <w:p w14:paraId="7260D685" w14:textId="26846613" w:rsidR="000B3872" w:rsidRDefault="00816C0E" w:rsidP="004A29CE">
      <w:pPr>
        <w:pStyle w:val="Heading1"/>
        <w:rPr>
          <w:lang w:val="en-AU" w:eastAsia="en-AU"/>
        </w:rPr>
      </w:pPr>
      <w:bookmarkStart w:id="1" w:name="_Toc128578509"/>
      <w:r>
        <w:rPr>
          <w:lang w:val="en-AU" w:eastAsia="en-AU"/>
        </w:rPr>
        <w:lastRenderedPageBreak/>
        <w:t>About ADCET</w:t>
      </w:r>
      <w:bookmarkEnd w:id="0"/>
      <w:bookmarkEnd w:id="1"/>
    </w:p>
    <w:p w14:paraId="4C3E00FF" w14:textId="158ED64A" w:rsidR="000B3872" w:rsidRPr="00306FE9" w:rsidRDefault="0081796B" w:rsidP="00306FE9">
      <w:pPr>
        <w:rPr>
          <w:rStyle w:val="eop"/>
          <w:rFonts w:eastAsia="Arial" w:cs="Arial"/>
        </w:rPr>
      </w:pPr>
      <w:r>
        <w:rPr>
          <w:rStyle w:val="normaltextrun"/>
          <w:rFonts w:cs="Arial"/>
        </w:rPr>
        <w:t>A</w:t>
      </w:r>
      <w:r w:rsidR="00306FE9">
        <w:rPr>
          <w:rStyle w:val="normaltextrun"/>
          <w:rFonts w:cs="Arial"/>
        </w:rPr>
        <w:t>DCET (A</w:t>
      </w:r>
      <w:r>
        <w:rPr>
          <w:rStyle w:val="normaltextrun"/>
          <w:rFonts w:cs="Arial"/>
        </w:rPr>
        <w:t>ustralian Disability Clearinghouse on Education and Trainin</w:t>
      </w:r>
      <w:r w:rsidR="5E777C41">
        <w:rPr>
          <w:rStyle w:val="normaltextrun"/>
          <w:rFonts w:cs="Arial"/>
        </w:rPr>
        <w:t>g</w:t>
      </w:r>
      <w:r w:rsidR="00306FE9">
        <w:rPr>
          <w:rStyle w:val="normaltextrun"/>
          <w:rFonts w:cs="Arial"/>
        </w:rPr>
        <w:t>)</w:t>
      </w:r>
      <w:r w:rsidR="3F1AE2C8" w:rsidRPr="71D41EBF">
        <w:rPr>
          <w:lang w:val="en-AU"/>
        </w:rPr>
        <w:t xml:space="preserve"> provides national leadership in the inclusion of people with disability in </w:t>
      </w:r>
      <w:r w:rsidR="00A046EB">
        <w:rPr>
          <w:lang w:val="en-AU"/>
        </w:rPr>
        <w:t xml:space="preserve">the </w:t>
      </w:r>
      <w:r w:rsidR="3F1AE2C8" w:rsidRPr="71D41EBF">
        <w:rPr>
          <w:lang w:val="en-AU"/>
        </w:rPr>
        <w:t xml:space="preserve">tertiary education </w:t>
      </w:r>
      <w:r w:rsidR="00A046EB">
        <w:rPr>
          <w:lang w:val="en-AU"/>
        </w:rPr>
        <w:t xml:space="preserve">sector </w:t>
      </w:r>
      <w:r w:rsidR="00C1627C">
        <w:rPr>
          <w:lang w:val="en-AU"/>
        </w:rPr>
        <w:t>by</w:t>
      </w:r>
      <w:r w:rsidR="3F1AE2C8" w:rsidRPr="71D41EBF">
        <w:rPr>
          <w:lang w:val="en-AU"/>
        </w:rPr>
        <w:t xml:space="preserve"> providing information and professional development for educators and support staff.</w:t>
      </w:r>
      <w:r w:rsidR="3F1AE2C8" w:rsidRPr="71D41EBF">
        <w:rPr>
          <w:rStyle w:val="normaltextrun"/>
          <w:rFonts w:eastAsia="Arial" w:cs="Arial"/>
        </w:rPr>
        <w:t xml:space="preserve"> </w:t>
      </w:r>
      <w:r w:rsidR="000B3872">
        <w:rPr>
          <w:rStyle w:val="eop"/>
          <w:rFonts w:cs="Arial"/>
        </w:rPr>
        <w:t> </w:t>
      </w:r>
      <w:r w:rsidR="024A79EA">
        <w:rPr>
          <w:rStyle w:val="eop"/>
          <w:rFonts w:cs="Arial"/>
        </w:rPr>
        <w:t xml:space="preserve"> </w:t>
      </w:r>
    </w:p>
    <w:p w14:paraId="15C73773" w14:textId="77777777" w:rsidR="00D7040B" w:rsidRDefault="00D7040B" w:rsidP="00D7040B">
      <w:pPr>
        <w:rPr>
          <w:lang w:val="en-AU" w:eastAsia="en-AU"/>
        </w:rPr>
      </w:pPr>
    </w:p>
    <w:p w14:paraId="1C75914A" w14:textId="0E955CE9" w:rsidR="00D7040B" w:rsidRPr="00D7040B" w:rsidRDefault="00D7040B" w:rsidP="00D7040B">
      <w:pPr>
        <w:rPr>
          <w:lang w:val="en-AU" w:eastAsia="en-AU"/>
        </w:rPr>
      </w:pPr>
      <w:r>
        <w:rPr>
          <w:lang w:val="en-AU" w:eastAsia="en-AU"/>
        </w:rPr>
        <w:t>Our approach is sector-led drawing on good practice, research and the lived experience of people with disability to d</w:t>
      </w:r>
      <w:r w:rsidR="00790A70">
        <w:rPr>
          <w:lang w:val="en-AU" w:eastAsia="en-AU"/>
        </w:rPr>
        <w:t>evelop resources</w:t>
      </w:r>
      <w:r w:rsidR="00F244C6">
        <w:rPr>
          <w:lang w:val="en-AU" w:eastAsia="en-AU"/>
        </w:rPr>
        <w:t xml:space="preserve"> and content</w:t>
      </w:r>
      <w:r w:rsidR="003D4746">
        <w:rPr>
          <w:lang w:val="en-AU" w:eastAsia="en-AU"/>
        </w:rPr>
        <w:t xml:space="preserve"> of national significance </w:t>
      </w:r>
      <w:r w:rsidR="006453D5">
        <w:rPr>
          <w:lang w:val="en-AU" w:eastAsia="en-AU"/>
        </w:rPr>
        <w:t>which drives positive change in the tertiary education sector</w:t>
      </w:r>
      <w:r w:rsidR="00DF787F">
        <w:rPr>
          <w:lang w:val="en-AU" w:eastAsia="en-AU"/>
        </w:rPr>
        <w:t xml:space="preserve"> (Higher Education and VET)</w:t>
      </w:r>
      <w:r w:rsidR="006453D5">
        <w:rPr>
          <w:lang w:val="en-AU" w:eastAsia="en-AU"/>
        </w:rPr>
        <w:t xml:space="preserve">. </w:t>
      </w:r>
      <w:r w:rsidR="00CE3236">
        <w:rPr>
          <w:lang w:val="en-AU" w:eastAsia="en-AU"/>
        </w:rPr>
        <w:t>Our projects</w:t>
      </w:r>
      <w:r w:rsidR="00477723">
        <w:rPr>
          <w:lang w:val="en-AU" w:eastAsia="en-AU"/>
        </w:rPr>
        <w:t xml:space="preserve">, activities and resources are </w:t>
      </w:r>
      <w:r w:rsidR="00C25E39">
        <w:rPr>
          <w:lang w:val="en-AU" w:eastAsia="en-AU"/>
        </w:rPr>
        <w:t xml:space="preserve">highly </w:t>
      </w:r>
      <w:r w:rsidR="00AE5AD8">
        <w:rPr>
          <w:lang w:val="en-AU" w:eastAsia="en-AU"/>
        </w:rPr>
        <w:t>strategic</w:t>
      </w:r>
      <w:r w:rsidR="00C25E39">
        <w:rPr>
          <w:lang w:val="en-AU" w:eastAsia="en-AU"/>
        </w:rPr>
        <w:t xml:space="preserve"> building </w:t>
      </w:r>
      <w:r w:rsidR="002A3DC4">
        <w:rPr>
          <w:lang w:val="en-AU" w:eastAsia="en-AU"/>
        </w:rPr>
        <w:t xml:space="preserve">capacity </w:t>
      </w:r>
      <w:r w:rsidR="00E13DDB">
        <w:rPr>
          <w:lang w:val="en-AU" w:eastAsia="en-AU"/>
        </w:rPr>
        <w:t xml:space="preserve">within and </w:t>
      </w:r>
      <w:r w:rsidR="002A3DC4">
        <w:rPr>
          <w:lang w:val="en-AU" w:eastAsia="en-AU"/>
        </w:rPr>
        <w:t>across the tertiary education sector</w:t>
      </w:r>
      <w:r w:rsidR="002A3DC4" w:rsidRPr="002A3DC4">
        <w:rPr>
          <w:rStyle w:val="normaltextrun"/>
          <w:rFonts w:cs="Arial"/>
        </w:rPr>
        <w:t xml:space="preserve"> </w:t>
      </w:r>
      <w:r w:rsidR="002A3DC4">
        <w:rPr>
          <w:rStyle w:val="normaltextrun"/>
          <w:rFonts w:cs="Arial"/>
        </w:rPr>
        <w:t>to enable full access, participation, retention and success of students with disability.</w:t>
      </w:r>
      <w:r w:rsidR="002A3DC4">
        <w:rPr>
          <w:rStyle w:val="eop"/>
          <w:rFonts w:cs="Arial"/>
        </w:rPr>
        <w:t> </w:t>
      </w:r>
    </w:p>
    <w:p w14:paraId="01B90F35" w14:textId="77777777" w:rsidR="000B3872" w:rsidRDefault="000B3872" w:rsidP="000B3872">
      <w:pPr>
        <w:pStyle w:val="paragraph"/>
        <w:spacing w:before="0" w:beforeAutospacing="0" w:after="0" w:afterAutospacing="0"/>
        <w:textAlignment w:val="baseline"/>
        <w:rPr>
          <w:rFonts w:ascii="Segoe UI" w:hAnsi="Segoe UI" w:cs="Segoe UI"/>
          <w:sz w:val="18"/>
          <w:szCs w:val="18"/>
        </w:rPr>
      </w:pPr>
    </w:p>
    <w:p w14:paraId="61BAC4F2" w14:textId="0279F240" w:rsidR="006870B9" w:rsidRDefault="00FB1636" w:rsidP="006870B9">
      <w:r>
        <w:rPr>
          <w:rStyle w:val="eop"/>
          <w:rFonts w:cs="Arial"/>
        </w:rPr>
        <w:t>ADCET has j</w:t>
      </w:r>
      <w:r w:rsidR="00816C0E" w:rsidRPr="7C7B12C3">
        <w:rPr>
          <w:rStyle w:val="eop"/>
          <w:rFonts w:cs="Arial"/>
        </w:rPr>
        <w:t>ust celebrated 20 years in the tertiary education sector and ha</w:t>
      </w:r>
      <w:r w:rsidR="00E202A7">
        <w:rPr>
          <w:rStyle w:val="eop"/>
          <w:rFonts w:cs="Arial"/>
        </w:rPr>
        <w:t>s</w:t>
      </w:r>
      <w:r w:rsidR="00816C0E" w:rsidRPr="7C7B12C3">
        <w:rPr>
          <w:rStyle w:val="eop"/>
          <w:rFonts w:cs="Arial"/>
        </w:rPr>
        <w:t xml:space="preserve"> high levels of </w:t>
      </w:r>
      <w:hyperlink r:id="rId15">
        <w:r w:rsidR="00C725AF">
          <w:rPr>
            <w:rStyle w:val="Hyperlink"/>
          </w:rPr>
          <w:t>impact and e</w:t>
        </w:r>
        <w:r w:rsidR="00816C0E" w:rsidRPr="7C7B12C3">
          <w:rPr>
            <w:rStyle w:val="Hyperlink"/>
          </w:rPr>
          <w:t>ngagement</w:t>
        </w:r>
      </w:hyperlink>
      <w:r w:rsidR="00816C0E" w:rsidRPr="7C7B12C3">
        <w:rPr>
          <w:rFonts w:cs="Arial"/>
        </w:rPr>
        <w:t>.</w:t>
      </w:r>
      <w:r w:rsidR="00816C0E">
        <w:rPr>
          <w:rFonts w:cs="Arial"/>
        </w:rPr>
        <w:t xml:space="preserve"> </w:t>
      </w:r>
      <w:r w:rsidR="006870B9">
        <w:rPr>
          <w:rFonts w:cs="Arial"/>
        </w:rPr>
        <w:t xml:space="preserve">This includes </w:t>
      </w:r>
      <w:r w:rsidR="006870B9">
        <w:t>over 1</w:t>
      </w:r>
      <w:r w:rsidR="00FB23B3">
        <w:t>.</w:t>
      </w:r>
      <w:r w:rsidR="00B95237">
        <w:t>1</w:t>
      </w:r>
      <w:r w:rsidR="006870B9">
        <w:t xml:space="preserve"> million website engagements annually</w:t>
      </w:r>
      <w:r w:rsidR="00B95237">
        <w:t>;</w:t>
      </w:r>
      <w:r w:rsidR="006870B9">
        <w:t xml:space="preserve"> 33</w:t>
      </w:r>
      <w:r w:rsidR="00E202A7">
        <w:t>,</w:t>
      </w:r>
      <w:r w:rsidR="005A5AC7">
        <w:t>000</w:t>
      </w:r>
      <w:r w:rsidR="006870B9">
        <w:t xml:space="preserve"> enrolments in Disability Awareness eLearning</w:t>
      </w:r>
      <w:r w:rsidR="00B95237">
        <w:t>;</w:t>
      </w:r>
      <w:r w:rsidR="006870B9">
        <w:t xml:space="preserve"> and </w:t>
      </w:r>
      <w:r w:rsidR="00FF077F">
        <w:t>5</w:t>
      </w:r>
      <w:r w:rsidR="00B95237">
        <w:t>,</w:t>
      </w:r>
      <w:r w:rsidR="005A5AC7">
        <w:t>000</w:t>
      </w:r>
      <w:r w:rsidR="006870B9">
        <w:t xml:space="preserve"> social media and newsletter subscribers.</w:t>
      </w:r>
    </w:p>
    <w:p w14:paraId="2BA58687" w14:textId="77777777" w:rsidR="000B3872" w:rsidRDefault="000B3872" w:rsidP="000B3872">
      <w:pPr>
        <w:pStyle w:val="paragraph"/>
        <w:spacing w:before="0" w:beforeAutospacing="0" w:after="0" w:afterAutospacing="0"/>
        <w:textAlignment w:val="baseline"/>
        <w:rPr>
          <w:rStyle w:val="eop"/>
          <w:rFonts w:cs="Arial"/>
        </w:rPr>
      </w:pPr>
    </w:p>
    <w:p w14:paraId="7A5C58F9" w14:textId="1E7CB226" w:rsidR="000B3872" w:rsidRPr="00852E4A" w:rsidRDefault="000B3872" w:rsidP="000B3872">
      <w:r>
        <w:rPr>
          <w:rStyle w:val="eop"/>
          <w:rFonts w:cs="Arial"/>
        </w:rPr>
        <w:t xml:space="preserve">ADCET is funded through the Higher Education Disability Support Program (HEDSP) </w:t>
      </w:r>
      <w:r w:rsidRPr="00052347">
        <w:t xml:space="preserve">within the </w:t>
      </w:r>
      <w:hyperlink r:id="rId16" w:tgtFrame="_blank" w:history="1">
        <w:r w:rsidRPr="00052347">
          <w:rPr>
            <w:rStyle w:val="Hyperlink"/>
          </w:rPr>
          <w:t>Higher Education Support (Other Grants) Guidelines 2022</w:t>
        </w:r>
      </w:hyperlink>
      <w:r w:rsidRPr="00052347">
        <w:t>.</w:t>
      </w:r>
      <w:r>
        <w:rPr>
          <w:rStyle w:val="normaltextrun"/>
          <w:rFonts w:ascii="Calibri" w:hAnsi="Calibri" w:cs="Calibri"/>
          <w:szCs w:val="22"/>
        </w:rPr>
        <w:t xml:space="preserve"> </w:t>
      </w:r>
      <w:r w:rsidRPr="00852E4A">
        <w:t>Under this legislation Part 3, Division 2, 42) ADCET has two key program objectives: </w:t>
      </w:r>
    </w:p>
    <w:p w14:paraId="43CE2FC9" w14:textId="795D0450" w:rsidR="000B3872" w:rsidRPr="00852E4A" w:rsidRDefault="000B3872" w:rsidP="000B3872">
      <w:pPr>
        <w:pStyle w:val="bullettedlist"/>
      </w:pPr>
      <w:r w:rsidRPr="00852E4A">
        <w:rPr>
          <w:rStyle w:val="normaltextrun"/>
        </w:rPr>
        <w:t>specified as a program for the purpose of promoting equality of opportunity in higher education</w:t>
      </w:r>
      <w:r w:rsidR="007A6BB3">
        <w:rPr>
          <w:rStyle w:val="FootnoteReference"/>
        </w:rPr>
        <w:footnoteReference w:id="2"/>
      </w:r>
      <w:r w:rsidRPr="00852E4A">
        <w:rPr>
          <w:rStyle w:val="eop"/>
        </w:rPr>
        <w:t> </w:t>
      </w:r>
    </w:p>
    <w:p w14:paraId="580BF814" w14:textId="52DC1C2C" w:rsidR="000B3872" w:rsidRPr="00852E4A" w:rsidRDefault="000B3872" w:rsidP="000B3872">
      <w:pPr>
        <w:pStyle w:val="bullettedlist"/>
      </w:pPr>
      <w:r w:rsidRPr="00852E4A">
        <w:rPr>
          <w:rStyle w:val="normaltextrun"/>
        </w:rPr>
        <w:t>provide</w:t>
      </w:r>
      <w:r w:rsidR="0048003E">
        <w:rPr>
          <w:rStyle w:val="normaltextrun"/>
        </w:rPr>
        <w:t>s</w:t>
      </w:r>
      <w:r w:rsidRPr="00852E4A">
        <w:rPr>
          <w:rStyle w:val="normaltextrun"/>
        </w:rPr>
        <w:t xml:space="preserve"> information, advice, and online resources (including in a form able to be downloaded and used) through a website, hosted by a provider, to disability practitioners, </w:t>
      </w:r>
      <w:r w:rsidR="00AF6073" w:rsidRPr="00852E4A">
        <w:rPr>
          <w:rStyle w:val="normaltextrun"/>
        </w:rPr>
        <w:t>teachers,</w:t>
      </w:r>
      <w:r w:rsidRPr="00852E4A">
        <w:rPr>
          <w:rStyle w:val="normaltextrun"/>
        </w:rPr>
        <w:t xml:space="preserve"> and students to promote inclusive teaching and learning practices for students with disability.</w:t>
      </w:r>
      <w:r w:rsidRPr="00852E4A">
        <w:rPr>
          <w:rStyle w:val="eop"/>
        </w:rPr>
        <w:t> </w:t>
      </w:r>
    </w:p>
    <w:p w14:paraId="5E38EABC" w14:textId="77777777" w:rsidR="000B3872" w:rsidRDefault="000B3872" w:rsidP="000B3872">
      <w:pPr>
        <w:pStyle w:val="paragraph"/>
        <w:spacing w:before="0" w:beforeAutospacing="0" w:after="0" w:afterAutospacing="0"/>
        <w:textAlignment w:val="baseline"/>
        <w:rPr>
          <w:rFonts w:ascii="Segoe UI" w:hAnsi="Segoe UI" w:cs="Segoe UI"/>
          <w:sz w:val="18"/>
          <w:szCs w:val="18"/>
        </w:rPr>
      </w:pPr>
    </w:p>
    <w:p w14:paraId="48921579" w14:textId="6BA12EFA" w:rsidR="000B3872" w:rsidRDefault="009E4C17" w:rsidP="000B3872">
      <w:r>
        <w:t xml:space="preserve">ADCET </w:t>
      </w:r>
      <w:r w:rsidRPr="000A4F4C">
        <w:t>receive</w:t>
      </w:r>
      <w:r>
        <w:t>s</w:t>
      </w:r>
      <w:r w:rsidRPr="000A4F4C">
        <w:t xml:space="preserve"> between $75,000 and $150,000 annually relying on </w:t>
      </w:r>
      <w:r w:rsidRPr="009E4C17">
        <w:rPr>
          <w:i/>
          <w:iCs/>
        </w:rPr>
        <w:t>ad hoc</w:t>
      </w:r>
      <w:r w:rsidRPr="000A4F4C">
        <w:t xml:space="preserve"> project funding and a small </w:t>
      </w:r>
      <w:r>
        <w:t>grant</w:t>
      </w:r>
      <w:r w:rsidRPr="000A4F4C">
        <w:t xml:space="preserve"> for </w:t>
      </w:r>
      <w:r w:rsidR="00A8339B">
        <w:t xml:space="preserve">two </w:t>
      </w:r>
      <w:r w:rsidRPr="000A4F4C">
        <w:t>staff</w:t>
      </w:r>
      <w:r w:rsidR="00A8339B">
        <w:t xml:space="preserve"> (the Manager and Assistive Technology specialist)</w:t>
      </w:r>
      <w:r w:rsidRPr="000A4F4C">
        <w:t xml:space="preserve"> via the National Disability Coordination Officer (NDCO) Program. </w:t>
      </w:r>
      <w:r w:rsidR="000B3872">
        <w:t xml:space="preserve">ADCET </w:t>
      </w:r>
      <w:r w:rsidR="00B7305B">
        <w:t xml:space="preserve">has been </w:t>
      </w:r>
      <w:r w:rsidR="000B3872">
        <w:t>hosted by the University of Tasmania</w:t>
      </w:r>
      <w:r w:rsidR="00B7305B">
        <w:t xml:space="preserve"> for 20 years and administration of ADCET is managed through the Department of Education</w:t>
      </w:r>
      <w:r w:rsidR="000B3872">
        <w:t>.</w:t>
      </w:r>
    </w:p>
    <w:p w14:paraId="7B4B805F" w14:textId="77777777" w:rsidR="000B3872" w:rsidRDefault="000B3872" w:rsidP="000B3872"/>
    <w:p w14:paraId="1A88C7F5" w14:textId="7BDE1A64" w:rsidR="00B87B4B" w:rsidRDefault="000B3872" w:rsidP="000B3872">
      <w:r>
        <w:t>ADCET is primarily focused on people with disability but recognises the intersectionality of people with disability with other identities including Aboriginality, gender diversity, socio-economic and geographic can further impact their access and participation in tertiary education.</w:t>
      </w:r>
    </w:p>
    <w:p w14:paraId="12A77521" w14:textId="77777777" w:rsidR="00B87B4B" w:rsidRDefault="00B87B4B">
      <w:r>
        <w:br w:type="page"/>
      </w:r>
    </w:p>
    <w:p w14:paraId="2311C5CD" w14:textId="77777777" w:rsidR="000B3872" w:rsidRDefault="000B3872" w:rsidP="000B3872"/>
    <w:p w14:paraId="27C7BA56" w14:textId="02EE9093" w:rsidR="00FC5BE8" w:rsidRDefault="00FC5BE8" w:rsidP="00FC5BE8">
      <w:pPr>
        <w:pStyle w:val="Heading2"/>
      </w:pPr>
      <w:bookmarkStart w:id="2" w:name="_Toc128578510"/>
      <w:bookmarkStart w:id="3" w:name="_Toc122011815"/>
      <w:r>
        <w:t>Alignment and context with Standing Committee’s Terms of Reference</w:t>
      </w:r>
      <w:bookmarkEnd w:id="2"/>
    </w:p>
    <w:p w14:paraId="58B3EE1C" w14:textId="41828875" w:rsidR="00F2607F" w:rsidRDefault="00C1551B" w:rsidP="00FC5BE8">
      <w:r>
        <w:t xml:space="preserve">In the context of the terms of reference ADCET’s submission will </w:t>
      </w:r>
      <w:r w:rsidR="00FB6B40">
        <w:t>specifically address</w:t>
      </w:r>
      <w:r w:rsidR="00F2607F">
        <w:t xml:space="preserve"> the </w:t>
      </w:r>
      <w:r w:rsidR="004229C2">
        <w:t>perspectives</w:t>
      </w:r>
      <w:r w:rsidR="00F2607F">
        <w:t xml:space="preserve"> and status of VET and Commonwealth supported information on VET as it pertains to the </w:t>
      </w:r>
      <w:r w:rsidR="00423B8D">
        <w:t>“</w:t>
      </w:r>
      <w:r w:rsidR="00F2607F" w:rsidRPr="7B731FF6">
        <w:t>education and training choices of students, particularly those who lack the necessary foundation skills, or experience other disadvantages</w:t>
      </w:r>
      <w:r w:rsidR="00423B8D">
        <w:t>”. In particular our focus is on people with disability (noting that intersectionality</w:t>
      </w:r>
      <w:r w:rsidR="004229C2">
        <w:t xml:space="preserve"> can further impact access, participation and success).</w:t>
      </w:r>
    </w:p>
    <w:p w14:paraId="47A52081" w14:textId="77777777" w:rsidR="004229C2" w:rsidRDefault="004229C2" w:rsidP="0029371C">
      <w:pPr>
        <w:rPr>
          <w:rFonts w:ascii="Open Sans" w:eastAsia="Open Sans" w:hAnsi="Open Sans" w:cs="Open Sans"/>
          <w:color w:val="222222"/>
          <w:szCs w:val="22"/>
        </w:rPr>
      </w:pPr>
    </w:p>
    <w:p w14:paraId="178B92BE" w14:textId="63C58B69" w:rsidR="00FB67DB" w:rsidRPr="00A550B9" w:rsidRDefault="001B48AD" w:rsidP="007E65BF">
      <w:r>
        <w:t>Rece</w:t>
      </w:r>
      <w:r w:rsidR="00863567">
        <w:t xml:space="preserve">nt reports from the National Skills Commission report that </w:t>
      </w:r>
      <w:r w:rsidR="00FB67DB">
        <w:t xml:space="preserve">“more than nine out of </w:t>
      </w:r>
      <w:r w:rsidR="00831686">
        <w:t>ten</w:t>
      </w:r>
      <w:r w:rsidR="00FB67DB">
        <w:t xml:space="preserve"> jobs will require further study after school</w:t>
      </w:r>
      <w:r w:rsidR="00FB67DB">
        <w:rPr>
          <w:rStyle w:val="FootnoteReference"/>
          <w:rFonts w:cs="Arial"/>
          <w:color w:val="171572"/>
          <w:spacing w:val="2"/>
        </w:rPr>
        <w:footnoteReference w:id="3"/>
      </w:r>
      <w:r w:rsidR="007E65BF">
        <w:t xml:space="preserve">”. </w:t>
      </w:r>
      <w:r w:rsidR="007E65BF" w:rsidRPr="00A550B9">
        <w:t>Yet</w:t>
      </w:r>
      <w:r w:rsidR="00257011" w:rsidRPr="00A550B9">
        <w:t xml:space="preserve"> of the 19% of students with disability go to school only</w:t>
      </w:r>
      <w:r w:rsidR="00407A38">
        <w:t xml:space="preserve"> about</w:t>
      </w:r>
      <w:r w:rsidR="00257011" w:rsidRPr="00A550B9">
        <w:t xml:space="preserve"> 7% of students enrol in higher education have a disability and </w:t>
      </w:r>
      <w:r w:rsidR="00407A38">
        <w:t xml:space="preserve">around </w:t>
      </w:r>
      <w:r w:rsidR="00257011" w:rsidRPr="00A550B9">
        <w:t>6% of students with disability are enrolled in VET</w:t>
      </w:r>
      <w:r w:rsidR="00E226B2" w:rsidRPr="00A550B9">
        <w:rPr>
          <w:vertAlign w:val="superscript"/>
        </w:rPr>
        <w:footnoteReference w:id="4"/>
      </w:r>
      <w:r w:rsidR="00257011" w:rsidRPr="00A550B9">
        <w:t>.</w:t>
      </w:r>
    </w:p>
    <w:p w14:paraId="44CD9662" w14:textId="60893633" w:rsidR="00070652" w:rsidRDefault="00070652" w:rsidP="004A331C"/>
    <w:p w14:paraId="4CE5FE25" w14:textId="0CC38B8F" w:rsidR="004A331C" w:rsidRPr="00070652" w:rsidRDefault="004A331C" w:rsidP="004A331C">
      <w:r w:rsidRPr="00070652">
        <w:t xml:space="preserve">ADCET draws on the experiences of disability practitioners, educators, staff and students within the tertiary education sectors (Higher Education and VET) and </w:t>
      </w:r>
      <w:r w:rsidR="00F32FA6" w:rsidRPr="00070652">
        <w:t xml:space="preserve">has identified four key </w:t>
      </w:r>
      <w:r w:rsidRPr="00070652">
        <w:t xml:space="preserve">underlying causes </w:t>
      </w:r>
      <w:r w:rsidR="00F32FA6" w:rsidRPr="00070652">
        <w:t>to inclusi</w:t>
      </w:r>
      <w:r w:rsidR="006A26BF" w:rsidRPr="00070652">
        <w:t>on of people with disability in post-secondary education.</w:t>
      </w:r>
    </w:p>
    <w:p w14:paraId="0587EB96" w14:textId="77777777" w:rsidR="001E79A6" w:rsidRPr="00070652" w:rsidRDefault="001E79A6" w:rsidP="0029371C"/>
    <w:p w14:paraId="329EF81B" w14:textId="4E32C9B2" w:rsidR="001A5187" w:rsidRPr="00070652" w:rsidRDefault="001A5187" w:rsidP="006A26BF">
      <w:pPr>
        <w:pStyle w:val="bullettedlist"/>
        <w:numPr>
          <w:ilvl w:val="0"/>
          <w:numId w:val="20"/>
        </w:numPr>
      </w:pPr>
      <w:r w:rsidRPr="00070652">
        <w:t xml:space="preserve">failure of some tertiary education providers to address physical, digital, learning and cultural environments within their organisations adequately </w:t>
      </w:r>
      <w:r w:rsidR="0064467C">
        <w:t>which enable people with disability to participation</w:t>
      </w:r>
    </w:p>
    <w:p w14:paraId="17A0FFAC" w14:textId="77777777" w:rsidR="001A5187" w:rsidRPr="00070652" w:rsidRDefault="001A5187" w:rsidP="006A26BF">
      <w:pPr>
        <w:pStyle w:val="bullettedlist"/>
        <w:numPr>
          <w:ilvl w:val="0"/>
          <w:numId w:val="20"/>
        </w:numPr>
      </w:pPr>
      <w:r w:rsidRPr="00070652">
        <w:t xml:space="preserve">a culture of low expectations around people with disability and their ability to engage with post-school study </w:t>
      </w:r>
    </w:p>
    <w:p w14:paraId="167D377D" w14:textId="6470A22E" w:rsidR="001A5187" w:rsidRPr="00070652" w:rsidRDefault="001A5187" w:rsidP="006A26BF">
      <w:pPr>
        <w:pStyle w:val="bullettedlist"/>
        <w:numPr>
          <w:ilvl w:val="0"/>
          <w:numId w:val="20"/>
        </w:numPr>
      </w:pPr>
      <w:r w:rsidRPr="00070652">
        <w:t>failure of tertiary education providers to understand the legislative framework</w:t>
      </w:r>
      <w:r w:rsidR="00A550B9">
        <w:t xml:space="preserve"> for </w:t>
      </w:r>
      <w:r w:rsidR="002F35E3">
        <w:t>disability</w:t>
      </w:r>
      <w:r w:rsidR="00011320">
        <w:t xml:space="preserve"> and </w:t>
      </w:r>
      <w:r w:rsidR="00A550B9">
        <w:t>how to support people</w:t>
      </w:r>
      <w:r w:rsidRPr="00070652">
        <w:t xml:space="preserve"> </w:t>
      </w:r>
      <w:r w:rsidR="00A550B9">
        <w:t xml:space="preserve">with </w:t>
      </w:r>
      <w:r w:rsidRPr="00070652">
        <w:t>disability</w:t>
      </w:r>
      <w:r w:rsidR="00A550B9">
        <w:t xml:space="preserve"> appropriately</w:t>
      </w:r>
    </w:p>
    <w:p w14:paraId="5CC66D42" w14:textId="1D528F05" w:rsidR="001A5187" w:rsidRDefault="001A5187" w:rsidP="006A26BF">
      <w:pPr>
        <w:pStyle w:val="bullettedlist"/>
        <w:numPr>
          <w:ilvl w:val="0"/>
          <w:numId w:val="20"/>
        </w:numPr>
      </w:pPr>
      <w:r w:rsidRPr="00070652">
        <w:t xml:space="preserve">insufficient funding for students in tertiary </w:t>
      </w:r>
      <w:r w:rsidR="00011320">
        <w:t xml:space="preserve">education </w:t>
      </w:r>
      <w:r w:rsidR="002F35E3">
        <w:t>b</w:t>
      </w:r>
      <w:r w:rsidR="00011320">
        <w:t xml:space="preserve">roadly but specifically in </w:t>
      </w:r>
      <w:r w:rsidR="002F35E3">
        <w:t>the</w:t>
      </w:r>
      <w:r w:rsidR="00011320">
        <w:t xml:space="preserve"> VET sector</w:t>
      </w:r>
      <w:r w:rsidRPr="00070652">
        <w:t>.</w:t>
      </w:r>
    </w:p>
    <w:p w14:paraId="53E9EC88" w14:textId="77777777" w:rsidR="00FC39B8" w:rsidRDefault="00FC39B8" w:rsidP="00FC39B8"/>
    <w:p w14:paraId="1FC5D854" w14:textId="1AB2AED5" w:rsidR="00FC39B8" w:rsidRPr="00070652" w:rsidRDefault="00FC39B8" w:rsidP="00FC39B8">
      <w:r>
        <w:t>These key issues are outlined below with reference to some potential solutions as well as strategies ADCET has in place to facilitate change.</w:t>
      </w:r>
    </w:p>
    <w:p w14:paraId="345C7D96" w14:textId="77777777" w:rsidR="001E79A6" w:rsidRDefault="001E79A6" w:rsidP="0029371C"/>
    <w:p w14:paraId="0FE21147" w14:textId="77777777" w:rsidR="00FC39B8" w:rsidRDefault="00FC39B8">
      <w:pPr>
        <w:rPr>
          <w:b/>
          <w:bCs/>
        </w:rPr>
      </w:pPr>
      <w:r>
        <w:rPr>
          <w:b/>
          <w:bCs/>
        </w:rPr>
        <w:br w:type="page"/>
      </w:r>
    </w:p>
    <w:p w14:paraId="4C671528" w14:textId="5023FE5D" w:rsidR="002F35E3" w:rsidRPr="002F35E3" w:rsidRDefault="00084FB2" w:rsidP="00AB0644">
      <w:pPr>
        <w:pStyle w:val="Heading2"/>
      </w:pPr>
      <w:bookmarkStart w:id="4" w:name="_Toc128578511"/>
      <w:r>
        <w:lastRenderedPageBreak/>
        <w:t xml:space="preserve">ISSUE 1: </w:t>
      </w:r>
      <w:r w:rsidR="002F35E3" w:rsidRPr="002F35E3">
        <w:t>F</w:t>
      </w:r>
      <w:r w:rsidR="00163752" w:rsidRPr="002F35E3">
        <w:t>ailure of some tertiary education providers to address physical, digital, learning and cultural environments within their organisations adequately.</w:t>
      </w:r>
      <w:bookmarkEnd w:id="4"/>
      <w:r w:rsidR="00163752" w:rsidRPr="002F35E3">
        <w:t xml:space="preserve"> </w:t>
      </w:r>
    </w:p>
    <w:p w14:paraId="5F560FA3" w14:textId="05E41BC6" w:rsidR="00163752" w:rsidRPr="00D41D33" w:rsidRDefault="00163752" w:rsidP="001251BB">
      <w:r w:rsidRPr="00D41D33">
        <w:t>This issue occurs when there is a gap in strategic and cohesive whole-of-institution disability inclusion action</w:t>
      </w:r>
      <w:r w:rsidR="008879BE">
        <w:t xml:space="preserve"> or strategy</w:t>
      </w:r>
      <w:r w:rsidRPr="00D41D33">
        <w:t xml:space="preserve"> which address </w:t>
      </w:r>
      <w:r w:rsidR="005F3C2B">
        <w:t>structural</w:t>
      </w:r>
      <w:r w:rsidR="00172282">
        <w:t xml:space="preserve"> </w:t>
      </w:r>
      <w:r w:rsidRPr="00D41D33">
        <w:t xml:space="preserve">barriers. Common solutions to this include the development of a Disability Inclusion Action Plan (AHRC, 2021) which encompasses </w:t>
      </w:r>
      <w:r w:rsidR="00492AA7">
        <w:t>recognition of legislative obligations</w:t>
      </w:r>
      <w:r w:rsidR="00492AA7">
        <w:rPr>
          <w:rStyle w:val="FootnoteReference"/>
        </w:rPr>
        <w:footnoteReference w:id="5"/>
      </w:r>
      <w:r w:rsidR="00492AA7">
        <w:t xml:space="preserve">, </w:t>
      </w:r>
      <w:r w:rsidRPr="00D41D33">
        <w:t>disability responsiveness training, embedding inclusive teaching strategies such as Universal Design for Learning (CAST, 2018), inclusive recruitment strategies for students and staff, inclusive language and communities, and accessible and inclusive procurement. Such a plan and key components must be embedded within whole of institution ‘business as usual’ processes, with executive leadership</w:t>
      </w:r>
      <w:r w:rsidR="001D171D">
        <w:t xml:space="preserve">, </w:t>
      </w:r>
      <w:r w:rsidRPr="00D41D33">
        <w:t xml:space="preserve">governance </w:t>
      </w:r>
      <w:r w:rsidR="001D171D">
        <w:t xml:space="preserve">and </w:t>
      </w:r>
      <w:r w:rsidRPr="00D41D33">
        <w:t>accountability.</w:t>
      </w:r>
    </w:p>
    <w:p w14:paraId="152CDEE9" w14:textId="77777777" w:rsidR="00DD7E58" w:rsidRPr="00D41D33" w:rsidRDefault="00DD7E58" w:rsidP="001251BB"/>
    <w:p w14:paraId="6F4B46EC" w14:textId="1667ADC1" w:rsidR="00DD7E58" w:rsidRPr="00D41D33" w:rsidRDefault="00DD7E58" w:rsidP="001251BB">
      <w:r w:rsidRPr="00D41D33">
        <w:t>When an organisation has this in place then it is well on its way to attracting, supporting and graduating students with disability</w:t>
      </w:r>
      <w:r w:rsidR="006355A2" w:rsidRPr="00D41D33">
        <w:t xml:space="preserve"> with the appropriate qualifications to contribute to skills shortages and fully participate in </w:t>
      </w:r>
      <w:r w:rsidR="0056083D" w:rsidRPr="00D41D33">
        <w:t>social and economic life.</w:t>
      </w:r>
    </w:p>
    <w:p w14:paraId="5BC84CDB" w14:textId="77777777" w:rsidR="0056083D" w:rsidRPr="00D41D33" w:rsidRDefault="0056083D" w:rsidP="001251BB"/>
    <w:p w14:paraId="6601EAE6" w14:textId="743D0746" w:rsidR="0056083D" w:rsidRDefault="0056083D" w:rsidP="001251BB">
      <w:r w:rsidRPr="00D41D33">
        <w:t xml:space="preserve">There are a number of perceived and real </w:t>
      </w:r>
      <w:r w:rsidR="001251BB" w:rsidRPr="00D41D33">
        <w:t>assumptions</w:t>
      </w:r>
      <w:r w:rsidR="00F35837" w:rsidRPr="00D41D33">
        <w:t xml:space="preserve"> about the ability of VET providers to support students with disability</w:t>
      </w:r>
      <w:r w:rsidR="001251BB" w:rsidRPr="00D41D33">
        <w:t xml:space="preserve"> adequately</w:t>
      </w:r>
      <w:r w:rsidR="00F35837" w:rsidRPr="00D41D33">
        <w:t xml:space="preserve">. </w:t>
      </w:r>
      <w:r w:rsidR="007D2BD3">
        <w:t>These include:</w:t>
      </w:r>
    </w:p>
    <w:p w14:paraId="78685695" w14:textId="77777777" w:rsidR="007D2BD3" w:rsidRDefault="007D2BD3" w:rsidP="001251BB"/>
    <w:p w14:paraId="6D8C1E2F" w14:textId="24A55FF2" w:rsidR="007D2BD3" w:rsidRDefault="00EB6FE9" w:rsidP="00EB6FE9">
      <w:pPr>
        <w:pStyle w:val="bullettedlist"/>
      </w:pPr>
      <w:r>
        <w:t>l</w:t>
      </w:r>
      <w:r w:rsidR="007D2BD3">
        <w:t>ack of disability awareness and responsiveness</w:t>
      </w:r>
      <w:r>
        <w:t xml:space="preserve"> within the VET workforce</w:t>
      </w:r>
    </w:p>
    <w:p w14:paraId="67CEC836" w14:textId="339AF823" w:rsidR="00EB6FE9" w:rsidRDefault="00CD6B51" w:rsidP="00EB6FE9">
      <w:pPr>
        <w:pStyle w:val="bullettedlist"/>
      </w:pPr>
      <w:r>
        <w:t xml:space="preserve">lack of </w:t>
      </w:r>
      <w:r w:rsidR="00A244DE">
        <w:t>attention to structural barriers</w:t>
      </w:r>
      <w:r w:rsidR="000B07CA">
        <w:t xml:space="preserve"> such as the physical and digital environments</w:t>
      </w:r>
    </w:p>
    <w:p w14:paraId="14829AD9" w14:textId="4643594F" w:rsidR="000B07CA" w:rsidRDefault="00B14B25" w:rsidP="00EB6FE9">
      <w:pPr>
        <w:pStyle w:val="bullettedlist"/>
      </w:pPr>
      <w:r>
        <w:t xml:space="preserve">lack of inclusive learning and teaching strategies which embrace </w:t>
      </w:r>
      <w:r w:rsidR="00B52DEB">
        <w:t>inclusive practice</w:t>
      </w:r>
    </w:p>
    <w:p w14:paraId="4ED32778" w14:textId="77777777" w:rsidR="006A0E25" w:rsidRDefault="006A0E25" w:rsidP="006A0E25">
      <w:pPr>
        <w:pStyle w:val="bullettedlist"/>
      </w:pPr>
      <w:r>
        <w:t>over-reliance on reasonable adjustments as a means of addressing the needs of individuals rather than a systemic approach</w:t>
      </w:r>
    </w:p>
    <w:p w14:paraId="58A2E5A8" w14:textId="6AE7287A" w:rsidR="006E5A16" w:rsidRDefault="006E5A16" w:rsidP="00EB6FE9">
      <w:pPr>
        <w:pStyle w:val="bullettedlist"/>
      </w:pPr>
      <w:r>
        <w:t>limited understanding of legislative obligations under the DDA and the DSE with no mechanisms to address compliance</w:t>
      </w:r>
    </w:p>
    <w:p w14:paraId="54F95734" w14:textId="56716E57" w:rsidR="007D2BD3" w:rsidRDefault="000E1200" w:rsidP="00EB6FE9">
      <w:pPr>
        <w:pStyle w:val="bullettedlist"/>
      </w:pPr>
      <w:r>
        <w:t xml:space="preserve">poor cultures of inclusion which </w:t>
      </w:r>
      <w:r w:rsidR="003328F4">
        <w:t>attract people with disability and foster success across the learning lifecycle.</w:t>
      </w:r>
    </w:p>
    <w:p w14:paraId="7CB0479D" w14:textId="77777777" w:rsidR="00966F94" w:rsidRDefault="00966F94" w:rsidP="00966F94">
      <w:pPr>
        <w:pStyle w:val="bullettedlist"/>
        <w:numPr>
          <w:ilvl w:val="0"/>
          <w:numId w:val="0"/>
        </w:numPr>
        <w:ind w:left="357" w:hanging="357"/>
      </w:pPr>
    </w:p>
    <w:p w14:paraId="67A7DAF0" w14:textId="6F7EC90F" w:rsidR="00966F94" w:rsidRDefault="00194167" w:rsidP="00C32748">
      <w:r>
        <w:t>The issues for people with disability</w:t>
      </w:r>
      <w:r w:rsidR="002202EC">
        <w:t xml:space="preserve"> accessing VET providers across the four domains of physical, digital, learning and culture include</w:t>
      </w:r>
      <w:r w:rsidR="00966F94">
        <w:t>:</w:t>
      </w:r>
    </w:p>
    <w:p w14:paraId="1955A0D2" w14:textId="77777777" w:rsidR="00C54532" w:rsidRDefault="00C54532" w:rsidP="00C54532">
      <w:pPr>
        <w:pStyle w:val="bullettedlist"/>
        <w:numPr>
          <w:ilvl w:val="0"/>
          <w:numId w:val="0"/>
        </w:numPr>
        <w:ind w:left="357" w:hanging="357"/>
      </w:pPr>
    </w:p>
    <w:p w14:paraId="66D66A34" w14:textId="77777777" w:rsidR="00C54532" w:rsidRPr="00C54532" w:rsidRDefault="00C54532" w:rsidP="00C54532">
      <w:pPr>
        <w:autoSpaceDE w:val="0"/>
        <w:autoSpaceDN w:val="0"/>
        <w:adjustRightInd w:val="0"/>
        <w:spacing w:after="57" w:line="276" w:lineRule="atLeast"/>
        <w:rPr>
          <w:rFonts w:eastAsia="Times New Roman" w:cs="Arial"/>
          <w:color w:val="000000"/>
          <w:sz w:val="23"/>
          <w:szCs w:val="23"/>
          <w:lang w:val="en-AU"/>
        </w:rPr>
      </w:pPr>
      <w:r w:rsidRPr="00C54532">
        <w:rPr>
          <w:rFonts w:eastAsia="Times New Roman" w:cs="Arial"/>
          <w:b/>
          <w:bCs/>
          <w:color w:val="000000"/>
          <w:sz w:val="23"/>
          <w:szCs w:val="23"/>
          <w:lang w:val="en-AU"/>
        </w:rPr>
        <w:t xml:space="preserve">Physical </w:t>
      </w:r>
    </w:p>
    <w:p w14:paraId="4AB538C9" w14:textId="7BD163F1" w:rsidR="00C54532" w:rsidRPr="00C54532" w:rsidRDefault="00C54532" w:rsidP="00C54532">
      <w:pPr>
        <w:pStyle w:val="bullettedlist"/>
        <w:rPr>
          <w:lang w:val="en-AU"/>
        </w:rPr>
      </w:pPr>
      <w:r w:rsidRPr="00C54532">
        <w:rPr>
          <w:lang w:val="en-AU"/>
        </w:rPr>
        <w:t xml:space="preserve">access to, and accessibility of, local VET providers </w:t>
      </w:r>
    </w:p>
    <w:p w14:paraId="25506671" w14:textId="648DA658" w:rsidR="00C54532" w:rsidRPr="00C54532" w:rsidRDefault="00C54532" w:rsidP="00C54532">
      <w:pPr>
        <w:pStyle w:val="bullettedlist"/>
        <w:rPr>
          <w:lang w:val="en-AU"/>
        </w:rPr>
      </w:pPr>
      <w:r w:rsidRPr="00C54532">
        <w:rPr>
          <w:lang w:val="en-AU"/>
        </w:rPr>
        <w:t xml:space="preserve">having to relocate to find a suitable accessible education provider </w:t>
      </w:r>
    </w:p>
    <w:p w14:paraId="1876B45A" w14:textId="0F103CD6" w:rsidR="00C54532" w:rsidRPr="00C54532" w:rsidRDefault="00C54532" w:rsidP="00C54532">
      <w:pPr>
        <w:pStyle w:val="bullettedlist"/>
        <w:rPr>
          <w:lang w:val="en-AU"/>
        </w:rPr>
      </w:pPr>
      <w:r w:rsidRPr="00C54532">
        <w:rPr>
          <w:lang w:val="en-AU"/>
        </w:rPr>
        <w:t>accessing appropriate</w:t>
      </w:r>
      <w:r w:rsidR="00C32748">
        <w:rPr>
          <w:lang w:val="en-AU"/>
        </w:rPr>
        <w:t xml:space="preserve"> and accessible</w:t>
      </w:r>
      <w:r w:rsidRPr="00C54532">
        <w:rPr>
          <w:lang w:val="en-AU"/>
        </w:rPr>
        <w:t xml:space="preserve"> transport to their education provider </w:t>
      </w:r>
      <w:r w:rsidR="00C32748">
        <w:rPr>
          <w:lang w:val="en-AU"/>
        </w:rPr>
        <w:t xml:space="preserve">(this includes </w:t>
      </w:r>
      <w:r w:rsidR="001C0497">
        <w:rPr>
          <w:lang w:val="en-AU"/>
        </w:rPr>
        <w:t>accessible pathways to and from transport options in a timely manner)</w:t>
      </w:r>
    </w:p>
    <w:p w14:paraId="1CF1961F" w14:textId="43C82ED4" w:rsidR="00C54532" w:rsidRPr="00412284" w:rsidRDefault="00C54532" w:rsidP="00C54532">
      <w:pPr>
        <w:pStyle w:val="bullettedlist"/>
        <w:rPr>
          <w:i/>
          <w:iCs/>
        </w:rPr>
      </w:pPr>
      <w:r w:rsidRPr="00C54532">
        <w:rPr>
          <w:lang w:val="en-AU"/>
        </w:rPr>
        <w:lastRenderedPageBreak/>
        <w:t xml:space="preserve">negotiating physical access within tertiary providers including access to wayfinding, accessible signage and facilities, provision of appropriate reasonable adjustments, </w:t>
      </w:r>
      <w:r w:rsidRPr="004E5609">
        <w:t xml:space="preserve">failure to meet </w:t>
      </w:r>
      <w:hyperlink r:id="rId17" w:history="1">
        <w:r w:rsidRPr="000D7B78">
          <w:rPr>
            <w:rStyle w:val="Hyperlink"/>
            <w:i/>
            <w:iCs/>
          </w:rPr>
          <w:t>Disability (Access to Premises-buildings) Standards 2010</w:t>
        </w:r>
      </w:hyperlink>
      <w:r w:rsidR="000D7B78">
        <w:rPr>
          <w:i/>
          <w:iCs/>
        </w:rPr>
        <w:t>.</w:t>
      </w:r>
    </w:p>
    <w:p w14:paraId="766F8600" w14:textId="77777777" w:rsidR="008B4F36" w:rsidRDefault="008B4F36" w:rsidP="008B4F36">
      <w:pPr>
        <w:pStyle w:val="bullettedlist"/>
        <w:numPr>
          <w:ilvl w:val="0"/>
          <w:numId w:val="0"/>
        </w:numPr>
        <w:ind w:left="357" w:hanging="357"/>
        <w:rPr>
          <w:i/>
          <w:iCs/>
          <w:lang w:val="en-AU"/>
        </w:rPr>
      </w:pPr>
    </w:p>
    <w:p w14:paraId="2EB17968" w14:textId="1267BC4E" w:rsidR="008B4F36" w:rsidRPr="00C760FB" w:rsidRDefault="00C760FB" w:rsidP="00C760FB">
      <w:pPr>
        <w:rPr>
          <w:b/>
          <w:bCs/>
          <w:lang w:val="en-AU"/>
        </w:rPr>
      </w:pPr>
      <w:r w:rsidRPr="00C760FB">
        <w:rPr>
          <w:b/>
          <w:bCs/>
          <w:lang w:val="en-AU"/>
        </w:rPr>
        <w:t>Digital</w:t>
      </w:r>
      <w:r w:rsidR="008B4F36" w:rsidRPr="00C760FB">
        <w:rPr>
          <w:b/>
          <w:bCs/>
          <w:lang w:val="en-AU"/>
        </w:rPr>
        <w:t xml:space="preserve"> </w:t>
      </w:r>
    </w:p>
    <w:p w14:paraId="698B4659" w14:textId="77777777" w:rsidR="008B4F36" w:rsidRPr="00C54532" w:rsidRDefault="008B4F36" w:rsidP="008B4F36">
      <w:pPr>
        <w:pStyle w:val="bullettedlist"/>
        <w:rPr>
          <w:lang w:val="en-AU"/>
        </w:rPr>
      </w:pPr>
      <w:r w:rsidRPr="00C54532">
        <w:rPr>
          <w:lang w:val="en-AU"/>
        </w:rPr>
        <w:t xml:space="preserve">accessibility of ICT platforms and technologies of the provider including barriers to application, enrolment and participation in online learning activities or access to online support </w:t>
      </w:r>
    </w:p>
    <w:p w14:paraId="1F16ADAF" w14:textId="76662909" w:rsidR="008B4F36" w:rsidRPr="00C54532" w:rsidRDefault="008B4F36" w:rsidP="008B4F36">
      <w:pPr>
        <w:pStyle w:val="bullettedlist"/>
        <w:rPr>
          <w:lang w:val="en-AU"/>
        </w:rPr>
      </w:pPr>
      <w:r w:rsidRPr="00C54532">
        <w:rPr>
          <w:lang w:val="en-AU"/>
        </w:rPr>
        <w:t xml:space="preserve">lack of expertise within education providers on how to make digital information and content accessible </w:t>
      </w:r>
      <w:r w:rsidR="00C9730D">
        <w:rPr>
          <w:lang w:val="en-AU"/>
        </w:rPr>
        <w:t>including</w:t>
      </w:r>
      <w:r>
        <w:rPr>
          <w:lang w:val="en-AU"/>
        </w:rPr>
        <w:t xml:space="preserve"> marketing courses</w:t>
      </w:r>
      <w:r w:rsidR="00AE4E16">
        <w:rPr>
          <w:lang w:val="en-AU"/>
        </w:rPr>
        <w:t>, enrolment, learning mater</w:t>
      </w:r>
      <w:r w:rsidR="00C9730D">
        <w:rPr>
          <w:lang w:val="en-AU"/>
        </w:rPr>
        <w:t xml:space="preserve">ials, and learning management systems. </w:t>
      </w:r>
    </w:p>
    <w:p w14:paraId="4411D4E3" w14:textId="77777777" w:rsidR="008B4F36" w:rsidRPr="00C54532" w:rsidRDefault="008B4F36" w:rsidP="008B4F36">
      <w:pPr>
        <w:autoSpaceDE w:val="0"/>
        <w:autoSpaceDN w:val="0"/>
        <w:adjustRightInd w:val="0"/>
        <w:rPr>
          <w:rFonts w:eastAsia="Times New Roman" w:cs="Arial"/>
          <w:color w:val="000000"/>
          <w:sz w:val="23"/>
          <w:szCs w:val="23"/>
          <w:lang w:val="en-AU"/>
        </w:rPr>
      </w:pPr>
    </w:p>
    <w:p w14:paraId="7B20D8C9" w14:textId="77777777" w:rsidR="008B4F36" w:rsidRPr="00C54532" w:rsidRDefault="008B4F36" w:rsidP="008B4F36">
      <w:pPr>
        <w:autoSpaceDE w:val="0"/>
        <w:autoSpaceDN w:val="0"/>
        <w:adjustRightInd w:val="0"/>
        <w:spacing w:after="57" w:line="276" w:lineRule="atLeast"/>
        <w:rPr>
          <w:rFonts w:eastAsia="Times New Roman" w:cs="Arial"/>
          <w:color w:val="000000"/>
          <w:sz w:val="23"/>
          <w:szCs w:val="23"/>
          <w:lang w:val="en-AU"/>
        </w:rPr>
      </w:pPr>
      <w:r w:rsidRPr="00C54532">
        <w:rPr>
          <w:rFonts w:eastAsia="Times New Roman" w:cs="Arial"/>
          <w:b/>
          <w:bCs/>
          <w:color w:val="000000"/>
          <w:sz w:val="23"/>
          <w:szCs w:val="23"/>
          <w:lang w:val="en-AU"/>
        </w:rPr>
        <w:t xml:space="preserve">Learning </w:t>
      </w:r>
    </w:p>
    <w:p w14:paraId="36298C6F" w14:textId="77777777" w:rsidR="008B4F36" w:rsidRPr="00C54532" w:rsidRDefault="008B4F36" w:rsidP="008B4F36">
      <w:pPr>
        <w:pStyle w:val="bullettedlist"/>
        <w:rPr>
          <w:lang w:val="en-AU"/>
        </w:rPr>
      </w:pPr>
      <w:r w:rsidRPr="00C54532">
        <w:rPr>
          <w:lang w:val="en-AU"/>
        </w:rPr>
        <w:t xml:space="preserve">lack of expertise of inclusive pedagogies such as Universal Design for Learning </w:t>
      </w:r>
    </w:p>
    <w:p w14:paraId="72FD4A13" w14:textId="09892D73" w:rsidR="008B4F36" w:rsidRPr="00C54532" w:rsidRDefault="008B4F36" w:rsidP="008B4F36">
      <w:pPr>
        <w:pStyle w:val="bullettedlist"/>
        <w:rPr>
          <w:lang w:val="en-AU"/>
        </w:rPr>
      </w:pPr>
      <w:r w:rsidRPr="00C54532">
        <w:rPr>
          <w:lang w:val="en-AU"/>
        </w:rPr>
        <w:t xml:space="preserve">lack of understanding how to apply reasonable adjustments to facilitate appropriate learning support and minimise the impact of disability on learning including accessing </w:t>
      </w:r>
      <w:r w:rsidR="66613931" w:rsidRPr="5C7D1B50">
        <w:rPr>
          <w:lang w:val="en-AU"/>
        </w:rPr>
        <w:t>industry placements</w:t>
      </w:r>
      <w:r w:rsidRPr="00C54532">
        <w:rPr>
          <w:lang w:val="en-AU"/>
        </w:rPr>
        <w:t xml:space="preserve"> </w:t>
      </w:r>
    </w:p>
    <w:p w14:paraId="7A0FAD3D" w14:textId="77777777" w:rsidR="008B4F36" w:rsidRPr="00C54532" w:rsidRDefault="008B4F36" w:rsidP="008B4F36">
      <w:pPr>
        <w:pStyle w:val="bullettedlist"/>
        <w:rPr>
          <w:lang w:val="en-AU"/>
        </w:rPr>
      </w:pPr>
      <w:r w:rsidRPr="00C54532">
        <w:rPr>
          <w:lang w:val="en-AU"/>
        </w:rPr>
        <w:t xml:space="preserve">the cost of relocating to study including finding accessible and safe housing </w:t>
      </w:r>
    </w:p>
    <w:p w14:paraId="4676048E" w14:textId="77777777" w:rsidR="008B4F36" w:rsidRPr="00C54532" w:rsidRDefault="008B4F36" w:rsidP="008B4F36">
      <w:pPr>
        <w:pStyle w:val="bullettedlist"/>
        <w:rPr>
          <w:lang w:val="en-AU"/>
        </w:rPr>
      </w:pPr>
      <w:r w:rsidRPr="00C54532">
        <w:rPr>
          <w:lang w:val="en-AU"/>
        </w:rPr>
        <w:t xml:space="preserve">appropriate levels of income support to compensate for the loss of income due to class schedules, work-integrated learning or placement activities </w:t>
      </w:r>
    </w:p>
    <w:p w14:paraId="38999E1E" w14:textId="75E9BFA6" w:rsidR="008B4F36" w:rsidRPr="00C54532" w:rsidRDefault="008B4F36" w:rsidP="008B4F36">
      <w:pPr>
        <w:pStyle w:val="bullettedlist"/>
        <w:rPr>
          <w:lang w:val="en-AU"/>
        </w:rPr>
      </w:pPr>
      <w:r w:rsidRPr="00C54532">
        <w:rPr>
          <w:lang w:val="en-AU"/>
        </w:rPr>
        <w:t xml:space="preserve">access to employment to support education or training </w:t>
      </w:r>
      <w:r>
        <w:rPr>
          <w:lang w:val="en-AU"/>
        </w:rPr>
        <w:t xml:space="preserve">or appropriate levels of support through apprenticeships and traineeships to </w:t>
      </w:r>
      <w:r w:rsidR="00FA1728">
        <w:rPr>
          <w:lang w:val="en-AU"/>
        </w:rPr>
        <w:t>adequate and s</w:t>
      </w:r>
      <w:r>
        <w:rPr>
          <w:lang w:val="en-AU"/>
        </w:rPr>
        <w:t>elf-sustaining</w:t>
      </w:r>
    </w:p>
    <w:p w14:paraId="7853B944" w14:textId="77777777" w:rsidR="008B4F36" w:rsidRPr="00C54532" w:rsidRDefault="008B4F36" w:rsidP="008B4F36">
      <w:pPr>
        <w:pStyle w:val="bullettedlist"/>
        <w:rPr>
          <w:lang w:val="en-AU"/>
        </w:rPr>
      </w:pPr>
      <w:r w:rsidRPr="00C54532">
        <w:rPr>
          <w:lang w:val="en-AU"/>
        </w:rPr>
        <w:t xml:space="preserve">the ability to access properly funded reasonable adjustments through the education provider </w:t>
      </w:r>
    </w:p>
    <w:p w14:paraId="3EF753C6" w14:textId="46F9DABD" w:rsidR="008B4F36" w:rsidRPr="00C54532" w:rsidRDefault="008B4F36" w:rsidP="008B4F36">
      <w:pPr>
        <w:pStyle w:val="bullettedlist"/>
        <w:rPr>
          <w:lang w:val="en-AU"/>
        </w:rPr>
      </w:pPr>
      <w:r w:rsidRPr="00C54532">
        <w:rPr>
          <w:lang w:val="en-AU"/>
        </w:rPr>
        <w:t>the ability to access properly funded support through the NDIS for people with disability who have NDIS plans</w:t>
      </w:r>
      <w:r>
        <w:rPr>
          <w:lang w:val="en-AU"/>
        </w:rPr>
        <w:t>.</w:t>
      </w:r>
      <w:r w:rsidRPr="00C54532">
        <w:rPr>
          <w:lang w:val="en-AU"/>
        </w:rPr>
        <w:t xml:space="preserve"> </w:t>
      </w:r>
    </w:p>
    <w:p w14:paraId="3155A653" w14:textId="77777777" w:rsidR="008B4F36" w:rsidRPr="00C54532" w:rsidRDefault="008B4F36" w:rsidP="008B4F36">
      <w:pPr>
        <w:autoSpaceDE w:val="0"/>
        <w:autoSpaceDN w:val="0"/>
        <w:adjustRightInd w:val="0"/>
        <w:rPr>
          <w:rFonts w:eastAsia="Times New Roman" w:cs="Arial"/>
          <w:color w:val="000000"/>
          <w:sz w:val="23"/>
          <w:szCs w:val="23"/>
          <w:lang w:val="en-AU"/>
        </w:rPr>
      </w:pPr>
    </w:p>
    <w:p w14:paraId="3DDA9E5C" w14:textId="77777777" w:rsidR="008B4F36" w:rsidRPr="00C54532" w:rsidRDefault="008B4F36" w:rsidP="008B4F36">
      <w:pPr>
        <w:autoSpaceDE w:val="0"/>
        <w:autoSpaceDN w:val="0"/>
        <w:adjustRightInd w:val="0"/>
        <w:spacing w:after="57" w:line="276" w:lineRule="atLeast"/>
        <w:rPr>
          <w:rFonts w:eastAsia="Times New Roman" w:cs="Arial"/>
          <w:color w:val="000000"/>
          <w:sz w:val="23"/>
          <w:szCs w:val="23"/>
          <w:lang w:val="en-AU"/>
        </w:rPr>
      </w:pPr>
      <w:r w:rsidRPr="00C54532">
        <w:rPr>
          <w:rFonts w:eastAsia="Times New Roman" w:cs="Arial"/>
          <w:b/>
          <w:bCs/>
          <w:color w:val="000000"/>
          <w:sz w:val="23"/>
          <w:szCs w:val="23"/>
          <w:lang w:val="en-AU"/>
        </w:rPr>
        <w:t xml:space="preserve">Cultural </w:t>
      </w:r>
    </w:p>
    <w:p w14:paraId="06FA11F5" w14:textId="77777777" w:rsidR="008B4F36" w:rsidRPr="00C54532" w:rsidRDefault="008B4F36" w:rsidP="008B4F36">
      <w:pPr>
        <w:pStyle w:val="bullettedlist"/>
        <w:rPr>
          <w:lang w:val="en-AU"/>
        </w:rPr>
      </w:pPr>
      <w:r w:rsidRPr="00C54532">
        <w:rPr>
          <w:lang w:val="en-AU"/>
        </w:rPr>
        <w:t xml:space="preserve">lack of strategic commitment to disability inclusion through a Disability Inclusion Action Plan </w:t>
      </w:r>
    </w:p>
    <w:p w14:paraId="258E72A2" w14:textId="77777777" w:rsidR="0088342B" w:rsidRPr="00C54532" w:rsidRDefault="0088342B" w:rsidP="0088342B">
      <w:pPr>
        <w:pStyle w:val="bullettedlist"/>
        <w:rPr>
          <w:lang w:val="en-AU"/>
        </w:rPr>
      </w:pPr>
      <w:r w:rsidRPr="00C54532">
        <w:rPr>
          <w:lang w:val="en-AU"/>
        </w:rPr>
        <w:t>unfamiliarity with legislative obligations</w:t>
      </w:r>
      <w:r>
        <w:rPr>
          <w:lang w:val="en-AU"/>
        </w:rPr>
        <w:t>.</w:t>
      </w:r>
    </w:p>
    <w:p w14:paraId="18E144CD" w14:textId="3B9606B8" w:rsidR="008B4F36" w:rsidRDefault="008B4F36" w:rsidP="008B4F36">
      <w:pPr>
        <w:pStyle w:val="bullettedlist"/>
        <w:rPr>
          <w:lang w:val="en-AU"/>
        </w:rPr>
      </w:pPr>
      <w:r w:rsidRPr="00C54532">
        <w:rPr>
          <w:lang w:val="en-AU"/>
        </w:rPr>
        <w:t xml:space="preserve">lack of professional development opportunities for staff </w:t>
      </w:r>
      <w:r w:rsidR="009A39DB">
        <w:rPr>
          <w:lang w:val="en-AU"/>
        </w:rPr>
        <w:t>to improve their disability awareness/responsiveness</w:t>
      </w:r>
    </w:p>
    <w:p w14:paraId="4EA41A9E" w14:textId="2C185FFF" w:rsidR="00DA0688" w:rsidRPr="00C54532" w:rsidRDefault="00DA0688" w:rsidP="008B4F36">
      <w:pPr>
        <w:pStyle w:val="bullettedlist"/>
        <w:rPr>
          <w:lang w:val="en-AU"/>
        </w:rPr>
      </w:pPr>
      <w:r>
        <w:rPr>
          <w:lang w:val="en-AU"/>
        </w:rPr>
        <w:t>lack of awareness and institutional commitment by NDIS to fostering education</w:t>
      </w:r>
      <w:r w:rsidR="0088342B">
        <w:rPr>
          <w:lang w:val="en-AU"/>
        </w:rPr>
        <w:t>al opportunities for people with disability.</w:t>
      </w:r>
    </w:p>
    <w:p w14:paraId="7EF16A32" w14:textId="77777777" w:rsidR="008B4F36" w:rsidRDefault="008B4F36" w:rsidP="008B4F36">
      <w:pPr>
        <w:pStyle w:val="bullettedlist"/>
        <w:numPr>
          <w:ilvl w:val="0"/>
          <w:numId w:val="0"/>
        </w:numPr>
        <w:ind w:left="357" w:hanging="357"/>
        <w:rPr>
          <w:i/>
          <w:iCs/>
          <w:lang w:val="en-AU"/>
        </w:rPr>
      </w:pPr>
    </w:p>
    <w:p w14:paraId="5F9F0B1F" w14:textId="77777777" w:rsidR="00A2517C" w:rsidRDefault="008B4F36" w:rsidP="008B4F36">
      <w:r>
        <w:t xml:space="preserve">These issues </w:t>
      </w:r>
      <w:r w:rsidR="006C3F14">
        <w:t>are compounded by issues such as</w:t>
      </w:r>
    </w:p>
    <w:p w14:paraId="313E041E" w14:textId="77777777" w:rsidR="00AB16BD" w:rsidRDefault="006C3F14" w:rsidP="00A2517C">
      <w:pPr>
        <w:pStyle w:val="bullettedlist"/>
      </w:pPr>
      <w:r>
        <w:t>postcode or geographical remoteness, socioeconomic status</w:t>
      </w:r>
    </w:p>
    <w:p w14:paraId="358C83C5" w14:textId="77777777" w:rsidR="00AB16BD" w:rsidRDefault="006C3F14" w:rsidP="00A2517C">
      <w:pPr>
        <w:pStyle w:val="bullettedlist"/>
      </w:pPr>
      <w:r>
        <w:t>provider funding (at state and national levels)</w:t>
      </w:r>
    </w:p>
    <w:p w14:paraId="74EEB7B8" w14:textId="6AA7FF65" w:rsidR="008B4F36" w:rsidRPr="00D41D33" w:rsidRDefault="004F74F0" w:rsidP="00A2517C">
      <w:pPr>
        <w:pStyle w:val="bullettedlist"/>
      </w:pPr>
      <w:r>
        <w:t xml:space="preserve">the siloed nature of the Departments that look at education and training in the current Australian Government structure. </w:t>
      </w:r>
    </w:p>
    <w:p w14:paraId="23198DC8" w14:textId="3CDCC89D" w:rsidR="00BB723C" w:rsidRPr="00F824FD" w:rsidRDefault="00BB723C" w:rsidP="00B157BA">
      <w:pPr>
        <w:pStyle w:val="Heading3"/>
      </w:pPr>
      <w:bookmarkStart w:id="5" w:name="_Toc128578512"/>
      <w:r>
        <w:lastRenderedPageBreak/>
        <w:t>ADCET recommends</w:t>
      </w:r>
      <w:r w:rsidR="005604D7" w:rsidRPr="005604D7">
        <w:t>:</w:t>
      </w:r>
      <w:bookmarkEnd w:id="5"/>
      <w:r w:rsidR="005604D7" w:rsidRPr="005604D7">
        <w:t xml:space="preserve"> </w:t>
      </w:r>
    </w:p>
    <w:p w14:paraId="428A62A5" w14:textId="1C0CA609" w:rsidR="00FC69C7" w:rsidRPr="00F824FD" w:rsidRDefault="005C4108" w:rsidP="008B4F36">
      <w:pPr>
        <w:pStyle w:val="numberedpara"/>
      </w:pPr>
      <w:r w:rsidRPr="00AC1743">
        <w:t>a sector-wide solution could include a</w:t>
      </w:r>
      <w:r w:rsidR="00097D96" w:rsidRPr="00AC1743">
        <w:t xml:space="preserve"> </w:t>
      </w:r>
      <w:r w:rsidR="00832751" w:rsidRPr="00AC1743">
        <w:t>similar process to that of the Workplace Gender Equity</w:t>
      </w:r>
      <w:r w:rsidR="00832751" w:rsidRPr="00A07248">
        <w:t xml:space="preserve"> </w:t>
      </w:r>
      <w:r w:rsidR="00832751">
        <w:t xml:space="preserve">Agency (WGEA) which requires </w:t>
      </w:r>
      <w:r w:rsidR="00057311">
        <w:t xml:space="preserve">Australian </w:t>
      </w:r>
      <w:r w:rsidR="00832751">
        <w:t>organisations</w:t>
      </w:r>
      <w:r w:rsidR="0013456B">
        <w:t xml:space="preserve"> with over 100 employees</w:t>
      </w:r>
      <w:r w:rsidR="00832751">
        <w:t xml:space="preserve"> to </w:t>
      </w:r>
      <w:hyperlink r:id="rId18" w:history="1">
        <w:r w:rsidR="00832751" w:rsidRPr="008E43AE">
          <w:rPr>
            <w:rStyle w:val="Hyperlink"/>
          </w:rPr>
          <w:t>report</w:t>
        </w:r>
      </w:hyperlink>
      <w:r w:rsidR="00832751">
        <w:t xml:space="preserve"> on</w:t>
      </w:r>
      <w:r w:rsidR="00D66AF6">
        <w:t xml:space="preserve"> </w:t>
      </w:r>
      <w:r w:rsidR="00316BC1">
        <w:t xml:space="preserve">strategies to improve gender equality. This includes strategies to </w:t>
      </w:r>
      <w:r w:rsidR="001743D9">
        <w:t xml:space="preserve">support gender parity, eliminate discrimination and address gendered work issues such as parenting responsibilities. </w:t>
      </w:r>
      <w:r w:rsidR="006D6CB4">
        <w:t xml:space="preserve">To support disability inclusion organisations could be mandated to have </w:t>
      </w:r>
      <w:r w:rsidR="00C36097">
        <w:t xml:space="preserve">a </w:t>
      </w:r>
      <w:r w:rsidR="007E51AE">
        <w:t xml:space="preserve">current </w:t>
      </w:r>
      <w:r w:rsidR="00C36097">
        <w:t xml:space="preserve">Disability Inclusion Action Plan </w:t>
      </w:r>
      <w:r w:rsidR="00CA78AB">
        <w:t xml:space="preserve">(DIAP) </w:t>
      </w:r>
      <w:r w:rsidR="00C36097">
        <w:t xml:space="preserve">registered with the Australian Human Rights </w:t>
      </w:r>
      <w:r w:rsidR="00CA78AB">
        <w:t>Commission’s</w:t>
      </w:r>
      <w:r w:rsidR="00C36097">
        <w:t xml:space="preserve"> </w:t>
      </w:r>
      <w:hyperlink r:id="rId19" w:history="1">
        <w:r w:rsidR="00C36097" w:rsidRPr="00CA78AB">
          <w:rPr>
            <w:rStyle w:val="Hyperlink"/>
          </w:rPr>
          <w:t xml:space="preserve">DIAP register </w:t>
        </w:r>
      </w:hyperlink>
      <w:r w:rsidR="00CA78AB">
        <w:t>and report regularly</w:t>
      </w:r>
      <w:r w:rsidR="002739A7">
        <w:t xml:space="preserve"> on outcomes. Pitman (2020) recommends mandatory training</w:t>
      </w:r>
      <w:r w:rsidR="000611E3">
        <w:t>, physical accessibility and inclusive teaching strategies</w:t>
      </w:r>
      <w:r w:rsidR="002739A7">
        <w:t xml:space="preserve"> for education providers and this could be an element of </w:t>
      </w:r>
      <w:r w:rsidR="00245C67">
        <w:t>a DIAP.</w:t>
      </w:r>
      <w:r w:rsidRPr="00B957FE">
        <w:t xml:space="preserve"> </w:t>
      </w:r>
    </w:p>
    <w:p w14:paraId="252133D4" w14:textId="69FBBB39" w:rsidR="002E2B30" w:rsidRPr="00FC69C7" w:rsidRDefault="00FC69C7" w:rsidP="00F824FD">
      <w:pPr>
        <w:pStyle w:val="numberedpara"/>
      </w:pPr>
      <w:r w:rsidRPr="00FC69C7">
        <w:t>Alternatively,</w:t>
      </w:r>
      <w:r w:rsidR="00223D1F" w:rsidRPr="00FC69C7">
        <w:t xml:space="preserve"> more explicit </w:t>
      </w:r>
      <w:r w:rsidR="0049136D" w:rsidRPr="00FC69C7">
        <w:t>compliance</w:t>
      </w:r>
      <w:r w:rsidR="005E7554" w:rsidRPr="00FC69C7">
        <w:t xml:space="preserve"> on disability </w:t>
      </w:r>
      <w:r w:rsidR="00316EE9" w:rsidRPr="00FC69C7">
        <w:t xml:space="preserve">could be </w:t>
      </w:r>
      <w:r w:rsidR="0049136D" w:rsidRPr="00FC69C7">
        <w:t xml:space="preserve">managed through the Australian Skills Quality Authority (ASQA). </w:t>
      </w:r>
      <w:r w:rsidR="00692745" w:rsidRPr="00FC69C7">
        <w:t xml:space="preserve">At present </w:t>
      </w:r>
      <w:r w:rsidR="002500E9" w:rsidRPr="00FC69C7">
        <w:t xml:space="preserve">there is little or no focus on </w:t>
      </w:r>
      <w:r w:rsidR="005D53D2" w:rsidRPr="00FC69C7">
        <w:t xml:space="preserve">strategies to support people with disability in VET and no reference to </w:t>
      </w:r>
      <w:proofErr w:type="spellStart"/>
      <w:r w:rsidRPr="00FC69C7">
        <w:t>prioritising</w:t>
      </w:r>
      <w:proofErr w:type="spellEnd"/>
      <w:r w:rsidRPr="00FC69C7">
        <w:t xml:space="preserve"> disability in </w:t>
      </w:r>
      <w:proofErr w:type="spellStart"/>
      <w:r w:rsidRPr="00FC69C7">
        <w:t>ASQA’s</w:t>
      </w:r>
      <w:proofErr w:type="spellEnd"/>
      <w:r w:rsidRPr="00FC69C7">
        <w:t xml:space="preserve"> priorities</w:t>
      </w:r>
      <w:r w:rsidR="00B84506">
        <w:t>.</w:t>
      </w:r>
      <w:r w:rsidR="00A2729D">
        <w:t xml:space="preserve"> ASQA has one </w:t>
      </w:r>
      <w:hyperlink r:id="rId20" w:history="1">
        <w:r w:rsidR="00A2729D" w:rsidRPr="00A2729D">
          <w:rPr>
            <w:rStyle w:val="Hyperlink"/>
          </w:rPr>
          <w:t>fact sheet</w:t>
        </w:r>
      </w:hyperlink>
      <w:r w:rsidR="00A2729D">
        <w:t xml:space="preserve"> pertaining to obligations for providers on p</w:t>
      </w:r>
      <w:r w:rsidR="00A2729D" w:rsidRPr="00A2729D">
        <w:t xml:space="preserve">roviding </w:t>
      </w:r>
      <w:r w:rsidR="00232C7E">
        <w:t xml:space="preserve">support </w:t>
      </w:r>
      <w:r w:rsidR="00A2729D" w:rsidRPr="00A2729D">
        <w:t>services to students with</w:t>
      </w:r>
      <w:r w:rsidR="006A7BAD">
        <w:t xml:space="preserve"> but no </w:t>
      </w:r>
      <w:r w:rsidR="00614FBE">
        <w:t xml:space="preserve">mechanisms for </w:t>
      </w:r>
      <w:r w:rsidR="000115CD">
        <w:t xml:space="preserve">mandating basic disability awareness for providers or </w:t>
      </w:r>
      <w:r w:rsidR="00614FBE">
        <w:t>monitoring compliance</w:t>
      </w:r>
      <w:r w:rsidR="00812296">
        <w:t xml:space="preserve"> of DDA and DSE</w:t>
      </w:r>
      <w:r w:rsidR="00614FBE">
        <w:t xml:space="preserve">. </w:t>
      </w:r>
      <w:r w:rsidR="00B84506">
        <w:t xml:space="preserve">This includes no mention of explicit support for people with disability in </w:t>
      </w:r>
      <w:proofErr w:type="spellStart"/>
      <w:r w:rsidR="00B84506">
        <w:t>ASQA’s</w:t>
      </w:r>
      <w:proofErr w:type="spellEnd"/>
      <w:r w:rsidR="00B84506">
        <w:t xml:space="preserve"> </w:t>
      </w:r>
      <w:hyperlink r:id="rId21" w:history="1">
        <w:proofErr w:type="spellStart"/>
        <w:r w:rsidR="009D0A09">
          <w:rPr>
            <w:rStyle w:val="Hyperlink"/>
          </w:rPr>
          <w:t>ASQA's</w:t>
        </w:r>
        <w:proofErr w:type="spellEnd"/>
        <w:r w:rsidR="009D0A09">
          <w:rPr>
            <w:rStyle w:val="Hyperlink"/>
          </w:rPr>
          <w:t xml:space="preserve"> regulatory risk priorities 2022-23</w:t>
        </w:r>
      </w:hyperlink>
      <w:r w:rsidR="00995A3D">
        <w:t xml:space="preserve">, minor mention of </w:t>
      </w:r>
      <w:r w:rsidR="00CD42D9">
        <w:t xml:space="preserve">providing reasonable adjustments for students under the </w:t>
      </w:r>
      <w:hyperlink r:id="rId22" w:history="1">
        <w:r w:rsidR="00B315F8">
          <w:rPr>
            <w:rStyle w:val="Hyperlink"/>
          </w:rPr>
          <w:t>Guidance &amp; Resources</w:t>
        </w:r>
        <w:r w:rsidR="001275DA">
          <w:rPr>
            <w:rStyle w:val="Hyperlink"/>
          </w:rPr>
          <w:t xml:space="preserve"> for Student Support Strategies</w:t>
        </w:r>
      </w:hyperlink>
      <w:r w:rsidR="001275DA">
        <w:t xml:space="preserve"> and no reference to disability support strategies in the </w:t>
      </w:r>
      <w:hyperlink r:id="rId23" w:history="1">
        <w:r w:rsidR="001E70B6">
          <w:rPr>
            <w:rStyle w:val="Hyperlink"/>
          </w:rPr>
          <w:t>Self-assessment tool</w:t>
        </w:r>
      </w:hyperlink>
      <w:r w:rsidR="00E335B2">
        <w:t>.</w:t>
      </w:r>
    </w:p>
    <w:p w14:paraId="4DE2F302" w14:textId="7BD8CAB5" w:rsidR="002E2B30" w:rsidRPr="004A23B2" w:rsidRDefault="00B157BA" w:rsidP="00B157BA">
      <w:pPr>
        <w:pStyle w:val="Heading3"/>
      </w:pPr>
      <w:bookmarkStart w:id="6" w:name="_Toc128578513"/>
      <w:r>
        <w:t>Current</w:t>
      </w:r>
      <w:r w:rsidR="00F824FD" w:rsidRPr="004A23B2">
        <w:t xml:space="preserve"> </w:t>
      </w:r>
      <w:r>
        <w:t>ADCET strategies</w:t>
      </w:r>
      <w:r w:rsidR="004A23B2" w:rsidRPr="004A23B2">
        <w:t>:</w:t>
      </w:r>
      <w:bookmarkEnd w:id="6"/>
    </w:p>
    <w:p w14:paraId="4263DBF2" w14:textId="697740CD" w:rsidR="00EA3A12" w:rsidRDefault="008B4F36" w:rsidP="008B4F36">
      <w:r w:rsidRPr="00A367A6">
        <w:t xml:space="preserve">ADCET </w:t>
      </w:r>
      <w:r w:rsidR="008E3771">
        <w:t xml:space="preserve">already </w:t>
      </w:r>
      <w:r w:rsidRPr="00A367A6">
        <w:t xml:space="preserve">recognises the challenges for VET providers </w:t>
      </w:r>
      <w:r w:rsidR="008E3771">
        <w:t xml:space="preserve">in embedding disability inclusive strategies across the four domains (physical, digital, </w:t>
      </w:r>
      <w:r w:rsidR="0085139D">
        <w:t>learning and culture) and has a</w:t>
      </w:r>
      <w:r w:rsidRPr="00A367A6">
        <w:t xml:space="preserve"> range of resources to assist in addressing disability inclusion in a strategic way and building workforce capacity. </w:t>
      </w:r>
      <w:r w:rsidR="009F1468">
        <w:t>Some examples of these include:</w:t>
      </w:r>
    </w:p>
    <w:p w14:paraId="4D329EFC" w14:textId="624A0337" w:rsidR="003848DD" w:rsidRDefault="003848DD" w:rsidP="003848DD">
      <w:pPr>
        <w:pStyle w:val="bullettedlist"/>
      </w:pPr>
      <w:r>
        <w:t xml:space="preserve">A guide for disability practitioners on developing </w:t>
      </w:r>
      <w:hyperlink r:id="rId24" w:history="1">
        <w:r>
          <w:rPr>
            <w:rStyle w:val="Hyperlink"/>
          </w:rPr>
          <w:t>Disability Action Plans</w:t>
        </w:r>
      </w:hyperlink>
    </w:p>
    <w:p w14:paraId="3128797A" w14:textId="57943012" w:rsidR="00396AC1" w:rsidRPr="00F8603D" w:rsidRDefault="0064282A" w:rsidP="00B54540">
      <w:pPr>
        <w:pStyle w:val="bullettedlist"/>
        <w:rPr>
          <w:lang w:val="en-AU"/>
        </w:rPr>
      </w:pPr>
      <w:hyperlink r:id="rId25" w:history="1">
        <w:r w:rsidR="003941DD" w:rsidRPr="00B54540">
          <w:rPr>
            <w:rStyle w:val="Hyperlink"/>
          </w:rPr>
          <w:t>Free Disability Awareness eLearning</w:t>
        </w:r>
      </w:hyperlink>
      <w:r w:rsidR="001628B2" w:rsidRPr="00B54540">
        <w:t xml:space="preserve"> including introductory training</w:t>
      </w:r>
      <w:r w:rsidR="00B54540" w:rsidRPr="00B54540">
        <w:t>. There are six e-Learning programs that are free for individuals to undertake online</w:t>
      </w:r>
      <w:r w:rsidR="00396AC1">
        <w:t xml:space="preserve"> including </w:t>
      </w:r>
      <w:hyperlink r:id="rId26" w:history="1">
        <w:r w:rsidR="00B54540" w:rsidRPr="00B54540">
          <w:rPr>
            <w:rStyle w:val="Hyperlink"/>
          </w:rPr>
          <w:t>Introduction to Disability Awareness</w:t>
        </w:r>
      </w:hyperlink>
      <w:r w:rsidR="00255861">
        <w:t xml:space="preserve">, </w:t>
      </w:r>
      <w:hyperlink r:id="rId27" w:history="1">
        <w:r w:rsidR="00B54540" w:rsidRPr="00B54540">
          <w:rPr>
            <w:rStyle w:val="Hyperlink"/>
          </w:rPr>
          <w:t>VET Staff Supporting Students with Disability</w:t>
        </w:r>
      </w:hyperlink>
      <w:r w:rsidR="00B54540" w:rsidRPr="00B54540">
        <w:t> </w:t>
      </w:r>
      <w:r w:rsidR="00255861">
        <w:t xml:space="preserve">and </w:t>
      </w:r>
      <w:hyperlink r:id="rId28" w:history="1">
        <w:r w:rsidR="00B54540" w:rsidRPr="00B54540">
          <w:rPr>
            <w:rStyle w:val="Hyperlink"/>
          </w:rPr>
          <w:t>VET Educators Supporting Students with Disability</w:t>
        </w:r>
      </w:hyperlink>
      <w:r w:rsidR="00B54540" w:rsidRPr="00B54540">
        <w:t> </w:t>
      </w:r>
      <w:r w:rsidR="00255861">
        <w:br/>
      </w:r>
      <w:r w:rsidR="00B54540">
        <w:rPr>
          <w:lang w:val="en-AU"/>
        </w:rPr>
        <w:t>Over 35,000 people have undertaken these courses to date and over 500 organisations have incorporated the Introduction to Disability Awareness into their learning management systems.</w:t>
      </w:r>
      <w:r w:rsidR="003424DA">
        <w:rPr>
          <w:lang w:val="en-AU"/>
        </w:rPr>
        <w:t xml:space="preserve"> Mandatory training such as this has been recommended by Pitman, 2020 as a way to address issues of culture and awareness within organisations.</w:t>
      </w:r>
    </w:p>
    <w:p w14:paraId="464991DD" w14:textId="08027A8A" w:rsidR="00551504" w:rsidRPr="00D55D1C" w:rsidRDefault="0064282A" w:rsidP="00173466">
      <w:pPr>
        <w:pStyle w:val="bullettedlist"/>
        <w:rPr>
          <w:lang w:val="en-AU"/>
        </w:rPr>
      </w:pPr>
      <w:hyperlink r:id="rId29" w:history="1">
        <w:r w:rsidR="003941DD" w:rsidRPr="00D55D1C">
          <w:rPr>
            <w:rStyle w:val="Hyperlink"/>
            <w:lang w:val="en-AU"/>
          </w:rPr>
          <w:t>Accessible ICT procurement guidelines</w:t>
        </w:r>
      </w:hyperlink>
      <w:r w:rsidR="003941DD" w:rsidRPr="00D55D1C">
        <w:rPr>
          <w:lang w:val="en-AU"/>
        </w:rPr>
        <w:t xml:space="preserve"> </w:t>
      </w:r>
      <w:r w:rsidR="00D55D1C" w:rsidRPr="00D55D1C">
        <w:t>with practical information about procuring ICT products and services with accessibility as an essential criterion</w:t>
      </w:r>
    </w:p>
    <w:p w14:paraId="31175A6B" w14:textId="57AE1E0E" w:rsidR="00551504" w:rsidRDefault="00551504" w:rsidP="00551504">
      <w:pPr>
        <w:pStyle w:val="bullettedlist"/>
      </w:pPr>
      <w:r w:rsidRPr="00551504">
        <w:rPr>
          <w:lang w:val="en-AU"/>
        </w:rPr>
        <w:t xml:space="preserve">Assistive </w:t>
      </w:r>
      <w:r>
        <w:rPr>
          <w:lang w:val="en-AU"/>
        </w:rPr>
        <w:t>T</w:t>
      </w:r>
      <w:r w:rsidRPr="00551504">
        <w:rPr>
          <w:lang w:val="en-AU"/>
        </w:rPr>
        <w:t xml:space="preserve">echnology </w:t>
      </w:r>
      <w:r>
        <w:rPr>
          <w:lang w:val="en-AU"/>
        </w:rPr>
        <w:t xml:space="preserve">(AT) </w:t>
      </w:r>
      <w:r w:rsidRPr="00551504">
        <w:rPr>
          <w:lang w:val="en-AU"/>
        </w:rPr>
        <w:t xml:space="preserve">resources such as </w:t>
      </w:r>
      <w:hyperlink r:id="rId30" w:history="1">
        <w:r w:rsidR="00AE6993">
          <w:rPr>
            <w:rStyle w:val="Hyperlink"/>
          </w:rPr>
          <w:t>ADCET Assist</w:t>
        </w:r>
      </w:hyperlink>
      <w:r>
        <w:t xml:space="preserve"> </w:t>
      </w:r>
      <w:r w:rsidR="00EA6F6C">
        <w:t>and</w:t>
      </w:r>
      <w:r w:rsidR="00663259">
        <w:t xml:space="preserve"> </w:t>
      </w:r>
      <w:hyperlink r:id="rId31" w:history="1">
        <w:r w:rsidR="00663259" w:rsidRPr="00663259">
          <w:rPr>
            <w:rStyle w:val="Hyperlink"/>
          </w:rPr>
          <w:t>Inclusive Technology</w:t>
        </w:r>
      </w:hyperlink>
      <w:r w:rsidR="00663259">
        <w:t xml:space="preserve"> resources </w:t>
      </w:r>
      <w:r>
        <w:t>t</w:t>
      </w:r>
      <w:r w:rsidRPr="00551504">
        <w:t xml:space="preserve">o </w:t>
      </w:r>
      <w:r>
        <w:t>build capacity and understanding of AT as a means of supporting students.</w:t>
      </w:r>
    </w:p>
    <w:p w14:paraId="73CAAE52" w14:textId="691DCD97" w:rsidR="00DA7E10" w:rsidRPr="0081119A" w:rsidRDefault="0064282A" w:rsidP="0081119A">
      <w:pPr>
        <w:pStyle w:val="bullettedlist"/>
        <w:rPr>
          <w:rStyle w:val="Hyperlink"/>
          <w:color w:val="auto"/>
          <w:u w:val="none"/>
        </w:rPr>
      </w:pPr>
      <w:hyperlink r:id="rId32" w:history="1">
        <w:r w:rsidR="000A0202" w:rsidRPr="0020509E">
          <w:rPr>
            <w:rStyle w:val="Hyperlink"/>
            <w:color w:val="auto"/>
            <w:u w:val="none"/>
          </w:rPr>
          <w:t>Information</w:t>
        </w:r>
        <w:r w:rsidR="000A0202">
          <w:rPr>
            <w:rStyle w:val="Hyperlink"/>
          </w:rPr>
          <w:t xml:space="preserve"> on Inclusive Teaching</w:t>
        </w:r>
      </w:hyperlink>
      <w:r w:rsidR="00C30901">
        <w:t xml:space="preserve"> i</w:t>
      </w:r>
      <w:r w:rsidR="00C30901" w:rsidRPr="00C30901">
        <w:t>ncluding</w:t>
      </w:r>
      <w:r w:rsidR="004B0631">
        <w:t xml:space="preserve"> Universal Design for Learning</w:t>
      </w:r>
      <w:r w:rsidR="005F6156">
        <w:t xml:space="preserve"> </w:t>
      </w:r>
      <w:hyperlink r:id="rId33" w:history="1">
        <w:r w:rsidR="00EA3A12" w:rsidRPr="00B54540">
          <w:rPr>
            <w:rStyle w:val="Hyperlink"/>
          </w:rPr>
          <w:t xml:space="preserve">eLearning </w:t>
        </w:r>
      </w:hyperlink>
    </w:p>
    <w:p w14:paraId="20456091" w14:textId="55C35FD1" w:rsidR="00DA7E10" w:rsidRPr="00173466" w:rsidRDefault="0081119A" w:rsidP="00173466">
      <w:pPr>
        <w:pStyle w:val="bullettedlist"/>
      </w:pPr>
      <w:r>
        <w:rPr>
          <w:rStyle w:val="Hyperlink"/>
        </w:rPr>
        <w:t xml:space="preserve">A new toolkit </w:t>
      </w:r>
      <w:r w:rsidR="00A47C9F">
        <w:rPr>
          <w:rStyle w:val="Hyperlink"/>
        </w:rPr>
        <w:t xml:space="preserve">(coming soon) </w:t>
      </w:r>
      <w:r>
        <w:rPr>
          <w:rStyle w:val="Hyperlink"/>
        </w:rPr>
        <w:t xml:space="preserve">for VET providers on supporting students across the </w:t>
      </w:r>
      <w:r w:rsidR="00A47C9F">
        <w:rPr>
          <w:rStyle w:val="Hyperlink"/>
        </w:rPr>
        <w:t>student lifecycle.</w:t>
      </w:r>
    </w:p>
    <w:p w14:paraId="6132983D" w14:textId="597E2F22" w:rsidR="00084FB2" w:rsidRPr="00084FB2" w:rsidRDefault="00084FB2" w:rsidP="00AB0644">
      <w:pPr>
        <w:pStyle w:val="Heading2"/>
      </w:pPr>
      <w:bookmarkStart w:id="7" w:name="_ISSUE_2:_a"/>
      <w:bookmarkStart w:id="8" w:name="_Toc128578514"/>
      <w:bookmarkEnd w:id="7"/>
      <w:r w:rsidRPr="00084FB2">
        <w:lastRenderedPageBreak/>
        <w:t xml:space="preserve">ISSUE 2: </w:t>
      </w:r>
      <w:r w:rsidR="00163752" w:rsidRPr="00084FB2">
        <w:t>a culture of low expectations around people with disability and their ability to engage with post-school study.</w:t>
      </w:r>
      <w:bookmarkEnd w:id="8"/>
      <w:r w:rsidR="00163752" w:rsidRPr="00084FB2">
        <w:t xml:space="preserve"> </w:t>
      </w:r>
    </w:p>
    <w:p w14:paraId="53A07F23" w14:textId="6E75BE9D" w:rsidR="00FA3621" w:rsidRDefault="00163752" w:rsidP="00FA3621">
      <w:r w:rsidRPr="00FA3621">
        <w:t>This issue is borne out of negative and pervasive stereotyping of people with disability. In addition, suitable strengths-based and inclusive models of disability inclusion which support positive transition to post-secondary education are largely missing from strategic planning at all levels of government in relation to education and training</w:t>
      </w:r>
      <w:r w:rsidR="00FA3621">
        <w:t xml:space="preserve"> (as outlined in </w:t>
      </w:r>
      <w:hyperlink w:anchor="_ISSUE_2:_a" w:history="1">
        <w:r w:rsidR="00FA3621" w:rsidRPr="00C72888">
          <w:rPr>
            <w:rStyle w:val="Hyperlink"/>
          </w:rPr>
          <w:t>Issue 1</w:t>
        </w:r>
      </w:hyperlink>
      <w:r w:rsidR="00FA3621">
        <w:t>)</w:t>
      </w:r>
      <w:r w:rsidRPr="00FA3621">
        <w:t xml:space="preserve">. </w:t>
      </w:r>
    </w:p>
    <w:p w14:paraId="0C051A7B" w14:textId="77777777" w:rsidR="00FA3621" w:rsidRDefault="00FA3621" w:rsidP="00FA3621"/>
    <w:p w14:paraId="79808CB2" w14:textId="31AD2374" w:rsidR="001371CF" w:rsidRDefault="00163752" w:rsidP="00FA3621">
      <w:r w:rsidRPr="00FA3621">
        <w:t xml:space="preserve">This has resulted in a gap between the number of students with disability represented at school compared to those represented in the tertiary education sector. </w:t>
      </w:r>
      <w:r w:rsidR="00033694">
        <w:t xml:space="preserve">As previously stated despite the increased numbers of people with disability flocking to </w:t>
      </w:r>
      <w:r w:rsidR="0085434A">
        <w:t xml:space="preserve">post-secondary education there is not community representation in either the VET or Higher Education sector. </w:t>
      </w:r>
      <w:r w:rsidRPr="00FA3621">
        <w:t xml:space="preserve">This is reflected and reinforced in the funding arrangements for students with disability in schooling compared with that for students with disability in post-secondary education. </w:t>
      </w:r>
    </w:p>
    <w:p w14:paraId="757EE446" w14:textId="77777777" w:rsidR="001F7EFC" w:rsidRDefault="001F7EFC" w:rsidP="00FA3621"/>
    <w:p w14:paraId="7A392548" w14:textId="150EA0D4" w:rsidR="001F7EFC" w:rsidRPr="001471F4" w:rsidRDefault="001F7EFC" w:rsidP="004F3AFB">
      <w:pPr>
        <w:rPr>
          <w:rFonts w:eastAsia="Times New Roman" w:cs="Arial"/>
          <w:sz w:val="20"/>
          <w:szCs w:val="20"/>
        </w:rPr>
      </w:pPr>
      <w:r>
        <w:t xml:space="preserve">A particular challenge for students with disability and their families is </w:t>
      </w:r>
      <w:r w:rsidR="001A42E7">
        <w:t xml:space="preserve">their ability to advocate for </w:t>
      </w:r>
      <w:r w:rsidR="00FC4713">
        <w:t xml:space="preserve">reasonable adjustments with </w:t>
      </w:r>
      <w:r w:rsidR="00922909">
        <w:t>school staff</w:t>
      </w:r>
      <w:r w:rsidR="00F832F8">
        <w:t xml:space="preserve"> via the </w:t>
      </w:r>
      <w:hyperlink r:id="rId34" w:history="1">
        <w:r w:rsidR="00F832F8" w:rsidRPr="004E4F39">
          <w:rPr>
            <w:rStyle w:val="Hyperlink"/>
          </w:rPr>
          <w:t>Nationally Consistent Collection of Data</w:t>
        </w:r>
      </w:hyperlink>
      <w:r w:rsidR="00F832F8">
        <w:t xml:space="preserve"> on Disability (NCCD)</w:t>
      </w:r>
      <w:r w:rsidR="00922909">
        <w:t xml:space="preserve">. </w:t>
      </w:r>
      <w:r w:rsidR="00954934">
        <w:t>When</w:t>
      </w:r>
      <w:r w:rsidR="00AF3AAA">
        <w:t xml:space="preserve"> appropriate supports are put in place students are funded appropriate</w:t>
      </w:r>
      <w:r w:rsidR="00DC2D51">
        <w:t xml:space="preserve">ly </w:t>
      </w:r>
      <w:r w:rsidR="00751F26">
        <w:t>across their school</w:t>
      </w:r>
      <w:r w:rsidR="007C1E93">
        <w:t xml:space="preserve"> experience. However, students</w:t>
      </w:r>
      <w:r w:rsidR="00664C03">
        <w:t xml:space="preserve"> with little experience of </w:t>
      </w:r>
      <w:r w:rsidR="004F3AFB">
        <w:t>advocating</w:t>
      </w:r>
      <w:r w:rsidR="00664C03">
        <w:t xml:space="preserve"> for support </w:t>
      </w:r>
      <w:r w:rsidR="00C17C2C">
        <w:t xml:space="preserve">in school are then expected to </w:t>
      </w:r>
      <w:r w:rsidR="00941D06">
        <w:t>negotiate their own adjustments in post-secondary study</w:t>
      </w:r>
      <w:r w:rsidR="004F3AFB">
        <w:t xml:space="preserve"> in a sector that does not have the same funding levels. </w:t>
      </w:r>
      <w:r w:rsidR="007C1E93">
        <w:t xml:space="preserve"> </w:t>
      </w:r>
    </w:p>
    <w:p w14:paraId="02D55D78" w14:textId="77777777" w:rsidR="001371CF" w:rsidRDefault="001371CF" w:rsidP="004F3AFB"/>
    <w:p w14:paraId="03A2C3CC" w14:textId="6EB423B6" w:rsidR="00163752" w:rsidRDefault="00163752" w:rsidP="00FA3621">
      <w:r w:rsidRPr="00FA3621">
        <w:t xml:space="preserve">In addition, for NDIS participants who wish to pursue post-secondary education there is </w:t>
      </w:r>
      <w:r w:rsidR="00781C7E">
        <w:t>no strategic focus on study and training for participants</w:t>
      </w:r>
      <w:r w:rsidR="00602388">
        <w:t xml:space="preserve">. </w:t>
      </w:r>
      <w:r w:rsidR="00884F33">
        <w:t>Furthermore,</w:t>
      </w:r>
      <w:r w:rsidR="00602388">
        <w:t xml:space="preserve"> there is </w:t>
      </w:r>
      <w:r w:rsidRPr="00FA3621">
        <w:t xml:space="preserve">limited understanding by NDIS staff </w:t>
      </w:r>
      <w:r w:rsidR="00602388">
        <w:t>on how to plan for the transition to study or training</w:t>
      </w:r>
      <w:r w:rsidR="00884F33">
        <w:t xml:space="preserve"> </w:t>
      </w:r>
      <w:r w:rsidRPr="00FA3621">
        <w:t xml:space="preserve">e.g., </w:t>
      </w:r>
      <w:r w:rsidR="00884F33">
        <w:t xml:space="preserve">NDIS </w:t>
      </w:r>
      <w:r w:rsidRPr="00FA3621">
        <w:t xml:space="preserve">Planners and Local Areas Coordinators (LAC) </w:t>
      </w:r>
      <w:r w:rsidR="00884F33">
        <w:t>don’t know</w:t>
      </w:r>
      <w:r w:rsidRPr="00FA3621">
        <w:t xml:space="preserve"> how to incorporate education and learning opportunities within participant’s plans. </w:t>
      </w:r>
    </w:p>
    <w:p w14:paraId="44D619AB" w14:textId="77777777" w:rsidR="00FA3621" w:rsidRDefault="00FA3621" w:rsidP="00FA3621"/>
    <w:p w14:paraId="6CE39EC3" w14:textId="77777777" w:rsidR="00D83F9C" w:rsidRPr="00D83F9C" w:rsidRDefault="00D83F9C" w:rsidP="00CE56B0">
      <w:pPr>
        <w:rPr>
          <w:lang w:val="en-AU"/>
        </w:rPr>
      </w:pPr>
      <w:r w:rsidRPr="00D83F9C">
        <w:rPr>
          <w:lang w:val="en-AU"/>
        </w:rPr>
        <w:t xml:space="preserve">ADCET primarily provides advice, professional development and resources to support those who support students with disability in post-secondary study (VET and Higher Education) and the transition by high school students coming into post-secondary education. </w:t>
      </w:r>
    </w:p>
    <w:p w14:paraId="4913CAF8" w14:textId="77777777" w:rsidR="00CE56B0" w:rsidRDefault="00CE56B0" w:rsidP="00CE56B0">
      <w:pPr>
        <w:rPr>
          <w:lang w:val="en-AU"/>
        </w:rPr>
      </w:pPr>
    </w:p>
    <w:p w14:paraId="734E87A9" w14:textId="4EF93284" w:rsidR="00D83F9C" w:rsidRPr="00D83F9C" w:rsidRDefault="00D83F9C" w:rsidP="00CE56B0">
      <w:pPr>
        <w:rPr>
          <w:lang w:val="en-AU"/>
        </w:rPr>
      </w:pPr>
      <w:r w:rsidRPr="00D83F9C">
        <w:rPr>
          <w:lang w:val="en-AU"/>
        </w:rPr>
        <w:t xml:space="preserve">There are key factors impacting students with disability transitioning to tertiary education including: </w:t>
      </w:r>
    </w:p>
    <w:p w14:paraId="26B76318" w14:textId="77777777" w:rsidR="00D83F9C" w:rsidRPr="00D83F9C" w:rsidRDefault="00D83F9C" w:rsidP="00D83F9C">
      <w:pPr>
        <w:pStyle w:val="bullettedlist"/>
        <w:rPr>
          <w:lang w:val="en-AU"/>
        </w:rPr>
      </w:pPr>
      <w:r w:rsidRPr="00D83F9C">
        <w:rPr>
          <w:lang w:val="en-AU"/>
        </w:rPr>
        <w:t xml:space="preserve">culture of low expectation that potentially streams students into certain types of education environments </w:t>
      </w:r>
    </w:p>
    <w:p w14:paraId="64615D91" w14:textId="77777777" w:rsidR="00D83F9C" w:rsidRPr="00D83F9C" w:rsidRDefault="00D83F9C" w:rsidP="00D83F9C">
      <w:pPr>
        <w:pStyle w:val="bullettedlist"/>
        <w:rPr>
          <w:lang w:val="en-AU"/>
        </w:rPr>
      </w:pPr>
      <w:r w:rsidRPr="00D83F9C">
        <w:rPr>
          <w:lang w:val="en-AU"/>
        </w:rPr>
        <w:t xml:space="preserve">lack of disability responsiveness or awareness of educational providers at all levels </w:t>
      </w:r>
    </w:p>
    <w:p w14:paraId="2357E15D" w14:textId="77777777" w:rsidR="00D83F9C" w:rsidRPr="00D83F9C" w:rsidRDefault="00D83F9C" w:rsidP="00D83F9C">
      <w:pPr>
        <w:pStyle w:val="bullettedlist"/>
        <w:rPr>
          <w:lang w:val="en-AU"/>
        </w:rPr>
      </w:pPr>
      <w:r w:rsidRPr="00D83F9C">
        <w:rPr>
          <w:lang w:val="en-AU"/>
        </w:rPr>
        <w:t>lack of quality career development and disability-friendly careers information provided to students with disability so they can make informed decisions about post</w:t>
      </w:r>
      <w:r w:rsidRPr="00D83F9C">
        <w:rPr>
          <w:lang w:val="en-AU"/>
        </w:rPr>
        <w:softHyphen/>
        <w:t xml:space="preserve">secondary education opportunities </w:t>
      </w:r>
    </w:p>
    <w:p w14:paraId="7D6D6E7F" w14:textId="77777777" w:rsidR="00D83F9C" w:rsidRPr="00D83F9C" w:rsidRDefault="00D83F9C" w:rsidP="00D83F9C">
      <w:pPr>
        <w:pStyle w:val="bullettedlist"/>
        <w:rPr>
          <w:lang w:val="en-AU"/>
        </w:rPr>
      </w:pPr>
      <w:r w:rsidRPr="00D83F9C">
        <w:rPr>
          <w:lang w:val="en-AU"/>
        </w:rPr>
        <w:t xml:space="preserve">lack of inclusive teaching pedagogies to support achievement between high school and post-secondary education </w:t>
      </w:r>
    </w:p>
    <w:p w14:paraId="6A34FA71" w14:textId="753224D0" w:rsidR="00D83F9C" w:rsidRPr="00D83F9C" w:rsidRDefault="00D83F9C" w:rsidP="00D83F9C">
      <w:pPr>
        <w:pStyle w:val="bullettedlist"/>
        <w:rPr>
          <w:lang w:val="en-AU"/>
        </w:rPr>
      </w:pPr>
      <w:r w:rsidRPr="00D83F9C">
        <w:rPr>
          <w:lang w:val="en-AU"/>
        </w:rPr>
        <w:t xml:space="preserve">lack of continuity of reasonable adjustments between school and post-secondary study (e.g., National Collection of Consistent Data for Students with Disability supports students through better funding and includes imputed disability as a means of support students more </w:t>
      </w:r>
      <w:r w:rsidRPr="00D83F9C">
        <w:rPr>
          <w:lang w:val="en-AU"/>
        </w:rPr>
        <w:lastRenderedPageBreak/>
        <w:t>holistically. This is in contrast to the funding provided to VET and Higher Education providers</w:t>
      </w:r>
      <w:r w:rsidR="00367EC1">
        <w:rPr>
          <w:lang w:val="en-AU"/>
        </w:rPr>
        <w:t>).</w:t>
      </w:r>
    </w:p>
    <w:p w14:paraId="0D78A815" w14:textId="3983FEEB" w:rsidR="00D83F9C" w:rsidRPr="00D83F9C" w:rsidRDefault="00D83F9C" w:rsidP="00D83F9C">
      <w:pPr>
        <w:pStyle w:val="bullettedlist"/>
        <w:rPr>
          <w:lang w:val="en-AU"/>
        </w:rPr>
      </w:pPr>
      <w:r w:rsidRPr="00D83F9C">
        <w:rPr>
          <w:lang w:val="en-AU"/>
        </w:rPr>
        <w:t>lack of support for people with disability with NDIS support to get the appropriate assistance to facilitate opportunities for post-secondary education. This includes a</w:t>
      </w:r>
      <w:r w:rsidR="00367EC1">
        <w:rPr>
          <w:lang w:val="en-AU"/>
        </w:rPr>
        <w:t xml:space="preserve">gain a </w:t>
      </w:r>
      <w:r w:rsidRPr="00D83F9C">
        <w:rPr>
          <w:lang w:val="en-AU"/>
        </w:rPr>
        <w:t>culture of low expectations</w:t>
      </w:r>
      <w:r w:rsidR="00367EC1">
        <w:rPr>
          <w:lang w:val="en-AU"/>
        </w:rPr>
        <w:t xml:space="preserve"> amongst NDIS workers</w:t>
      </w:r>
      <w:r w:rsidRPr="00D83F9C">
        <w:rPr>
          <w:lang w:val="en-AU"/>
        </w:rPr>
        <w:t xml:space="preserve">, limited understanding of pathways and options for education and training, and a lack of understanding about the provision of support provided by NDIS vs that provided by tertiary education providers </w:t>
      </w:r>
    </w:p>
    <w:p w14:paraId="68D4D7BD" w14:textId="69D1A0AD" w:rsidR="00D83F9C" w:rsidRPr="00D83F9C" w:rsidRDefault="00D83F9C" w:rsidP="00D83F9C">
      <w:pPr>
        <w:pStyle w:val="bullettedlist"/>
        <w:rPr>
          <w:lang w:val="en-AU"/>
        </w:rPr>
      </w:pPr>
      <w:r w:rsidRPr="00D83F9C">
        <w:rPr>
          <w:lang w:val="en-AU"/>
        </w:rPr>
        <w:t xml:space="preserve">the impacts of disability on achievement through extended time away due to disability or health and for which reasonable adjustments in examinations, assessment and </w:t>
      </w:r>
      <w:r w:rsidR="005E586B">
        <w:rPr>
          <w:lang w:val="en-AU"/>
        </w:rPr>
        <w:t>entry requirements to courses</w:t>
      </w:r>
      <w:r w:rsidRPr="00D83F9C">
        <w:rPr>
          <w:lang w:val="en-AU"/>
        </w:rPr>
        <w:t xml:space="preserve"> may not be appropriately adjust for. This can lead to delays in transition for students wishing to pursue </w:t>
      </w:r>
      <w:r w:rsidR="005E586B">
        <w:rPr>
          <w:lang w:val="en-AU"/>
        </w:rPr>
        <w:t>tertiary education o</w:t>
      </w:r>
      <w:r w:rsidRPr="00D83F9C">
        <w:rPr>
          <w:lang w:val="en-AU"/>
        </w:rPr>
        <w:t xml:space="preserve">pportunities. </w:t>
      </w:r>
    </w:p>
    <w:p w14:paraId="707CB2E0" w14:textId="77777777" w:rsidR="00FA3621" w:rsidRDefault="00FA3621" w:rsidP="00FA3621"/>
    <w:p w14:paraId="165A1192" w14:textId="2BA78780" w:rsidR="004A23B2" w:rsidRDefault="004A23B2" w:rsidP="005F3AF6">
      <w:pPr>
        <w:pStyle w:val="Heading3"/>
      </w:pPr>
      <w:bookmarkStart w:id="9" w:name="_Toc128578515"/>
      <w:r>
        <w:t>ADCET recommends:</w:t>
      </w:r>
      <w:bookmarkEnd w:id="9"/>
    </w:p>
    <w:p w14:paraId="628BA005" w14:textId="77777777" w:rsidR="004A23B2" w:rsidRDefault="004A23B2" w:rsidP="005F3AF6"/>
    <w:p w14:paraId="0F89EF24" w14:textId="3B85C818" w:rsidR="00247861" w:rsidRPr="00247861" w:rsidRDefault="00867F7C" w:rsidP="001154BA">
      <w:r w:rsidRPr="00247861">
        <w:t>Key areas to address the culture of low expectation include</w:t>
      </w:r>
      <w:r w:rsidR="00247861" w:rsidRPr="00247861">
        <w:t>:</w:t>
      </w:r>
    </w:p>
    <w:p w14:paraId="2669558F" w14:textId="6D3CB017" w:rsidR="00247861" w:rsidRDefault="00256615" w:rsidP="00247861">
      <w:pPr>
        <w:pStyle w:val="bullettedlist"/>
      </w:pPr>
      <w:r>
        <w:t>building capacity amongst schooling staff to support people with disability into post-secondary education</w:t>
      </w:r>
    </w:p>
    <w:p w14:paraId="2BC9CB2F" w14:textId="172EAD82" w:rsidR="00867F7C" w:rsidRDefault="0020772A" w:rsidP="00247861">
      <w:pPr>
        <w:pStyle w:val="bullettedlist"/>
      </w:pPr>
      <w:r>
        <w:t xml:space="preserve">better connectivity between schooling and VET through the National </w:t>
      </w:r>
      <w:r w:rsidR="004C5479">
        <w:t xml:space="preserve">Collection of </w:t>
      </w:r>
      <w:r>
        <w:t xml:space="preserve">Consistent </w:t>
      </w:r>
      <w:r w:rsidR="004C5479">
        <w:t xml:space="preserve">Data </w:t>
      </w:r>
      <w:r w:rsidR="00247861">
        <w:t>(NCCD)</w:t>
      </w:r>
      <w:r w:rsidR="00B327C7">
        <w:t>. The unique student identifier is one way to improve information collected about students with disability as they navigate various education pathways</w:t>
      </w:r>
      <w:r w:rsidR="00F17B95">
        <w:t xml:space="preserve"> and enable</w:t>
      </w:r>
      <w:r w:rsidR="009A7D99">
        <w:t xml:space="preserve"> providers to get information on previous reasonable adjustments provider to students</w:t>
      </w:r>
    </w:p>
    <w:p w14:paraId="34B6CF05" w14:textId="3527E200" w:rsidR="00867F7C" w:rsidRDefault="007426BE" w:rsidP="00B157BA">
      <w:pPr>
        <w:pStyle w:val="bullettedlist"/>
      </w:pPr>
      <w:r>
        <w:t xml:space="preserve">improving access to support for </w:t>
      </w:r>
      <w:r w:rsidR="00D36B7B">
        <w:t>students with NDIS plans</w:t>
      </w:r>
      <w:r>
        <w:t xml:space="preserve"> including capacity building for </w:t>
      </w:r>
      <w:r w:rsidR="0036672D">
        <w:t xml:space="preserve">NDIS staff on transition to tertiary education through the </w:t>
      </w:r>
      <w:r w:rsidR="00701288">
        <w:t>NDIS planning process.</w:t>
      </w:r>
      <w:r w:rsidR="00D36B7B">
        <w:t xml:space="preserve"> </w:t>
      </w:r>
    </w:p>
    <w:p w14:paraId="02B53640" w14:textId="77777777" w:rsidR="00B157BA" w:rsidRPr="004A23B2" w:rsidRDefault="00B157BA" w:rsidP="00B157BA">
      <w:pPr>
        <w:pStyle w:val="Heading3"/>
      </w:pPr>
      <w:bookmarkStart w:id="10" w:name="_Toc128578516"/>
      <w:r>
        <w:t>Current</w:t>
      </w:r>
      <w:r w:rsidRPr="004A23B2">
        <w:t xml:space="preserve"> </w:t>
      </w:r>
      <w:r>
        <w:t>ADCET strategies</w:t>
      </w:r>
      <w:r w:rsidRPr="004A23B2">
        <w:t>:</w:t>
      </w:r>
      <w:bookmarkEnd w:id="10"/>
    </w:p>
    <w:p w14:paraId="276EEE6A" w14:textId="33A73DA0" w:rsidR="001154BA" w:rsidRDefault="001154BA" w:rsidP="001154BA">
      <w:r w:rsidRPr="00A367A6">
        <w:t>ADCET recognises the challenges for</w:t>
      </w:r>
      <w:r w:rsidR="005D6007">
        <w:t xml:space="preserve"> education</w:t>
      </w:r>
      <w:r w:rsidRPr="00A367A6">
        <w:t xml:space="preserve"> providers </w:t>
      </w:r>
      <w:r w:rsidR="005D6007">
        <w:t xml:space="preserve">in supporting the transition of students </w:t>
      </w:r>
      <w:r w:rsidR="00D56C8B">
        <w:t>from school to post-secondary</w:t>
      </w:r>
      <w:r w:rsidR="00031A50">
        <w:t xml:space="preserve"> including bu</w:t>
      </w:r>
      <w:r w:rsidRPr="00A367A6">
        <w:t>ilding workforce capacity</w:t>
      </w:r>
      <w:r w:rsidR="00031A50">
        <w:t xml:space="preserve"> and addressing </w:t>
      </w:r>
      <w:r w:rsidR="00050BAD">
        <w:t>planning with the NDIS</w:t>
      </w:r>
      <w:r w:rsidRPr="00A367A6">
        <w:t xml:space="preserve">. These </w:t>
      </w:r>
      <w:r w:rsidRPr="00701288">
        <w:t>include:</w:t>
      </w:r>
    </w:p>
    <w:p w14:paraId="59077839" w14:textId="77777777" w:rsidR="00FD27F6" w:rsidRDefault="00FD27F6" w:rsidP="001154BA"/>
    <w:p w14:paraId="092C623E" w14:textId="2B7B8036" w:rsidR="00036C02" w:rsidRDefault="0064282A" w:rsidP="00036C02">
      <w:pPr>
        <w:pStyle w:val="bullettedlist"/>
      </w:pPr>
      <w:hyperlink r:id="rId35" w:history="1">
        <w:r w:rsidR="00036C02" w:rsidRPr="007D15D3">
          <w:rPr>
            <w:rStyle w:val="Hyperlink"/>
          </w:rPr>
          <w:t>Information for students with disability transitioning to post-secondary study</w:t>
        </w:r>
      </w:hyperlink>
      <w:r w:rsidR="00036C02">
        <w:t xml:space="preserve"> This accessible web-based guide provides students and their parents with information on every aspect of planning for tertiary study. It links to the career development materials provided through the National Careers Institute (NCI). ADCET will soon be hosting NCI resources supporting students with disability on our website.</w:t>
      </w:r>
    </w:p>
    <w:p w14:paraId="6D1114EE" w14:textId="1309AC6C" w:rsidR="00FD27F6" w:rsidRPr="00036C02" w:rsidRDefault="0064282A" w:rsidP="00173466">
      <w:pPr>
        <w:pStyle w:val="bullettedlist"/>
        <w:rPr>
          <w:lang w:val="en-AU"/>
        </w:rPr>
      </w:pPr>
      <w:hyperlink r:id="rId36" w:history="1">
        <w:r w:rsidR="00E80DC5">
          <w:rPr>
            <w:rStyle w:val="Hyperlink"/>
          </w:rPr>
          <w:t>Disability Awareness</w:t>
        </w:r>
        <w:r w:rsidR="00701288">
          <w:rPr>
            <w:rStyle w:val="Hyperlink"/>
          </w:rPr>
          <w:t xml:space="preserve"> eLearning</w:t>
        </w:r>
      </w:hyperlink>
      <w:r w:rsidR="00FD27F6" w:rsidRPr="00036C02">
        <w:rPr>
          <w:lang w:val="en-AU"/>
        </w:rPr>
        <w:t xml:space="preserve"> </w:t>
      </w:r>
      <w:r w:rsidR="00AA5033">
        <w:t xml:space="preserve">and coming soon eLearning for secondary schools on assisting students with disability transition to </w:t>
      </w:r>
      <w:r w:rsidR="00036C02">
        <w:t>tertiary study</w:t>
      </w:r>
    </w:p>
    <w:p w14:paraId="7576FC2D" w14:textId="474C08E2" w:rsidR="00B273DE" w:rsidRPr="0007114C" w:rsidRDefault="0064282A" w:rsidP="00173466">
      <w:pPr>
        <w:pStyle w:val="bullettedlist"/>
        <w:rPr>
          <w:lang w:val="en-AU"/>
        </w:rPr>
      </w:pPr>
      <w:hyperlink r:id="rId37" w:history="1">
        <w:r w:rsidR="00B273DE">
          <w:rPr>
            <w:rStyle w:val="Hyperlink"/>
          </w:rPr>
          <w:t>Career Planning</w:t>
        </w:r>
        <w:r w:rsidR="009661BE">
          <w:rPr>
            <w:rStyle w:val="Hyperlink"/>
          </w:rPr>
          <w:t xml:space="preserve"> for students</w:t>
        </w:r>
      </w:hyperlink>
      <w:r w:rsidR="0007114C">
        <w:t xml:space="preserve"> with Career Development Hub coming soon</w:t>
      </w:r>
    </w:p>
    <w:p w14:paraId="69479A9D" w14:textId="238EC60A" w:rsidR="0083761F" w:rsidRPr="00AA5033" w:rsidRDefault="00AA5033" w:rsidP="00173466">
      <w:pPr>
        <w:pStyle w:val="bullettedlist"/>
        <w:rPr>
          <w:lang w:val="en-AU"/>
        </w:rPr>
      </w:pPr>
      <w:r w:rsidRPr="00AA5033">
        <w:rPr>
          <w:lang w:val="en-AU"/>
        </w:rPr>
        <w:t xml:space="preserve">Support for Disability Practitioners on </w:t>
      </w:r>
      <w:hyperlink r:id="rId38" w:history="1">
        <w:r w:rsidR="00A50BAE">
          <w:rPr>
            <w:rStyle w:val="Hyperlink"/>
          </w:rPr>
          <w:t>Reasonable Adjustments</w:t>
        </w:r>
      </w:hyperlink>
      <w:r w:rsidR="00A50BAE">
        <w:t xml:space="preserve"> </w:t>
      </w:r>
      <w:r w:rsidR="0083761F">
        <w:t xml:space="preserve">and </w:t>
      </w:r>
      <w:hyperlink r:id="rId39" w:history="1">
        <w:r w:rsidR="0083761F">
          <w:rPr>
            <w:rStyle w:val="Hyperlink"/>
          </w:rPr>
          <w:t>Legislation</w:t>
        </w:r>
      </w:hyperlink>
    </w:p>
    <w:p w14:paraId="630F0521" w14:textId="77777777" w:rsidR="00AA5033" w:rsidRPr="00AA5033" w:rsidRDefault="0064282A" w:rsidP="00FD27F6">
      <w:pPr>
        <w:pStyle w:val="bullettedlist"/>
        <w:rPr>
          <w:lang w:val="en-AU"/>
        </w:rPr>
      </w:pPr>
      <w:hyperlink r:id="rId40" w:history="1">
        <w:r w:rsidR="009970D7">
          <w:rPr>
            <w:rStyle w:val="Hyperlink"/>
          </w:rPr>
          <w:t>NDIS Pre-planning Toolkit for people with disability entering Higher Education or Vocational Education and Training</w:t>
        </w:r>
      </w:hyperlink>
      <w:r w:rsidR="009970D7">
        <w:t xml:space="preserve"> </w:t>
      </w:r>
    </w:p>
    <w:p w14:paraId="14731329" w14:textId="77777777" w:rsidR="00FD27F6" w:rsidRDefault="00FD27F6" w:rsidP="001154BA"/>
    <w:p w14:paraId="74A0D7A8" w14:textId="77777777" w:rsidR="00C47A70" w:rsidRDefault="00C47A70">
      <w:pPr>
        <w:rPr>
          <w:rFonts w:cstheme="majorBidi"/>
          <w:b/>
          <w:bCs/>
          <w:color w:val="2F5496" w:themeColor="accent1" w:themeShade="BF"/>
          <w:sz w:val="32"/>
          <w:szCs w:val="36"/>
        </w:rPr>
      </w:pPr>
      <w:r>
        <w:br w:type="page"/>
      </w:r>
    </w:p>
    <w:p w14:paraId="70D90A86" w14:textId="1D4B8101" w:rsidR="00AB0644" w:rsidRDefault="00CA1CED" w:rsidP="00AB0644">
      <w:pPr>
        <w:pStyle w:val="Heading2"/>
      </w:pPr>
      <w:bookmarkStart w:id="11" w:name="_Toc128578517"/>
      <w:r w:rsidRPr="00861B4F">
        <w:lastRenderedPageBreak/>
        <w:t xml:space="preserve">ISSUE </w:t>
      </w:r>
      <w:r w:rsidR="00AB0644">
        <w:t>3</w:t>
      </w:r>
      <w:r w:rsidRPr="00861B4F">
        <w:t>: L</w:t>
      </w:r>
      <w:r w:rsidR="00163752" w:rsidRPr="00861B4F">
        <w:t>ack of understanding and awareness by some tertiary education providers to understand the legislative framework for disability</w:t>
      </w:r>
      <w:bookmarkEnd w:id="11"/>
    </w:p>
    <w:p w14:paraId="163E2BF3" w14:textId="067567AD" w:rsidR="00163752" w:rsidRPr="00D65E44" w:rsidRDefault="00AB0644" w:rsidP="00FA3621">
      <w:r w:rsidRPr="00AB0644">
        <w:t>This includes</w:t>
      </w:r>
      <w:r>
        <w:rPr>
          <w:b/>
          <w:bCs/>
        </w:rPr>
        <w:t xml:space="preserve"> </w:t>
      </w:r>
      <w:r w:rsidR="00163752" w:rsidRPr="00D65E44">
        <w:t>the United Nations Convention on the Rights of Persons with Disabilities (UNCRPD), the Disability Discrimination Act 1992 (Cth) (DDA) and the Disability Standards for Education 2005 (Cth) (DSE)</w:t>
      </w:r>
      <w:r w:rsidR="00D65E44">
        <w:t>.</w:t>
      </w:r>
    </w:p>
    <w:p w14:paraId="0F3322C2" w14:textId="77777777" w:rsidR="00884F33" w:rsidRPr="00D65E44" w:rsidRDefault="00884F33" w:rsidP="00FA3621"/>
    <w:p w14:paraId="32377F03" w14:textId="6C1C26EE" w:rsidR="00E35DAB" w:rsidRDefault="00E35DAB" w:rsidP="00F15512">
      <w:pPr>
        <w:rPr>
          <w:lang w:val="en-AU"/>
        </w:rPr>
      </w:pPr>
      <w:r w:rsidRPr="00E35DAB">
        <w:rPr>
          <w:lang w:val="en-AU"/>
        </w:rPr>
        <w:t xml:space="preserve">ADCET takes an intersectional approach to disability who have multiple equity characteristics such as Aboriginality, gender diversity and sexual identities, cultural and linguistic diversity, socio-economic status and geographic location. As such we recognise that this cumulative disadvantage and the power differential experienced by people with disability can further impact their access and participation in tertiary education. </w:t>
      </w:r>
    </w:p>
    <w:p w14:paraId="00DAD8C5" w14:textId="77777777" w:rsidR="00F15512" w:rsidRPr="00E35DAB" w:rsidRDefault="00F15512" w:rsidP="00F15512">
      <w:pPr>
        <w:rPr>
          <w:lang w:val="en-AU"/>
        </w:rPr>
      </w:pPr>
    </w:p>
    <w:p w14:paraId="161051D0" w14:textId="77777777" w:rsidR="00E35DAB" w:rsidRDefault="00E35DAB" w:rsidP="00F15512">
      <w:pPr>
        <w:rPr>
          <w:lang w:val="en-AU"/>
        </w:rPr>
      </w:pPr>
      <w:r w:rsidRPr="00E35DAB">
        <w:rPr>
          <w:lang w:val="en-AU"/>
        </w:rPr>
        <w:t xml:space="preserve">However, this is not always the approach taken by tertiary education providers who don’t address structural inequalities within their institution and may not have the expertise to understand applying a disability inclusion lens to their processes practice which is strengths-based and non-ableist let alone considering intersectional considerations. </w:t>
      </w:r>
    </w:p>
    <w:p w14:paraId="23E75C02" w14:textId="77777777" w:rsidR="00F15512" w:rsidRPr="00E35DAB" w:rsidRDefault="00F15512" w:rsidP="00F15512">
      <w:pPr>
        <w:rPr>
          <w:lang w:val="en-AU"/>
        </w:rPr>
      </w:pPr>
    </w:p>
    <w:p w14:paraId="0B1F4320" w14:textId="77777777" w:rsidR="00E35DAB" w:rsidRDefault="00E35DAB" w:rsidP="00F15512">
      <w:pPr>
        <w:rPr>
          <w:lang w:val="en-AU"/>
        </w:rPr>
      </w:pPr>
      <w:r w:rsidRPr="00E35DAB">
        <w:rPr>
          <w:lang w:val="en-AU"/>
        </w:rPr>
        <w:t xml:space="preserve">A fundamental issue is lack of awareness of the legislative framework which governs education providers and nuanced understandings of direct and indirect discrimination in education and training. In addition, experiences of racism; ageism; gender inequality (especially in non-traditional areas of learning); homophobia, biphobia, intersexism and transphobia further compound the ability of people with disability and intersecting characteristics to have a positive and inclusive learning experience. </w:t>
      </w:r>
    </w:p>
    <w:p w14:paraId="55F7C205" w14:textId="77777777" w:rsidR="00CE711E" w:rsidRPr="00E35DAB" w:rsidRDefault="00CE711E" w:rsidP="00F15512">
      <w:pPr>
        <w:rPr>
          <w:lang w:val="en-AU"/>
        </w:rPr>
      </w:pPr>
    </w:p>
    <w:p w14:paraId="032BEE90" w14:textId="77777777" w:rsidR="00A46812" w:rsidRDefault="00E35DAB" w:rsidP="00CE711E">
      <w:pPr>
        <w:rPr>
          <w:lang w:val="en-AU"/>
        </w:rPr>
      </w:pPr>
      <w:r w:rsidRPr="00E35DAB">
        <w:rPr>
          <w:lang w:val="en-AU"/>
        </w:rPr>
        <w:t xml:space="preserve">Already marginalised groups experience greater levels of discrimination and lack of inclusion due to a lack of nuanced understanding of intersectional disadvantage. For example, 45% of Aboriginal and Torres Strait Islander peoples live with a disability or long-term health condition, </w:t>
      </w:r>
      <w:r w:rsidR="00CE711E" w:rsidRPr="00E35DAB">
        <w:rPr>
          <w:lang w:val="en-AU"/>
        </w:rPr>
        <w:t>they</w:t>
      </w:r>
      <w:r w:rsidRPr="00E35DAB">
        <w:rPr>
          <w:lang w:val="en-AU"/>
        </w:rPr>
        <w:t xml:space="preserve"> are twice as likely to be living with a disability than other Australians and five times more likely to experience mental illness that other Australians</w:t>
      </w:r>
      <w:r w:rsidR="00CE711E">
        <w:rPr>
          <w:rStyle w:val="FootnoteReference"/>
          <w:lang w:val="en-AU"/>
        </w:rPr>
        <w:footnoteReference w:id="6"/>
      </w:r>
      <w:r w:rsidRPr="00E35DAB">
        <w:rPr>
          <w:lang w:val="en-AU"/>
        </w:rPr>
        <w:t xml:space="preserve">. </w:t>
      </w:r>
    </w:p>
    <w:p w14:paraId="0C6DD3C6" w14:textId="77777777" w:rsidR="00A46812" w:rsidRDefault="00A46812" w:rsidP="00CE711E">
      <w:pPr>
        <w:rPr>
          <w:lang w:val="en-AU"/>
        </w:rPr>
      </w:pPr>
    </w:p>
    <w:p w14:paraId="495EDCB2" w14:textId="476BC4E8" w:rsidR="00E35DAB" w:rsidRDefault="00E35DAB" w:rsidP="00CE711E">
      <w:pPr>
        <w:rPr>
          <w:lang w:val="en-AU"/>
        </w:rPr>
      </w:pPr>
      <w:r w:rsidRPr="00E35DAB">
        <w:rPr>
          <w:lang w:val="en-AU"/>
        </w:rPr>
        <w:t xml:space="preserve">The experiences of Aboriginal and Torres Strait Islander peoples with education are impacted by their experiences of racism and results in negative impacts on engagement, attainment and avoidance of educational settings impeded a range of benefits for which education can provider (Temple et al, 2020). For other racial or ethnic minorities issues around language literacy, disclosure and how disability is accepted in other cultures can become a challenge for students with disability seeking support or agency. </w:t>
      </w:r>
    </w:p>
    <w:p w14:paraId="1C799B1A" w14:textId="77777777" w:rsidR="00CE711E" w:rsidRPr="00E35DAB" w:rsidRDefault="00CE711E" w:rsidP="00CE711E">
      <w:pPr>
        <w:rPr>
          <w:lang w:val="en-AU"/>
        </w:rPr>
      </w:pPr>
    </w:p>
    <w:p w14:paraId="574569BC" w14:textId="77777777" w:rsidR="00E35DAB" w:rsidRPr="00E35DAB" w:rsidRDefault="00E35DAB" w:rsidP="00A46812">
      <w:pPr>
        <w:rPr>
          <w:lang w:val="en-AU"/>
        </w:rPr>
      </w:pPr>
      <w:r w:rsidRPr="00E35DAB">
        <w:rPr>
          <w:lang w:val="en-AU"/>
        </w:rPr>
        <w:t xml:space="preserve">A 2021 national report (Hill et al, 2021) LGBTIQA+ communities with disability in educational settings experienced exclusion to varying degrees resulting in a range of impacts on their learning including: </w:t>
      </w:r>
    </w:p>
    <w:p w14:paraId="1CF63FAB" w14:textId="77777777" w:rsidR="00E35DAB" w:rsidRPr="00BC2FAC" w:rsidRDefault="00E35DAB" w:rsidP="00A46812">
      <w:pPr>
        <w:pStyle w:val="bullettedlist"/>
      </w:pPr>
      <w:r w:rsidRPr="00BC2FAC">
        <w:lastRenderedPageBreak/>
        <w:t xml:space="preserve">varying awareness of policies, processes and strategies such as anti-bullying policies, discrimination processes, safe spaces, inclusive language and Ally networks </w:t>
      </w:r>
    </w:p>
    <w:p w14:paraId="2DF54BF4" w14:textId="77777777" w:rsidR="00E35DAB" w:rsidRPr="00BC2FAC" w:rsidRDefault="00E35DAB" w:rsidP="00A46812">
      <w:pPr>
        <w:pStyle w:val="bullettedlist"/>
      </w:pPr>
      <w:r w:rsidRPr="00BC2FAC">
        <w:t xml:space="preserve">varying levels of visible inclusion and sense of belonging through inclusion strategies and inclusive learning materials/curriculum </w:t>
      </w:r>
    </w:p>
    <w:p w14:paraId="6A44B705" w14:textId="77777777" w:rsidR="00BC2FAC" w:rsidRPr="00BC2FAC" w:rsidRDefault="00E35DAB" w:rsidP="00A46812">
      <w:pPr>
        <w:pStyle w:val="bullettedlist"/>
        <w:rPr>
          <w:rFonts w:eastAsia="Times New Roman"/>
          <w:color w:val="003265"/>
          <w:sz w:val="20"/>
          <w:szCs w:val="20"/>
          <w:lang w:val="en-AU"/>
        </w:rPr>
      </w:pPr>
      <w:r w:rsidRPr="00BC2FAC">
        <w:t xml:space="preserve">experiencing higher rates of discrimination thus limiting attendance, safety and attainment </w:t>
      </w:r>
      <w:r w:rsidR="00BC2FAC" w:rsidRPr="00BC2FAC">
        <w:t xml:space="preserve">feeling unsafe in learning environments </w:t>
      </w:r>
    </w:p>
    <w:p w14:paraId="692E22F7" w14:textId="77777777" w:rsidR="00BC2FAC" w:rsidRPr="00E35DAB" w:rsidRDefault="00BC2FAC" w:rsidP="00A46812">
      <w:pPr>
        <w:pStyle w:val="bullettedlist"/>
        <w:rPr>
          <w:lang w:val="en-AU"/>
        </w:rPr>
      </w:pPr>
      <w:r w:rsidRPr="00E35DAB">
        <w:rPr>
          <w:lang w:val="en-AU"/>
        </w:rPr>
        <w:t xml:space="preserve">experiencing higher rates of mental illness </w:t>
      </w:r>
    </w:p>
    <w:p w14:paraId="2A004A01" w14:textId="77777777" w:rsidR="00BC2FAC" w:rsidRPr="00E35DAB" w:rsidRDefault="00BC2FAC" w:rsidP="00A46812">
      <w:pPr>
        <w:pStyle w:val="bullettedlist"/>
        <w:rPr>
          <w:lang w:val="en-AU"/>
        </w:rPr>
      </w:pPr>
      <w:r w:rsidRPr="00E35DAB">
        <w:rPr>
          <w:lang w:val="en-AU"/>
        </w:rPr>
        <w:t xml:space="preserve">experiencing issues such as discrimination, homophobia, violence, limited family support, homelessness </w:t>
      </w:r>
    </w:p>
    <w:p w14:paraId="6823CDE5" w14:textId="77777777" w:rsidR="00BC2FAC" w:rsidRPr="00E35DAB" w:rsidRDefault="00BC2FAC" w:rsidP="00A46812">
      <w:pPr>
        <w:pStyle w:val="bullettedlist"/>
        <w:rPr>
          <w:lang w:val="en-AU"/>
        </w:rPr>
      </w:pPr>
      <w:r w:rsidRPr="00E35DAB">
        <w:rPr>
          <w:lang w:val="en-AU"/>
        </w:rPr>
        <w:t xml:space="preserve">feeling social isolated and lacking cultural safety when accessing services. </w:t>
      </w:r>
    </w:p>
    <w:p w14:paraId="409EB99C" w14:textId="77777777" w:rsidR="00BC2FAC" w:rsidRPr="00E35DAB" w:rsidRDefault="00BC2FAC" w:rsidP="00A46812">
      <w:pPr>
        <w:rPr>
          <w:lang w:val="en-AU"/>
        </w:rPr>
      </w:pPr>
    </w:p>
    <w:p w14:paraId="24437356" w14:textId="77777777" w:rsidR="00BC2FAC" w:rsidRDefault="00BC2FAC" w:rsidP="00A46812">
      <w:pPr>
        <w:rPr>
          <w:lang w:val="en-AU"/>
        </w:rPr>
      </w:pPr>
      <w:r w:rsidRPr="00E35DAB">
        <w:rPr>
          <w:lang w:val="en-AU"/>
        </w:rPr>
        <w:t>These structural inequalities and the experiences of people with disability who also have multiple identities are manifested in a variety of ways including as previously described physical, digital, learning and cultural barriers.</w:t>
      </w:r>
    </w:p>
    <w:p w14:paraId="02F1AC9E" w14:textId="77777777" w:rsidR="00392274" w:rsidRDefault="00392274" w:rsidP="00A46812">
      <w:pPr>
        <w:rPr>
          <w:lang w:val="en-AU"/>
        </w:rPr>
      </w:pPr>
    </w:p>
    <w:p w14:paraId="6D728E45" w14:textId="31AAA17D" w:rsidR="00392274" w:rsidRDefault="00820261" w:rsidP="00A46812">
      <w:pPr>
        <w:rPr>
          <w:lang w:val="en-AU"/>
        </w:rPr>
      </w:pPr>
      <w:r>
        <w:rPr>
          <w:lang w:val="en-AU"/>
        </w:rPr>
        <w:t xml:space="preserve">The particular challenges </w:t>
      </w:r>
      <w:r w:rsidR="00A31BD1">
        <w:rPr>
          <w:lang w:val="en-AU"/>
        </w:rPr>
        <w:t xml:space="preserve">and solutions </w:t>
      </w:r>
      <w:r>
        <w:rPr>
          <w:lang w:val="en-AU"/>
        </w:rPr>
        <w:t>to people with disability receiving fair access to support in VET include</w:t>
      </w:r>
      <w:r w:rsidR="00AF3E07">
        <w:rPr>
          <w:lang w:val="en-AU"/>
        </w:rPr>
        <w:t xml:space="preserve">: </w:t>
      </w:r>
    </w:p>
    <w:p w14:paraId="18540BEA" w14:textId="77777777" w:rsidR="00C22DDE" w:rsidRDefault="00C22DDE" w:rsidP="00A46812">
      <w:pPr>
        <w:rPr>
          <w:lang w:val="en-AU"/>
        </w:rPr>
      </w:pPr>
    </w:p>
    <w:p w14:paraId="2D69D082" w14:textId="6F91DAD4" w:rsidR="00C22DDE" w:rsidRDefault="00C22DDE" w:rsidP="00C22DDE">
      <w:r w:rsidRPr="00B11364">
        <w:rPr>
          <w:b/>
          <w:bCs/>
        </w:rPr>
        <w:t xml:space="preserve">Understanding of the legislative obligations for tertiary providers. </w:t>
      </w:r>
      <w:r>
        <w:t xml:space="preserve">Variations in the understanding and application of legislative obligations under the DDA and the DSE by tertiary education providers is mixed. While specialist staff such as disability practitioners and complaint management areas </w:t>
      </w:r>
      <w:r w:rsidR="00BA5128">
        <w:t xml:space="preserve">(mainly in larger providers such as TAFE) </w:t>
      </w:r>
      <w:r>
        <w:t>provide advice and guidance on the application of the DDA and DSE it is the everyday adherence and application that causes friction and difficult for people with disability. Again, the lack of strategic intent and disability responsiveness of tertiary education providers and their staff is a major pain point for people with disability.</w:t>
      </w:r>
      <w:r w:rsidR="00400127">
        <w:t xml:space="preserve"> There is also a gap between the capacity for larger organisations to facilitate support for students with disability vs small and private </w:t>
      </w:r>
      <w:r w:rsidR="00302687">
        <w:t xml:space="preserve">VET providers who </w:t>
      </w:r>
      <w:r w:rsidR="00016D61">
        <w:t>may not have the capacity for specialist staff</w:t>
      </w:r>
      <w:r w:rsidR="001D5826">
        <w:t>.</w:t>
      </w:r>
    </w:p>
    <w:p w14:paraId="37F9A72C" w14:textId="77777777" w:rsidR="00A31BD1" w:rsidRDefault="00A31BD1" w:rsidP="00C22DDE"/>
    <w:p w14:paraId="37502306" w14:textId="2302605C" w:rsidR="00C22DDE" w:rsidRDefault="00E320A5" w:rsidP="00C22DDE">
      <w:r w:rsidRPr="00FB7575">
        <w:t>Apart from the</w:t>
      </w:r>
      <w:r w:rsidR="00FB7575" w:rsidRPr="00FB7575">
        <w:t xml:space="preserve"> disability awareness training provided by ADCET a key consideration is </w:t>
      </w:r>
      <w:r w:rsidR="00FB7575" w:rsidRPr="00FB7575">
        <w:rPr>
          <w:b/>
          <w:bCs/>
        </w:rPr>
        <w:t>s</w:t>
      </w:r>
      <w:r w:rsidR="00C22DDE" w:rsidRPr="00FB7575">
        <w:rPr>
          <w:b/>
          <w:bCs/>
        </w:rPr>
        <w:t>trengthening the DDA and the DSE</w:t>
      </w:r>
      <w:r w:rsidR="00C22DDE">
        <w:t xml:space="preserve"> </w:t>
      </w:r>
      <w:r w:rsidR="003046DB">
        <w:t>to ensure education providers meet their</w:t>
      </w:r>
      <w:r w:rsidR="00C22DDE">
        <w:t xml:space="preserve"> legislative obligations. The DDA has not been reviewed since 2004 and while it provides a level of protection to people with disability and aims at eliminating discrimination it still fails to drive the change needed for real cultural and systemic change.</w:t>
      </w:r>
    </w:p>
    <w:p w14:paraId="185C6D48" w14:textId="77777777" w:rsidR="00C22DDE" w:rsidRDefault="00C22DDE" w:rsidP="00C22DDE"/>
    <w:p w14:paraId="2CD91D4D" w14:textId="77777777" w:rsidR="00C22DDE" w:rsidRDefault="00C22DDE" w:rsidP="00C22DDE">
      <w:r>
        <w:t xml:space="preserve">Legal obligations around the DDA mean that organisations, especially education providers, should have robust Disability Action Plans and mandatory education about the DDA and relevant standards (e.g., DSE, standards for access to premises). </w:t>
      </w:r>
    </w:p>
    <w:p w14:paraId="2045EB04" w14:textId="77777777" w:rsidR="00C22DDE" w:rsidRDefault="00C22DDE" w:rsidP="00C22DDE"/>
    <w:p w14:paraId="0D83A558" w14:textId="77777777" w:rsidR="004F46B0" w:rsidRDefault="004F46B0" w:rsidP="004F46B0">
      <w:r>
        <w:t xml:space="preserve">When students with disability do disclose, receive reasonable adjustments, self-advocate for adjustments or things go wrong i.e., indirect or direct discrimination the onus for self-advocating, challenging policies or procedures, or making a complaint (either internally or externally) is on the student. </w:t>
      </w:r>
    </w:p>
    <w:p w14:paraId="0E6AD951" w14:textId="77777777" w:rsidR="004F46B0" w:rsidRDefault="004F46B0" w:rsidP="004F46B0"/>
    <w:p w14:paraId="5E09D611" w14:textId="3593576B" w:rsidR="004D0248" w:rsidRDefault="004D0248" w:rsidP="004D0248">
      <w:r>
        <w:t>There are some concerning impediments to making a complaint and being appropriate heard, for people with disability in tertiary education environments. These include:</w:t>
      </w:r>
    </w:p>
    <w:p w14:paraId="3A662A02" w14:textId="77777777" w:rsidR="004D0248" w:rsidRPr="004E0C57" w:rsidRDefault="004D0248" w:rsidP="004D0248">
      <w:pPr>
        <w:pStyle w:val="bullettedlist"/>
      </w:pPr>
      <w:r w:rsidRPr="004E0C57">
        <w:lastRenderedPageBreak/>
        <w:t xml:space="preserve">the complaints-based compliance mechanism places the onus on students to know and pursue their rights </w:t>
      </w:r>
    </w:p>
    <w:p w14:paraId="7C6674C7" w14:textId="77777777" w:rsidR="004D0248" w:rsidRPr="004E0C57" w:rsidRDefault="004D0248" w:rsidP="004D0248">
      <w:pPr>
        <w:pStyle w:val="bullettedlist"/>
      </w:pPr>
      <w:r>
        <w:t>c</w:t>
      </w:r>
      <w:r w:rsidRPr="004E0C57">
        <w:t xml:space="preserve">omplaints-based compliance frameworks disadvantages those who </w:t>
      </w:r>
      <w:r>
        <w:t>may be</w:t>
      </w:r>
      <w:r w:rsidRPr="004E0C57">
        <w:t xml:space="preserve"> less able to initiate and pursue a complaint. This </w:t>
      </w:r>
      <w:r>
        <w:t xml:space="preserve">may </w:t>
      </w:r>
      <w:r w:rsidRPr="004E0C57">
        <w:t>include</w:t>
      </w:r>
      <w:r>
        <w:t xml:space="preserve"> issues relating to culture, socio-economic status, regionality and availability of advocates and supports to do so</w:t>
      </w:r>
    </w:p>
    <w:p w14:paraId="019ADF46" w14:textId="77777777" w:rsidR="004D0248" w:rsidRPr="004E0C57" w:rsidRDefault="004D0248" w:rsidP="004D0248">
      <w:pPr>
        <w:pStyle w:val="bullettedlist"/>
      </w:pPr>
      <w:r w:rsidRPr="004E0C57">
        <w:t>there is no publicly available data about provider compliance with the legislation, so we don’t know how many providers are in breach of the legislation</w:t>
      </w:r>
      <w:r w:rsidRPr="004E0C57">
        <w:rPr>
          <w:rStyle w:val="FootnoteReference"/>
        </w:rPr>
        <w:footnoteReference w:id="7"/>
      </w:r>
      <w:r w:rsidRPr="004E0C57">
        <w:t xml:space="preserve"> </w:t>
      </w:r>
    </w:p>
    <w:p w14:paraId="2D741FFA" w14:textId="77777777" w:rsidR="004D0248" w:rsidRPr="004E0C57" w:rsidRDefault="004D0248" w:rsidP="004D0248">
      <w:pPr>
        <w:pStyle w:val="bullettedlist"/>
      </w:pPr>
      <w:r w:rsidRPr="004E0C57">
        <w:t>students may be reluctant to share information about their disability to a provider and/or be unable to access or afford an assessment to verify it – and the requirement for clinical verification of disability (a medical model) is at odds with longstanding national policy settings (which recognise a social model of disability)</w:t>
      </w:r>
    </w:p>
    <w:p w14:paraId="5AFB7F5B" w14:textId="77777777" w:rsidR="004D0248" w:rsidRPr="004E0C57" w:rsidRDefault="004D0248" w:rsidP="004D0248">
      <w:pPr>
        <w:pStyle w:val="bullettedlist"/>
      </w:pPr>
      <w:r w:rsidRPr="004E0C57">
        <w:t xml:space="preserve">institutions can decline to make a reasonable adjustment if they deem the needed adjustments cause unjustifiable hardship, even if the adjustment itself is deemed reasonable – placing the onus back on students to start again with another institution (if there is an alternative option where they live) or pursue a discrimination complaint </w:t>
      </w:r>
    </w:p>
    <w:p w14:paraId="7D519A9D" w14:textId="77777777" w:rsidR="004D0248" w:rsidRPr="004E0C57" w:rsidRDefault="004D0248" w:rsidP="004D0248">
      <w:pPr>
        <w:pStyle w:val="bullettedlist"/>
      </w:pPr>
      <w:r w:rsidRPr="004E0C57">
        <w:t xml:space="preserve">there are additional barriers to access arising from building design and publishing standards which are not addressed in legislation. </w:t>
      </w:r>
    </w:p>
    <w:p w14:paraId="3EA56562" w14:textId="77777777" w:rsidR="004D0248" w:rsidRPr="004E0C57" w:rsidRDefault="004D0248" w:rsidP="004D0248">
      <w:pPr>
        <w:rPr>
          <w:lang w:val="en-AU"/>
        </w:rPr>
      </w:pPr>
    </w:p>
    <w:p w14:paraId="6A2F2D40" w14:textId="77777777" w:rsidR="004D0248" w:rsidRPr="004E0C57" w:rsidRDefault="004D0248" w:rsidP="004D0248">
      <w:pPr>
        <w:rPr>
          <w:lang w:val="en-AU"/>
        </w:rPr>
      </w:pPr>
      <w:r>
        <w:rPr>
          <w:lang w:val="en-AU"/>
        </w:rPr>
        <w:t xml:space="preserve">In </w:t>
      </w:r>
      <w:r w:rsidRPr="004E0C57">
        <w:rPr>
          <w:lang w:val="en-AU"/>
        </w:rPr>
        <w:t xml:space="preserve">August 2020, the NDCO Program surveyed 131 people with disability, disability practitioners, families and supporters to inform the NDCO submission into the </w:t>
      </w:r>
      <w:r w:rsidRPr="002A2DB6">
        <w:rPr>
          <w:i/>
          <w:iCs/>
          <w:lang w:val="en-AU"/>
        </w:rPr>
        <w:t>2020 Review of the Disability Standards for Education 2005</w:t>
      </w:r>
      <w:r w:rsidRPr="004E0C57">
        <w:rPr>
          <w:lang w:val="en-AU"/>
        </w:rPr>
        <w:t>. Survey respondents described the complaints process as long and drawn out, result</w:t>
      </w:r>
      <w:r>
        <w:rPr>
          <w:lang w:val="en-AU"/>
        </w:rPr>
        <w:t xml:space="preserve">ing in unfamiliarity with the process, missing educational opportunities, additional stress, withdrawing from study altogether, poor or no resolution including failure to implement </w:t>
      </w:r>
      <w:r w:rsidRPr="004E0C57">
        <w:rPr>
          <w:lang w:val="en-AU"/>
        </w:rPr>
        <w:t xml:space="preserve">recommendations </w:t>
      </w:r>
      <w:r>
        <w:rPr>
          <w:lang w:val="en-AU"/>
        </w:rPr>
        <w:t>from</w:t>
      </w:r>
      <w:r w:rsidRPr="004E0C57">
        <w:rPr>
          <w:lang w:val="en-AU"/>
        </w:rPr>
        <w:t xml:space="preserve"> conciliation</w:t>
      </w:r>
      <w:r>
        <w:rPr>
          <w:lang w:val="en-AU"/>
        </w:rPr>
        <w:t xml:space="preserve"> processes. From the survey, respondents were asked why they chose not to pursue a complaint. A </w:t>
      </w:r>
      <w:r w:rsidRPr="004E0C57">
        <w:rPr>
          <w:lang w:val="en-AU"/>
        </w:rPr>
        <w:t xml:space="preserve">variety of reasons </w:t>
      </w:r>
      <w:r>
        <w:rPr>
          <w:lang w:val="en-AU"/>
        </w:rPr>
        <w:t xml:space="preserve">cited </w:t>
      </w:r>
      <w:r w:rsidRPr="004E0C57">
        <w:rPr>
          <w:lang w:val="en-AU"/>
        </w:rPr>
        <w:t>includ</w:t>
      </w:r>
      <w:r>
        <w:rPr>
          <w:lang w:val="en-AU"/>
        </w:rPr>
        <w:t>e</w:t>
      </w:r>
      <w:r w:rsidRPr="004E0C57">
        <w:rPr>
          <w:lang w:val="en-AU"/>
        </w:rPr>
        <w:t>:</w:t>
      </w:r>
    </w:p>
    <w:p w14:paraId="2EE7E97C" w14:textId="77777777" w:rsidR="004D0248" w:rsidRPr="004E0C57" w:rsidRDefault="004D0248" w:rsidP="004D0248">
      <w:pPr>
        <w:autoSpaceDE w:val="0"/>
        <w:autoSpaceDN w:val="0"/>
        <w:adjustRightInd w:val="0"/>
        <w:jc w:val="both"/>
        <w:rPr>
          <w:lang w:val="en-AU"/>
        </w:rPr>
      </w:pPr>
    </w:p>
    <w:p w14:paraId="11F50FD8" w14:textId="77777777" w:rsidR="004D0248" w:rsidRPr="00E3580A" w:rsidRDefault="004D0248" w:rsidP="004D0248">
      <w:pPr>
        <w:pStyle w:val="bullettedlist"/>
      </w:pPr>
      <w:r w:rsidRPr="00E3580A">
        <w:t>time constraints</w:t>
      </w:r>
    </w:p>
    <w:p w14:paraId="016D8420" w14:textId="77777777" w:rsidR="004D0248" w:rsidRPr="00E3580A" w:rsidRDefault="004D0248" w:rsidP="004D0248">
      <w:pPr>
        <w:pStyle w:val="bullettedlist"/>
      </w:pPr>
      <w:r w:rsidRPr="00E3580A">
        <w:t>work/family commitments</w:t>
      </w:r>
    </w:p>
    <w:p w14:paraId="61726B02" w14:textId="77777777" w:rsidR="004D0248" w:rsidRPr="00E3580A" w:rsidRDefault="004D0248" w:rsidP="004D0248">
      <w:pPr>
        <w:pStyle w:val="bullettedlist"/>
      </w:pPr>
      <w:r w:rsidRPr="00E3580A">
        <w:t>feelings of powerlessness and the DDA having no impact</w:t>
      </w:r>
    </w:p>
    <w:p w14:paraId="7D800C15" w14:textId="77777777" w:rsidR="004D0248" w:rsidRPr="00E3580A" w:rsidRDefault="004D0248" w:rsidP="004D0248">
      <w:pPr>
        <w:pStyle w:val="bullettedlist"/>
      </w:pPr>
      <w:r w:rsidRPr="00E3580A">
        <w:t>not feeling safe to complain or wanting to ‘cause trouble’</w:t>
      </w:r>
    </w:p>
    <w:p w14:paraId="345C7D90" w14:textId="77777777" w:rsidR="004D0248" w:rsidRPr="00E3580A" w:rsidRDefault="004D0248" w:rsidP="004D0248">
      <w:pPr>
        <w:pStyle w:val="bullettedlist"/>
      </w:pPr>
      <w:r w:rsidRPr="00E3580A">
        <w:t>didn’t know how to engage the complaints process</w:t>
      </w:r>
    </w:p>
    <w:p w14:paraId="5B49C192" w14:textId="77777777" w:rsidR="004D0248" w:rsidRPr="00E3580A" w:rsidRDefault="004D0248" w:rsidP="004D0248">
      <w:pPr>
        <w:pStyle w:val="bullettedlist"/>
      </w:pPr>
      <w:r w:rsidRPr="00E3580A">
        <w:t>no training or information provided about discrimination and how to make a complaint</w:t>
      </w:r>
    </w:p>
    <w:p w14:paraId="3793EA16" w14:textId="77777777" w:rsidR="004D0248" w:rsidRPr="00E3580A" w:rsidRDefault="004D0248" w:rsidP="004D0248">
      <w:pPr>
        <w:pStyle w:val="bullettedlist"/>
      </w:pPr>
      <w:r w:rsidRPr="00E3580A">
        <w:t>lack of emotional capacity to deal with the process</w:t>
      </w:r>
    </w:p>
    <w:p w14:paraId="408824FC" w14:textId="77777777" w:rsidR="004D0248" w:rsidRPr="00E3580A" w:rsidRDefault="004D0248" w:rsidP="004D0248">
      <w:pPr>
        <w:pStyle w:val="bullettedlist"/>
      </w:pPr>
      <w:r w:rsidRPr="00E3580A">
        <w:t>education providers discouraging people from making complaints</w:t>
      </w:r>
    </w:p>
    <w:p w14:paraId="41FFACF7" w14:textId="77777777" w:rsidR="004D0248" w:rsidRPr="00E3580A" w:rsidRDefault="004D0248" w:rsidP="004D0248">
      <w:pPr>
        <w:pStyle w:val="bullettedlist"/>
      </w:pPr>
      <w:r w:rsidRPr="00E3580A">
        <w:t>no support to make the complaint</w:t>
      </w:r>
    </w:p>
    <w:p w14:paraId="089B5C45" w14:textId="77777777" w:rsidR="004D0248" w:rsidRPr="00E3580A" w:rsidRDefault="004D0248" w:rsidP="004D0248">
      <w:pPr>
        <w:pStyle w:val="bullettedlist"/>
      </w:pPr>
      <w:r w:rsidRPr="00E3580A">
        <w:t>cuts in advocacy services</w:t>
      </w:r>
    </w:p>
    <w:p w14:paraId="4B2F830E" w14:textId="77777777" w:rsidR="004D0248" w:rsidRDefault="004D0248" w:rsidP="004D0248">
      <w:pPr>
        <w:pStyle w:val="bullettedlist"/>
      </w:pPr>
      <w:r w:rsidRPr="00E3580A">
        <w:t>inadequate support and expertise.</w:t>
      </w:r>
    </w:p>
    <w:p w14:paraId="58C870B5" w14:textId="77777777" w:rsidR="00AA3515" w:rsidRDefault="00AA3515" w:rsidP="00416979"/>
    <w:p w14:paraId="2986873B" w14:textId="77777777" w:rsidR="008C4F3D" w:rsidRDefault="008C4F3D" w:rsidP="005F3AF6">
      <w:pPr>
        <w:pStyle w:val="Heading3"/>
      </w:pPr>
      <w:bookmarkStart w:id="12" w:name="_Toc128578518"/>
      <w:r>
        <w:lastRenderedPageBreak/>
        <w:t>ADCET recommends</w:t>
      </w:r>
      <w:r w:rsidRPr="008C1E28">
        <w:t>:</w:t>
      </w:r>
      <w:bookmarkEnd w:id="12"/>
      <w:r w:rsidRPr="008C1E28">
        <w:t xml:space="preserve"> </w:t>
      </w:r>
    </w:p>
    <w:p w14:paraId="4D5082AC" w14:textId="47D7F894" w:rsidR="0016202E" w:rsidRDefault="008F4DF1" w:rsidP="00EB535B">
      <w:pPr>
        <w:pStyle w:val="bullettedlist"/>
      </w:pPr>
      <w:r>
        <w:t xml:space="preserve">a discussion with the Australian Human Rights Commission to pursue a review of the DDA. In addition, we also recommend </w:t>
      </w:r>
      <w:r w:rsidR="00981FEB">
        <w:t xml:space="preserve">revisiting the recommendations </w:t>
      </w:r>
      <w:proofErr w:type="gramStart"/>
      <w:r w:rsidR="00981FEB">
        <w:t xml:space="preserve">of </w:t>
      </w:r>
      <w:r>
        <w:t xml:space="preserve"> the</w:t>
      </w:r>
      <w:proofErr w:type="gramEnd"/>
      <w:r>
        <w:t xml:space="preserve"> </w:t>
      </w:r>
      <w:r w:rsidRPr="00FD560D">
        <w:rPr>
          <w:i/>
          <w:iCs/>
        </w:rPr>
        <w:t xml:space="preserve">2020 Review of the Disability Standards for Education </w:t>
      </w:r>
      <w:r>
        <w:t xml:space="preserve">which remain unfinalised. </w:t>
      </w:r>
    </w:p>
    <w:p w14:paraId="2FB1B563" w14:textId="11791439" w:rsidR="00793AD9" w:rsidRDefault="0016202E" w:rsidP="00173466">
      <w:pPr>
        <w:pStyle w:val="bullettedlist"/>
      </w:pPr>
      <w:r>
        <w:t xml:space="preserve">a discussion with ASQA to improve compliance </w:t>
      </w:r>
      <w:r w:rsidR="00EB535B">
        <w:t>processes for supporting students with disability.</w:t>
      </w:r>
    </w:p>
    <w:p w14:paraId="041325EC" w14:textId="77777777" w:rsidR="00B25830" w:rsidRPr="004A23B2" w:rsidRDefault="00B25830" w:rsidP="00B25830">
      <w:pPr>
        <w:pStyle w:val="Heading3"/>
      </w:pPr>
      <w:bookmarkStart w:id="13" w:name="_Toc128578519"/>
      <w:r>
        <w:t>Current</w:t>
      </w:r>
      <w:r w:rsidRPr="004A23B2">
        <w:t xml:space="preserve"> </w:t>
      </w:r>
      <w:r>
        <w:t>ADCET strategies</w:t>
      </w:r>
      <w:r w:rsidRPr="004A23B2">
        <w:t>:</w:t>
      </w:r>
      <w:bookmarkEnd w:id="13"/>
    </w:p>
    <w:p w14:paraId="3B0A126D" w14:textId="693A8759" w:rsidR="00C47A70" w:rsidRDefault="007B63F1" w:rsidP="00C47A70">
      <w:r>
        <w:t xml:space="preserve">As previously mentioned </w:t>
      </w:r>
      <w:r w:rsidR="00C47A70" w:rsidRPr="00A367A6">
        <w:t>ADCET</w:t>
      </w:r>
      <w:r>
        <w:t xml:space="preserve"> has a range of resources to build capacity in the VET community</w:t>
      </w:r>
      <w:r w:rsidR="00BE152F">
        <w:t xml:space="preserve"> around building a disability confident workforce </w:t>
      </w:r>
      <w:r w:rsidR="004F763E">
        <w:t xml:space="preserve">which recognises and embeds legislative obligations in </w:t>
      </w:r>
      <w:r w:rsidR="00C74B4F">
        <w:t>its business processes</w:t>
      </w:r>
      <w:r w:rsidR="007F7952">
        <w:t>, teaching and learning activities and student support strategies. These include</w:t>
      </w:r>
      <w:r w:rsidR="00C47A70" w:rsidRPr="00701288">
        <w:t>:</w:t>
      </w:r>
    </w:p>
    <w:p w14:paraId="3CB7B18E" w14:textId="77777777" w:rsidR="007F7952" w:rsidRDefault="007F7952" w:rsidP="007F7952">
      <w:pPr>
        <w:pStyle w:val="bullettedlist"/>
      </w:pPr>
      <w:r>
        <w:t xml:space="preserve">A guide for disability practitioners on developing </w:t>
      </w:r>
      <w:hyperlink r:id="rId41" w:history="1">
        <w:r>
          <w:rPr>
            <w:rStyle w:val="Hyperlink"/>
          </w:rPr>
          <w:t>Disability Action Plans</w:t>
        </w:r>
      </w:hyperlink>
    </w:p>
    <w:p w14:paraId="5C3627C8" w14:textId="77777777" w:rsidR="00C47A70" w:rsidRPr="00AA5033" w:rsidRDefault="00C47A70" w:rsidP="00C47A70">
      <w:pPr>
        <w:pStyle w:val="bullettedlist"/>
        <w:rPr>
          <w:lang w:val="en-AU"/>
        </w:rPr>
      </w:pPr>
      <w:r w:rsidRPr="00AA5033">
        <w:rPr>
          <w:lang w:val="en-AU"/>
        </w:rPr>
        <w:t xml:space="preserve">Support for Disability Practitioners on </w:t>
      </w:r>
      <w:hyperlink r:id="rId42" w:history="1">
        <w:r>
          <w:rPr>
            <w:rStyle w:val="Hyperlink"/>
          </w:rPr>
          <w:t>Reasonable Adjustments</w:t>
        </w:r>
      </w:hyperlink>
      <w:r>
        <w:t xml:space="preserve"> and </w:t>
      </w:r>
      <w:hyperlink r:id="rId43" w:history="1">
        <w:r>
          <w:rPr>
            <w:rStyle w:val="Hyperlink"/>
          </w:rPr>
          <w:t>Legislation</w:t>
        </w:r>
      </w:hyperlink>
    </w:p>
    <w:p w14:paraId="46C5BB19" w14:textId="77777777" w:rsidR="00923949" w:rsidRPr="00923949" w:rsidRDefault="0064282A" w:rsidP="00923949">
      <w:pPr>
        <w:pStyle w:val="bullettedlist"/>
        <w:rPr>
          <w:lang w:val="en-AU"/>
        </w:rPr>
      </w:pPr>
      <w:hyperlink r:id="rId44" w:history="1">
        <w:r w:rsidR="00C47A70" w:rsidRPr="00B54540">
          <w:rPr>
            <w:rStyle w:val="Hyperlink"/>
          </w:rPr>
          <w:t>Free Disability Awareness eLearning</w:t>
        </w:r>
      </w:hyperlink>
      <w:r w:rsidR="00C47A70" w:rsidRPr="00B54540">
        <w:t xml:space="preserve"> including introductory training</w:t>
      </w:r>
      <w:r w:rsidR="007F7952">
        <w:t xml:space="preserve"> and specific programs for the VET sector </w:t>
      </w:r>
      <w:r w:rsidR="00E71A55">
        <w:t>such as</w:t>
      </w:r>
      <w:r w:rsidR="0060645F">
        <w:t xml:space="preserve"> </w:t>
      </w:r>
      <w:hyperlink r:id="rId45" w:history="1">
        <w:r w:rsidR="00C47A70" w:rsidRPr="00B54540">
          <w:rPr>
            <w:rStyle w:val="Hyperlink"/>
          </w:rPr>
          <w:t>VET Staff Supporting Students with Disability</w:t>
        </w:r>
      </w:hyperlink>
      <w:r w:rsidR="00C47A70" w:rsidRPr="00B54540">
        <w:t> </w:t>
      </w:r>
      <w:r w:rsidR="00C47A70">
        <w:t xml:space="preserve">and </w:t>
      </w:r>
      <w:hyperlink r:id="rId46" w:history="1">
        <w:r w:rsidR="00C47A70" w:rsidRPr="00B54540">
          <w:rPr>
            <w:rStyle w:val="Hyperlink"/>
          </w:rPr>
          <w:t>VET Educators Supporting Students with Disability</w:t>
        </w:r>
      </w:hyperlink>
      <w:r w:rsidR="00C47A70" w:rsidRPr="00B54540">
        <w:t> </w:t>
      </w:r>
    </w:p>
    <w:p w14:paraId="6F7266C5" w14:textId="2AA78B12" w:rsidR="00C47A70" w:rsidRPr="00923949" w:rsidRDefault="0064282A" w:rsidP="00923949">
      <w:pPr>
        <w:pStyle w:val="bullettedlist"/>
        <w:rPr>
          <w:lang w:val="en-AU"/>
        </w:rPr>
      </w:pPr>
      <w:hyperlink r:id="rId47" w:history="1">
        <w:r w:rsidR="00C47A70" w:rsidRPr="00923949">
          <w:rPr>
            <w:rStyle w:val="Hyperlink"/>
            <w:lang w:val="en-AU"/>
          </w:rPr>
          <w:t>Accessible ICT procurement guidelines</w:t>
        </w:r>
      </w:hyperlink>
      <w:r w:rsidR="00C47A70" w:rsidRPr="00923949">
        <w:rPr>
          <w:lang w:val="en-AU"/>
        </w:rPr>
        <w:t xml:space="preserve"> </w:t>
      </w:r>
      <w:r w:rsidR="00C47A70" w:rsidRPr="00D55D1C">
        <w:t>with practical information about procuring ICT products and services with accessibility as an essential criterion</w:t>
      </w:r>
    </w:p>
    <w:p w14:paraId="12DD8709" w14:textId="77777777" w:rsidR="00C47A70" w:rsidRDefault="00C47A70" w:rsidP="00C47A70">
      <w:pPr>
        <w:pStyle w:val="bullettedlist"/>
      </w:pPr>
      <w:r w:rsidRPr="00551504">
        <w:rPr>
          <w:lang w:val="en-AU"/>
        </w:rPr>
        <w:t xml:space="preserve">Assistive </w:t>
      </w:r>
      <w:r>
        <w:rPr>
          <w:lang w:val="en-AU"/>
        </w:rPr>
        <w:t>T</w:t>
      </w:r>
      <w:r w:rsidRPr="00551504">
        <w:rPr>
          <w:lang w:val="en-AU"/>
        </w:rPr>
        <w:t xml:space="preserve">echnology </w:t>
      </w:r>
      <w:r>
        <w:rPr>
          <w:lang w:val="en-AU"/>
        </w:rPr>
        <w:t xml:space="preserve">(AT) </w:t>
      </w:r>
      <w:r w:rsidRPr="00551504">
        <w:rPr>
          <w:lang w:val="en-AU"/>
        </w:rPr>
        <w:t xml:space="preserve">resources such as </w:t>
      </w:r>
      <w:hyperlink r:id="rId48" w:history="1">
        <w:r>
          <w:rPr>
            <w:rStyle w:val="Hyperlink"/>
          </w:rPr>
          <w:t>ADCET Assist</w:t>
        </w:r>
      </w:hyperlink>
      <w:r>
        <w:t xml:space="preserve"> and </w:t>
      </w:r>
      <w:hyperlink r:id="rId49" w:history="1">
        <w:r w:rsidRPr="00663259">
          <w:rPr>
            <w:rStyle w:val="Hyperlink"/>
          </w:rPr>
          <w:t>Inclusive Technology</w:t>
        </w:r>
      </w:hyperlink>
      <w:r>
        <w:t xml:space="preserve"> resources t</w:t>
      </w:r>
      <w:r w:rsidRPr="00551504">
        <w:t xml:space="preserve">o </w:t>
      </w:r>
      <w:r>
        <w:t>build capacity and understanding of AT as a means of supporting students.</w:t>
      </w:r>
    </w:p>
    <w:p w14:paraId="5792144C" w14:textId="77777777" w:rsidR="00C47A70" w:rsidRPr="0081119A" w:rsidRDefault="0064282A" w:rsidP="00C47A70">
      <w:pPr>
        <w:pStyle w:val="bullettedlist"/>
        <w:rPr>
          <w:rStyle w:val="Hyperlink"/>
          <w:color w:val="auto"/>
          <w:u w:val="none"/>
        </w:rPr>
      </w:pPr>
      <w:hyperlink r:id="rId50" w:history="1">
        <w:r w:rsidR="00C47A70" w:rsidRPr="0020509E">
          <w:rPr>
            <w:rStyle w:val="Hyperlink"/>
            <w:color w:val="auto"/>
            <w:u w:val="none"/>
          </w:rPr>
          <w:t>Information</w:t>
        </w:r>
        <w:r w:rsidR="00C47A70">
          <w:rPr>
            <w:rStyle w:val="Hyperlink"/>
          </w:rPr>
          <w:t xml:space="preserve"> on Inclusive Teaching</w:t>
        </w:r>
      </w:hyperlink>
      <w:r w:rsidR="00C47A70">
        <w:t xml:space="preserve"> i</w:t>
      </w:r>
      <w:r w:rsidR="00C47A70" w:rsidRPr="00C30901">
        <w:t>ncluding</w:t>
      </w:r>
      <w:r w:rsidR="00C47A70">
        <w:t xml:space="preserve"> Universal Design for Learning </w:t>
      </w:r>
      <w:hyperlink r:id="rId51" w:history="1">
        <w:r w:rsidR="00C47A70" w:rsidRPr="00B54540">
          <w:rPr>
            <w:rStyle w:val="Hyperlink"/>
          </w:rPr>
          <w:t xml:space="preserve">eLearning </w:t>
        </w:r>
      </w:hyperlink>
    </w:p>
    <w:p w14:paraId="1A219203" w14:textId="77777777" w:rsidR="00C47A70" w:rsidRDefault="00C47A70" w:rsidP="00C47A70">
      <w:pPr>
        <w:pStyle w:val="bullettedlist"/>
      </w:pPr>
      <w:r>
        <w:rPr>
          <w:rStyle w:val="Hyperlink"/>
        </w:rPr>
        <w:t>A new toolkit (coming soon) for VET providers on supporting students across the student lifecycle.</w:t>
      </w:r>
    </w:p>
    <w:p w14:paraId="14EB2DDF" w14:textId="77777777" w:rsidR="00C47A70" w:rsidRDefault="00C47A70" w:rsidP="00C47A70">
      <w:pPr>
        <w:pStyle w:val="bullettedlist"/>
        <w:numPr>
          <w:ilvl w:val="0"/>
          <w:numId w:val="0"/>
        </w:numPr>
        <w:ind w:left="357" w:hanging="357"/>
        <w:rPr>
          <w:lang w:val="en-AU"/>
        </w:rPr>
      </w:pPr>
    </w:p>
    <w:p w14:paraId="2D1EAA5A" w14:textId="30073582" w:rsidR="00FD560D" w:rsidRDefault="00FD560D">
      <w:pPr>
        <w:rPr>
          <w:rFonts w:cstheme="majorBidi"/>
          <w:b/>
          <w:bCs/>
          <w:color w:val="2F5496" w:themeColor="accent1" w:themeShade="BF"/>
          <w:sz w:val="32"/>
          <w:szCs w:val="36"/>
        </w:rPr>
      </w:pPr>
      <w:r>
        <w:br w:type="page"/>
      </w:r>
    </w:p>
    <w:p w14:paraId="539DACEC" w14:textId="58A42B51" w:rsidR="00861B4F" w:rsidRPr="000A6D81" w:rsidRDefault="00861B4F" w:rsidP="00AB0644">
      <w:pPr>
        <w:pStyle w:val="Heading2"/>
      </w:pPr>
      <w:bookmarkStart w:id="14" w:name="_Toc128578520"/>
      <w:r w:rsidRPr="000A6D81">
        <w:lastRenderedPageBreak/>
        <w:t xml:space="preserve">ISSUE 4: </w:t>
      </w:r>
      <w:r w:rsidR="00163752" w:rsidRPr="000A6D81">
        <w:t>insufficient funding for students in tertiary education.</w:t>
      </w:r>
      <w:bookmarkEnd w:id="14"/>
      <w:r w:rsidR="00163752" w:rsidRPr="000A6D81">
        <w:t xml:space="preserve"> </w:t>
      </w:r>
    </w:p>
    <w:p w14:paraId="13647534" w14:textId="70C5EC6D" w:rsidR="000A6D81" w:rsidRDefault="00163752" w:rsidP="00F34CEB">
      <w:pPr>
        <w:rPr>
          <w:rStyle w:val="normaltextrun"/>
          <w:color w:val="000000"/>
          <w:shd w:val="clear" w:color="auto" w:fill="FFFFFF"/>
        </w:rPr>
      </w:pPr>
      <w:r w:rsidRPr="000A6D81">
        <w:rPr>
          <w:rStyle w:val="normaltextrun"/>
          <w:color w:val="000000"/>
          <w:shd w:val="clear" w:color="auto" w:fill="FFFFFF"/>
        </w:rPr>
        <w:t xml:space="preserve">Whilst it is true that tertiary providers are required to fund reasonable adjustments for students with disability, </w:t>
      </w:r>
      <w:r w:rsidR="00F35385">
        <w:rPr>
          <w:rStyle w:val="normaltextrun"/>
          <w:color w:val="000000"/>
          <w:shd w:val="clear" w:color="auto" w:fill="FFFFFF"/>
        </w:rPr>
        <w:t xml:space="preserve">there is a vast chasm between the funding provided in schools compared to that provided in the tertiary sector. The </w:t>
      </w:r>
      <w:r w:rsidRPr="000A6D81">
        <w:rPr>
          <w:rStyle w:val="normaltextrun"/>
          <w:color w:val="000000"/>
          <w:shd w:val="clear" w:color="auto" w:fill="FFFFFF"/>
        </w:rPr>
        <w:t>Australian Government funding for reasonable adjustments in schools totals $28.8 billion in 2018-29</w:t>
      </w:r>
      <w:r w:rsidRPr="000A6D81">
        <w:rPr>
          <w:rStyle w:val="superscript"/>
          <w:color w:val="000000"/>
          <w:sz w:val="19"/>
          <w:szCs w:val="19"/>
          <w:shd w:val="clear" w:color="auto" w:fill="FFFFFF"/>
          <w:vertAlign w:val="superscript"/>
        </w:rPr>
        <w:t>7</w:t>
      </w:r>
      <w:r w:rsidRPr="000A6D81">
        <w:rPr>
          <w:rStyle w:val="normaltextrun"/>
          <w:color w:val="000000"/>
          <w:shd w:val="clear" w:color="auto" w:fill="FFFFFF"/>
        </w:rPr>
        <w:t>, ranging from $4,704 through to $35,350 per student</w:t>
      </w:r>
      <w:r w:rsidRPr="000A6D81">
        <w:rPr>
          <w:rStyle w:val="FootnoteReference"/>
          <w:color w:val="000000"/>
          <w:shd w:val="clear" w:color="auto" w:fill="FFFFFF"/>
        </w:rPr>
        <w:footnoteReference w:id="8"/>
      </w:r>
      <w:r w:rsidRPr="000A6D81">
        <w:rPr>
          <w:rStyle w:val="normaltextrun"/>
          <w:color w:val="000000"/>
          <w:shd w:val="clear" w:color="auto" w:fill="FFFFFF"/>
        </w:rPr>
        <w:t xml:space="preserve">. </w:t>
      </w:r>
    </w:p>
    <w:p w14:paraId="2F66FDF2" w14:textId="77777777" w:rsidR="000A6D81" w:rsidRDefault="000A6D81" w:rsidP="00F34CEB">
      <w:pPr>
        <w:rPr>
          <w:rStyle w:val="normaltextrun"/>
          <w:color w:val="000000"/>
          <w:shd w:val="clear" w:color="auto" w:fill="FFFFFF"/>
        </w:rPr>
      </w:pPr>
    </w:p>
    <w:p w14:paraId="237D81D7" w14:textId="77777777" w:rsidR="002806CE" w:rsidRDefault="00163752" w:rsidP="002806CE">
      <w:r w:rsidRPr="000A6D81">
        <w:rPr>
          <w:rStyle w:val="normaltextrun"/>
          <w:color w:val="000000"/>
          <w:shd w:val="clear" w:color="auto" w:fill="FFFFFF"/>
        </w:rPr>
        <w:t>This is in stark contrast to the funding for reasonable adjustments in higher education which totals $7.78 million annually through the Disability Support Program (DSP) including funding for ADCET. This amount equates to an average of $110 per student with disability annually.</w:t>
      </w:r>
      <w:r w:rsidRPr="000A6D81">
        <w:rPr>
          <w:rStyle w:val="eop"/>
          <w:color w:val="000000"/>
          <w:shd w:val="clear" w:color="auto" w:fill="FFFFFF"/>
        </w:rPr>
        <w:t> </w:t>
      </w:r>
      <w:r w:rsidR="002806CE" w:rsidRPr="004E0C57">
        <w:t>This funding per student has more than halved in real terms since 2008 – down from $265 per student.</w:t>
      </w:r>
    </w:p>
    <w:p w14:paraId="6A28BDA6" w14:textId="20EAC8CF" w:rsidR="00163752" w:rsidRPr="000A6D81" w:rsidRDefault="00163752" w:rsidP="002806CE"/>
    <w:p w14:paraId="4C790F1D" w14:textId="2277100A" w:rsidR="00E161A0" w:rsidRDefault="00E161A0" w:rsidP="00E161A0">
      <w:r>
        <w:t xml:space="preserve">The funding for VET providers is even worse. </w:t>
      </w:r>
      <w:r w:rsidRPr="004E0C57">
        <w:t xml:space="preserve">While there is an employer incentive program for businesses engaging people with disability in apprenticeships or traineeships (Disabled Australian Apprentice Wage Support), only 3% of trainees or apprentices </w:t>
      </w:r>
      <w:r>
        <w:t>shared information about having</w:t>
      </w:r>
      <w:r w:rsidRPr="004E0C57">
        <w:t xml:space="preserve"> a disability, suggesting that this pathway is particularly difficult to access for students with disability (NCVER 2021)</w:t>
      </w:r>
      <w:r>
        <w:t>.</w:t>
      </w:r>
    </w:p>
    <w:p w14:paraId="7486B344" w14:textId="77777777" w:rsidR="00E161A0" w:rsidRPr="004E0C57" w:rsidRDefault="00E161A0" w:rsidP="00E161A0"/>
    <w:p w14:paraId="5B45AD8A" w14:textId="20D9EBC0" w:rsidR="00E161A0" w:rsidRDefault="00E161A0" w:rsidP="00E161A0">
      <w:r w:rsidRPr="004E0C57">
        <w:t xml:space="preserve">There </w:t>
      </w:r>
      <w:r w:rsidR="00B90C87">
        <w:t xml:space="preserve">are </w:t>
      </w:r>
      <w:r w:rsidR="00CF5161">
        <w:t>few</w:t>
      </w:r>
      <w:r w:rsidRPr="004E0C57">
        <w:t xml:space="preserve"> equivalent systematic funding </w:t>
      </w:r>
      <w:proofErr w:type="gramStart"/>
      <w:r w:rsidRPr="004E0C57">
        <w:t>program</w:t>
      </w:r>
      <w:proofErr w:type="gramEnd"/>
      <w:r w:rsidRPr="004E0C57">
        <w:t xml:space="preserve"> </w:t>
      </w:r>
      <w:r w:rsidR="00FC75D8">
        <w:t xml:space="preserve">across all </w:t>
      </w:r>
      <w:r w:rsidRPr="004E0C57">
        <w:t>State and Territory Governments for reasonable adjustments in vocational education and training unless the tertiary qualification is a traineeship or apprenticeship</w:t>
      </w:r>
      <w:r w:rsidR="004D3BCD">
        <w:rPr>
          <w:rStyle w:val="FootnoteReference"/>
        </w:rPr>
        <w:footnoteReference w:id="9"/>
      </w:r>
      <w:r w:rsidRPr="004E0C57">
        <w:t>.</w:t>
      </w:r>
    </w:p>
    <w:p w14:paraId="439AB0AE" w14:textId="77777777" w:rsidR="008A1286" w:rsidRDefault="008A1286" w:rsidP="00E161A0"/>
    <w:p w14:paraId="284253AD" w14:textId="5550681F" w:rsidR="008A1286" w:rsidRPr="004E0C57" w:rsidRDefault="008A1286" w:rsidP="008A1286">
      <w:pPr>
        <w:rPr>
          <w:b/>
          <w:bCs/>
        </w:rPr>
      </w:pPr>
      <w:r>
        <w:t xml:space="preserve">There is also a perception that the </w:t>
      </w:r>
      <w:r w:rsidRPr="004E0C57">
        <w:t xml:space="preserve">National Disability Insurance Scheme (NDIS) </w:t>
      </w:r>
      <w:r>
        <w:t xml:space="preserve">in some way bridges this gap. </w:t>
      </w:r>
      <w:r w:rsidRPr="004E0C57">
        <w:rPr>
          <w:bCs/>
        </w:rPr>
        <w:t xml:space="preserve">The NDIS is a once in a generation human service reform, which has proven to be life changing for some who access it, </w:t>
      </w:r>
      <w:r w:rsidRPr="004E0C57">
        <w:rPr>
          <w:bCs/>
          <w:u w:val="single"/>
        </w:rPr>
        <w:t>but</w:t>
      </w:r>
      <w:r w:rsidRPr="004E0C57">
        <w:rPr>
          <w:bCs/>
        </w:rPr>
        <w:t>:</w:t>
      </w:r>
    </w:p>
    <w:p w14:paraId="1390E167" w14:textId="77777777" w:rsidR="008A1286" w:rsidRPr="004E0C57" w:rsidRDefault="008A1286" w:rsidP="00B00CC4">
      <w:pPr>
        <w:pStyle w:val="bullettedlist"/>
      </w:pPr>
      <w:r w:rsidRPr="004E0C57">
        <w:t xml:space="preserve">only about 10% of people with disability will be eligible to access individual funding through it </w:t>
      </w:r>
    </w:p>
    <w:p w14:paraId="7A81CF86" w14:textId="76F598E9" w:rsidR="00A731E4" w:rsidRPr="00A731E4" w:rsidRDefault="00A731E4" w:rsidP="00A731E4">
      <w:pPr>
        <w:pStyle w:val="bullettedlist"/>
      </w:pPr>
      <w:r w:rsidRPr="00A731E4">
        <w:t>there is no obligation for VET practitioners to familiarise themselves with the NDIS framework and the implications for funding of vocational education courses and necessary reasonable adjustments for learners with disability at their institutions. This means that opportunities to access additional resources to fill support funding gaps may be missed</w:t>
      </w:r>
    </w:p>
    <w:p w14:paraId="502C1354" w14:textId="34FA1EF1" w:rsidR="00615EFB" w:rsidRDefault="008A1286" w:rsidP="00B00CC4">
      <w:pPr>
        <w:pStyle w:val="bullettedlist"/>
      </w:pPr>
      <w:r w:rsidRPr="004E0C57">
        <w:t>we don’t know if it’s improving access to tertiary education</w:t>
      </w:r>
      <w:r w:rsidR="00B00CC4">
        <w:t xml:space="preserve"> (and given there is no specific strategic focus on education and training this is unlikely)</w:t>
      </w:r>
    </w:p>
    <w:p w14:paraId="5979F9BC" w14:textId="48484692" w:rsidR="008A1286" w:rsidRDefault="008A1286" w:rsidP="00B00CC4">
      <w:pPr>
        <w:pStyle w:val="bullettedlist"/>
      </w:pPr>
      <w:r w:rsidRPr="004E0C57">
        <w:t xml:space="preserve">the NDIS won’t fund educational supports, which </w:t>
      </w:r>
      <w:r>
        <w:t xml:space="preserve">may </w:t>
      </w:r>
      <w:r w:rsidRPr="004E0C57">
        <w:t>discourage collaborative planning between the NDIS and education services to deliver coordinated supports for people with disability (Whitburn et. al. 2017).</w:t>
      </w:r>
    </w:p>
    <w:p w14:paraId="61520944" w14:textId="77777777" w:rsidR="00E161A0" w:rsidRPr="004E0C57" w:rsidRDefault="00E161A0" w:rsidP="00E161A0"/>
    <w:p w14:paraId="1B1F7774" w14:textId="7A466702" w:rsidR="00E161A0" w:rsidRPr="004E0C57" w:rsidRDefault="00E161A0" w:rsidP="00E161A0">
      <w:r w:rsidRPr="004E0C57">
        <w:t>There is no publicly available data on reasonable adjustments made by providers, the location where this occurs, the cost, nor the outcome achieved</w:t>
      </w:r>
      <w:r w:rsidR="004F4ACD">
        <w:t xml:space="preserve"> – </w:t>
      </w:r>
      <w:r w:rsidRPr="00F00615">
        <w:t>including whether the adjustments were applied in ways that influenced the future inclusiveness of the course or program.</w:t>
      </w:r>
      <w:r w:rsidRPr="004E0C57">
        <w:t xml:space="preserve"> </w:t>
      </w:r>
    </w:p>
    <w:p w14:paraId="7CBC2403" w14:textId="77777777" w:rsidR="0047274A" w:rsidRDefault="0047274A" w:rsidP="002806CE"/>
    <w:p w14:paraId="20FA12C1" w14:textId="7E476C27" w:rsidR="0047274A" w:rsidRDefault="00F559D5" w:rsidP="00F559D5">
      <w:r w:rsidRPr="004E0C57">
        <w:lastRenderedPageBreak/>
        <w:t>In short</w:t>
      </w:r>
      <w:r>
        <w:t xml:space="preserve">, </w:t>
      </w:r>
      <w:r w:rsidRPr="004E0C57">
        <w:t>we don’t know how well the system is working, but anecdotal evidence suggests it can be challenging for students to know and pursue their rights</w:t>
      </w:r>
      <w:r>
        <w:t xml:space="preserve">. In addition, </w:t>
      </w:r>
      <w:r w:rsidRPr="004E0C57">
        <w:t>public funding support for reasonable adjustments is well below funding for Australian schools or higher education students</w:t>
      </w:r>
    </w:p>
    <w:p w14:paraId="49ACC05F" w14:textId="6B4FFC39" w:rsidR="00793AD9" w:rsidRDefault="00793AD9" w:rsidP="005F3AF6">
      <w:pPr>
        <w:pStyle w:val="Heading3"/>
      </w:pPr>
      <w:bookmarkStart w:id="15" w:name="_Toc128578521"/>
      <w:r>
        <w:t>ADCET recommends:</w:t>
      </w:r>
      <w:bookmarkEnd w:id="15"/>
    </w:p>
    <w:p w14:paraId="1A536216" w14:textId="0454DCCC" w:rsidR="00E83452" w:rsidRDefault="00354328" w:rsidP="007A1E1B">
      <w:pPr>
        <w:pStyle w:val="numberedpara"/>
        <w:numPr>
          <w:ilvl w:val="0"/>
          <w:numId w:val="40"/>
        </w:numPr>
      </w:pPr>
      <w:r w:rsidRPr="004E0062">
        <w:t xml:space="preserve">a review of funding arrangements for the tertiary education sector with specific focus on </w:t>
      </w:r>
      <w:r w:rsidRPr="007A1E1B">
        <w:t>funding</w:t>
      </w:r>
      <w:r w:rsidRPr="004E0062">
        <w:t xml:space="preserve"> in the VET sector to ensure that VET providers are getting sufficient funding to support students with disability including through whole-of-institution changes such as embedding inclusive teaching practices and transforming physical and digital spaces to make them fully accessible</w:t>
      </w:r>
    </w:p>
    <w:p w14:paraId="02A26C9F" w14:textId="6FB1B678" w:rsidR="007A1E1B" w:rsidRDefault="007A1E1B" w:rsidP="007A1E1B">
      <w:pPr>
        <w:pStyle w:val="numberedpara"/>
      </w:pPr>
      <w:r w:rsidRPr="00477623">
        <w:t xml:space="preserve">A </w:t>
      </w:r>
      <w:r w:rsidRPr="007A1E1B">
        <w:t>grant</w:t>
      </w:r>
      <w:r w:rsidRPr="00477623">
        <w:t xml:space="preserve"> scheme to assist issues such as ICT procurement and transformation of learning could assist some smaller providers. In addition, strategic and practical changes to the NDIS to focus on post-secondary education as a pathway for people with disability is strongly advised. Currently the Royal Commission into Violence, Abuse, Neglect and Exploitation of People with Disability is exploring this issue through its </w:t>
      </w:r>
      <w:hyperlink r:id="rId52" w:history="1">
        <w:r w:rsidRPr="00477623">
          <w:rPr>
            <w:rStyle w:val="Hyperlink"/>
          </w:rPr>
          <w:t>education and learning issues paper</w:t>
        </w:r>
      </w:hyperlink>
      <w:r w:rsidRPr="00477623">
        <w:t>. ADCET has also provided a submission to the Commission on this issue</w:t>
      </w:r>
      <w:r>
        <w:t>.</w:t>
      </w:r>
    </w:p>
    <w:p w14:paraId="2CEA04B4" w14:textId="77777777" w:rsidR="00B25830" w:rsidRPr="004A23B2" w:rsidRDefault="00B25830" w:rsidP="00B25830">
      <w:pPr>
        <w:pStyle w:val="Heading3"/>
      </w:pPr>
      <w:bookmarkStart w:id="16" w:name="_Toc128578522"/>
      <w:r>
        <w:t>Current</w:t>
      </w:r>
      <w:r w:rsidRPr="004A23B2">
        <w:t xml:space="preserve"> </w:t>
      </w:r>
      <w:r>
        <w:t>ADCET strategies</w:t>
      </w:r>
      <w:r w:rsidRPr="004A23B2">
        <w:t>:</w:t>
      </w:r>
      <w:bookmarkEnd w:id="16"/>
    </w:p>
    <w:p w14:paraId="077C979A" w14:textId="6B1F6545" w:rsidR="00853BC4" w:rsidRDefault="009D4B69" w:rsidP="009D4B69">
      <w:r>
        <w:t xml:space="preserve">ADCET produces work of national </w:t>
      </w:r>
      <w:r w:rsidR="00786D38">
        <w:t>significance</w:t>
      </w:r>
      <w:r>
        <w:t xml:space="preserve"> for the sector as demonstrated in the </w:t>
      </w:r>
      <w:r w:rsidR="005A5584">
        <w:t xml:space="preserve">resources mentioned above. However, the funding provided is indicative of the low levels of funding provided to the sector </w:t>
      </w:r>
      <w:r w:rsidR="0035369D">
        <w:t xml:space="preserve">to support students with disability to access, participate and </w:t>
      </w:r>
      <w:r w:rsidR="001C4359">
        <w:t xml:space="preserve">succeed in post-secondary education. </w:t>
      </w:r>
      <w:r w:rsidR="00853BC4">
        <w:t>Without the support of ADCET</w:t>
      </w:r>
      <w:r w:rsidR="00297EFB">
        <w:t xml:space="preserve"> disability </w:t>
      </w:r>
      <w:r w:rsidR="0067671A">
        <w:t>practitioners</w:t>
      </w:r>
      <w:r w:rsidR="00297EFB">
        <w:t xml:space="preserve">, educators and students would </w:t>
      </w:r>
      <w:r w:rsidR="0067671A">
        <w:t xml:space="preserve">find it challenging to find targeted, evidence-based research, practice and support. The ADCET site is </w:t>
      </w:r>
      <w:r w:rsidR="00534BD2">
        <w:t>regularly sourced across a wide range of organisations and highly prized by users as evidence by some of the testimonials below.</w:t>
      </w:r>
    </w:p>
    <w:p w14:paraId="6501D7EE" w14:textId="05675480" w:rsidR="00534BD2" w:rsidRDefault="00534BD2"/>
    <w:bookmarkEnd w:id="3"/>
    <w:p w14:paraId="5C8E2B7D" w14:textId="16535742" w:rsidR="000C4DA5" w:rsidRPr="00534BD2" w:rsidRDefault="000C4DA5" w:rsidP="00534BD2">
      <w:pPr>
        <w:pStyle w:val="IntenseQuote"/>
        <w:rPr>
          <w:b/>
          <w:bCs/>
          <w:lang w:val="en-AU" w:eastAsia="en-AU"/>
        </w:rPr>
      </w:pPr>
      <w:r w:rsidRPr="000C4DA5">
        <w:rPr>
          <w:lang w:val="en-AU" w:eastAsia="en-AU"/>
        </w:rPr>
        <w:t>7-star status for ADCET! For myself, the team of Accessibility Liaison Officers and the teaching teams at Victoria University, ADCET is a fantastic support!</w:t>
      </w:r>
      <w:r w:rsidR="00534BD2">
        <w:rPr>
          <w:lang w:val="en-AU" w:eastAsia="en-AU"/>
        </w:rPr>
        <w:t xml:space="preserve"> </w:t>
      </w:r>
      <w:r w:rsidRPr="000C4DA5">
        <w:rPr>
          <w:lang w:val="en-AU" w:eastAsia="en-AU"/>
        </w:rPr>
        <w:t xml:space="preserve">A TAFE QLD practitioner for 28 years; I moved into a disability educational role in 2017. The ADCET team and their amazing suite of innovative and inclusive resources immediately made me feel comfortable, in control and totally supported. Through their modelling and encouragement, I now get involved with the development and </w:t>
      </w:r>
      <w:proofErr w:type="spellStart"/>
      <w:r w:rsidRPr="000C4DA5">
        <w:rPr>
          <w:lang w:val="en-AU" w:eastAsia="en-AU"/>
        </w:rPr>
        <w:t>trialing</w:t>
      </w:r>
      <w:proofErr w:type="spellEnd"/>
      <w:r w:rsidRPr="000C4DA5">
        <w:rPr>
          <w:lang w:val="en-AU" w:eastAsia="en-AU"/>
        </w:rPr>
        <w:t xml:space="preserve"> of resources for our industry! The ADCET team genuinely cares for student and practitioner growth, both professionally and personally</w:t>
      </w:r>
      <w:r w:rsidR="003157E0">
        <w:rPr>
          <w:lang w:val="en-AU" w:eastAsia="en-AU"/>
        </w:rPr>
        <w:t xml:space="preserve">, </w:t>
      </w:r>
      <w:r w:rsidR="003157E0" w:rsidRPr="003157E0">
        <w:rPr>
          <w:b/>
          <w:bCs/>
          <w:lang w:val="en-AU" w:eastAsia="en-AU"/>
        </w:rPr>
        <w:t>(</w:t>
      </w:r>
      <w:r w:rsidRPr="00534BD2">
        <w:rPr>
          <w:b/>
          <w:bCs/>
          <w:lang w:val="en-AU" w:eastAsia="en-AU"/>
        </w:rPr>
        <w:t>Meredith Jackson, Leading Vocational Teacher, Student Support, TAFE Queensland</w:t>
      </w:r>
      <w:r w:rsidR="003157E0">
        <w:rPr>
          <w:b/>
          <w:bCs/>
          <w:lang w:val="en-AU" w:eastAsia="en-AU"/>
        </w:rPr>
        <w:t>)</w:t>
      </w:r>
    </w:p>
    <w:p w14:paraId="55273140" w14:textId="4771A7FF" w:rsidR="00173466" w:rsidRDefault="00173466">
      <w:pPr>
        <w:rPr>
          <w:sz w:val="24"/>
          <w:lang w:val="en-AU" w:eastAsia="en-AU"/>
        </w:rPr>
      </w:pPr>
      <w:r>
        <w:rPr>
          <w:lang w:val="en-AU" w:eastAsia="en-AU"/>
        </w:rPr>
        <w:br w:type="page"/>
      </w:r>
    </w:p>
    <w:p w14:paraId="6E46AC56" w14:textId="77777777" w:rsidR="000C4DA5" w:rsidRPr="000C4DA5" w:rsidRDefault="000C4DA5" w:rsidP="003157E0">
      <w:pPr>
        <w:pStyle w:val="NoSpacing"/>
        <w:rPr>
          <w:lang w:val="en-AU" w:eastAsia="en-AU"/>
        </w:rPr>
      </w:pPr>
    </w:p>
    <w:p w14:paraId="708BDFFF" w14:textId="15BF251A" w:rsidR="000C4DA5" w:rsidRPr="00C75331" w:rsidRDefault="000C4DA5" w:rsidP="00534BD2">
      <w:pPr>
        <w:pStyle w:val="IntenseQuote"/>
        <w:rPr>
          <w:b/>
          <w:bCs/>
          <w:lang w:val="en-AU" w:eastAsia="en-AU"/>
        </w:rPr>
      </w:pPr>
      <w:r w:rsidRPr="000C4DA5">
        <w:rPr>
          <w:lang w:val="en-AU" w:eastAsia="en-AU"/>
        </w:rPr>
        <w:t>As a disability practitioner who often provides discrete support to our students, ADCET has been my ‘go-to’ resource for technology know-how, practitioner best practice and often just the simple but vital confirmation that I’m doing the best I can for our students' engagement, independence and progression. ADCET is a wonderful resource. Happy 20th birthday!</w:t>
      </w:r>
      <w:r w:rsidR="003157E0">
        <w:rPr>
          <w:lang w:val="en-AU" w:eastAsia="en-AU"/>
        </w:rPr>
        <w:t xml:space="preserve"> </w:t>
      </w:r>
      <w:r w:rsidR="003157E0" w:rsidRPr="003157E0">
        <w:rPr>
          <w:b/>
          <w:bCs/>
          <w:lang w:val="en-AU" w:eastAsia="en-AU"/>
        </w:rPr>
        <w:t>(</w:t>
      </w:r>
      <w:r w:rsidRPr="00C75331">
        <w:rPr>
          <w:b/>
          <w:bCs/>
          <w:lang w:val="en-AU" w:eastAsia="en-AU"/>
        </w:rPr>
        <w:t>Brandon Taylor, Manager, TAFE Queensland</w:t>
      </w:r>
      <w:r w:rsidR="003157E0">
        <w:rPr>
          <w:b/>
          <w:bCs/>
          <w:lang w:val="en-AU" w:eastAsia="en-AU"/>
        </w:rPr>
        <w:t>)</w:t>
      </w:r>
    </w:p>
    <w:p w14:paraId="411D1C51" w14:textId="798BE591" w:rsidR="000C4DA5" w:rsidRPr="000C4DA5" w:rsidRDefault="000C4DA5" w:rsidP="003157E0">
      <w:pPr>
        <w:pStyle w:val="NoSpacing"/>
        <w:rPr>
          <w:lang w:val="en-AU" w:eastAsia="en-AU"/>
        </w:rPr>
      </w:pPr>
    </w:p>
    <w:p w14:paraId="2B8798A2" w14:textId="4461B4B2" w:rsidR="000C4DA5" w:rsidRPr="00C75331" w:rsidRDefault="000C4DA5" w:rsidP="00534BD2">
      <w:pPr>
        <w:pStyle w:val="IntenseQuote"/>
        <w:rPr>
          <w:b/>
          <w:bCs/>
          <w:lang w:val="en-AU" w:eastAsia="en-AU"/>
        </w:rPr>
      </w:pPr>
      <w:r w:rsidRPr="000C4DA5">
        <w:rPr>
          <w:lang w:val="en-AU" w:eastAsia="en-AU"/>
        </w:rPr>
        <w:t>ADCET has been an invaluable source of knowledge. Through their webinars, I have been able to keep my knowledge up to date and I have also been able to see how the knowledge about digital accessibility I have applies in the context of higher education.</w:t>
      </w:r>
      <w:r w:rsidR="003157E0">
        <w:rPr>
          <w:lang w:val="en-AU" w:eastAsia="en-AU"/>
        </w:rPr>
        <w:t xml:space="preserve"> </w:t>
      </w:r>
      <w:r w:rsidR="003157E0" w:rsidRPr="003157E0">
        <w:rPr>
          <w:b/>
          <w:bCs/>
          <w:lang w:val="en-AU" w:eastAsia="en-AU"/>
        </w:rPr>
        <w:t>(</w:t>
      </w:r>
      <w:r w:rsidRPr="00C75331">
        <w:rPr>
          <w:b/>
          <w:bCs/>
          <w:lang w:val="en-AU" w:eastAsia="en-AU"/>
        </w:rPr>
        <w:t>Ronny Andrade, Digital Accessibility Lead, RMIT University</w:t>
      </w:r>
      <w:r w:rsidR="003157E0">
        <w:rPr>
          <w:b/>
          <w:bCs/>
          <w:lang w:val="en-AU" w:eastAsia="en-AU"/>
        </w:rPr>
        <w:t>)</w:t>
      </w:r>
    </w:p>
    <w:p w14:paraId="0BF74ECE" w14:textId="06F2F360" w:rsidR="000C4DA5" w:rsidRPr="000C4DA5" w:rsidRDefault="000C4DA5" w:rsidP="00786D38">
      <w:pPr>
        <w:rPr>
          <w:lang w:val="en-AU" w:eastAsia="en-AU"/>
        </w:rPr>
      </w:pPr>
    </w:p>
    <w:p w14:paraId="01D5E44C" w14:textId="4FF901EF" w:rsidR="000C4DA5" w:rsidRPr="003157E0" w:rsidRDefault="000C4DA5" w:rsidP="00534BD2">
      <w:pPr>
        <w:pStyle w:val="IntenseQuote"/>
        <w:rPr>
          <w:b/>
          <w:bCs/>
          <w:lang w:val="en-AU" w:eastAsia="en-AU"/>
        </w:rPr>
      </w:pPr>
      <w:r w:rsidRPr="000C4DA5">
        <w:rPr>
          <w:lang w:val="en-AU" w:eastAsia="en-AU"/>
        </w:rPr>
        <w:t>ADCET is the go-to resource for both new and experienced DLO’s, teachers and students. The resources and PD offered are invaluable for all in the sector to understand and benchmark best practice. ADCET responds to emerging issues and trends through its links with NDCO’s and practitioners to provide much needed information and guidelines. Adult Education is more inclusive in Australia because of the work of ADCET.</w:t>
      </w:r>
      <w:r w:rsidR="003157E0">
        <w:rPr>
          <w:lang w:val="en-AU" w:eastAsia="en-AU"/>
        </w:rPr>
        <w:t xml:space="preserve"> </w:t>
      </w:r>
      <w:r w:rsidRPr="000C4DA5">
        <w:rPr>
          <w:lang w:val="en-AU" w:eastAsia="en-AU"/>
        </w:rPr>
        <w:t>Thank you for supporting us, to support students. Particularly, given the tenuous situation ADCET faces regarding funding, it’s more important than ever that the work done by ADCET is recognised.</w:t>
      </w:r>
      <w:r w:rsidR="003157E0">
        <w:rPr>
          <w:lang w:val="en-AU" w:eastAsia="en-AU"/>
        </w:rPr>
        <w:t xml:space="preserve"> </w:t>
      </w:r>
      <w:r w:rsidR="003157E0" w:rsidRPr="003157E0">
        <w:rPr>
          <w:b/>
          <w:bCs/>
          <w:lang w:val="en-AU" w:eastAsia="en-AU"/>
        </w:rPr>
        <w:t>(</w:t>
      </w:r>
      <w:r w:rsidRPr="003157E0">
        <w:rPr>
          <w:b/>
          <w:bCs/>
          <w:lang w:val="en-AU" w:eastAsia="en-AU"/>
        </w:rPr>
        <w:t>Tracey Stewart, Convenor: TAFE Disability Network (TDN), Victoria</w:t>
      </w:r>
      <w:r w:rsidR="003157E0">
        <w:rPr>
          <w:b/>
          <w:bCs/>
          <w:lang w:val="en-AU" w:eastAsia="en-AU"/>
        </w:rPr>
        <w:t>)</w:t>
      </w:r>
    </w:p>
    <w:p w14:paraId="05A3E180" w14:textId="316F5B8E" w:rsidR="000C4DA5" w:rsidRPr="000C4DA5" w:rsidRDefault="000C4DA5" w:rsidP="00786D38">
      <w:pPr>
        <w:rPr>
          <w:lang w:val="en-AU" w:eastAsia="en-AU"/>
        </w:rPr>
      </w:pPr>
    </w:p>
    <w:p w14:paraId="784C8422" w14:textId="52903FE3" w:rsidR="000C4DA5" w:rsidRPr="003157E0" w:rsidRDefault="000C4DA5" w:rsidP="00534BD2">
      <w:pPr>
        <w:pStyle w:val="IntenseQuote"/>
        <w:rPr>
          <w:b/>
          <w:bCs/>
          <w:lang w:val="en-AU" w:eastAsia="en-AU"/>
        </w:rPr>
      </w:pPr>
      <w:r w:rsidRPr="000C4DA5">
        <w:rPr>
          <w:lang w:val="en-AU" w:eastAsia="en-AU"/>
        </w:rPr>
        <w:t>Starting out in the tertiary sector, I found ADCET resources incredibly helpful and engaging. ADCET is an amazing hub for industry information that I access regularly. ADCET supports best practice and continuously strives for equitable access in the tertiary education sector. Thank you ADCET.</w:t>
      </w:r>
      <w:r w:rsidR="003157E0">
        <w:rPr>
          <w:lang w:val="en-AU" w:eastAsia="en-AU"/>
        </w:rPr>
        <w:t xml:space="preserve"> </w:t>
      </w:r>
      <w:r w:rsidR="003157E0" w:rsidRPr="003157E0">
        <w:rPr>
          <w:b/>
          <w:bCs/>
          <w:lang w:val="en-AU" w:eastAsia="en-AU"/>
        </w:rPr>
        <w:t>(</w:t>
      </w:r>
      <w:r w:rsidRPr="003157E0">
        <w:rPr>
          <w:b/>
          <w:bCs/>
          <w:lang w:val="en-AU" w:eastAsia="en-AU"/>
        </w:rPr>
        <w:t xml:space="preserve">Jessy </w:t>
      </w:r>
      <w:proofErr w:type="spellStart"/>
      <w:r w:rsidRPr="003157E0">
        <w:rPr>
          <w:b/>
          <w:bCs/>
          <w:lang w:val="en-AU" w:eastAsia="en-AU"/>
        </w:rPr>
        <w:t>Olech</w:t>
      </w:r>
      <w:proofErr w:type="spellEnd"/>
      <w:r w:rsidRPr="003157E0">
        <w:rPr>
          <w:b/>
          <w:bCs/>
          <w:lang w:val="en-AU" w:eastAsia="en-AU"/>
        </w:rPr>
        <w:t>, Disability Liaison Officer, Student Wellbeing, Holmesglen TAFE</w:t>
      </w:r>
      <w:r w:rsidR="003157E0">
        <w:rPr>
          <w:b/>
          <w:bCs/>
          <w:lang w:val="en-AU" w:eastAsia="en-AU"/>
        </w:rPr>
        <w:t>)</w:t>
      </w:r>
    </w:p>
    <w:p w14:paraId="7ED782C2" w14:textId="77777777" w:rsidR="00173466" w:rsidRDefault="00173466">
      <w:pPr>
        <w:rPr>
          <w:rStyle w:val="normaltextrun"/>
          <w:rFonts w:cs="Arial"/>
          <w:b/>
          <w:bCs/>
          <w:color w:val="2F5496" w:themeColor="accent1" w:themeShade="BF"/>
          <w:kern w:val="36"/>
          <w:sz w:val="36"/>
          <w:szCs w:val="48"/>
        </w:rPr>
      </w:pPr>
      <w:bookmarkStart w:id="17" w:name="_Toc128578523"/>
      <w:r>
        <w:rPr>
          <w:rStyle w:val="normaltextrun"/>
          <w:rFonts w:cs="Arial"/>
        </w:rPr>
        <w:br w:type="page"/>
      </w:r>
    </w:p>
    <w:p w14:paraId="686D933A" w14:textId="635CEC06" w:rsidR="005D34A3" w:rsidRPr="0078283C" w:rsidRDefault="00D23454" w:rsidP="005B622C">
      <w:pPr>
        <w:pStyle w:val="Heading1"/>
        <w:rPr>
          <w:rStyle w:val="normaltextrun"/>
          <w:rFonts w:cs="Arial"/>
        </w:rPr>
      </w:pPr>
      <w:r w:rsidRPr="0078283C">
        <w:rPr>
          <w:rStyle w:val="normaltextrun"/>
          <w:rFonts w:cs="Arial"/>
        </w:rPr>
        <w:lastRenderedPageBreak/>
        <w:t>References</w:t>
      </w:r>
      <w:bookmarkEnd w:id="17"/>
      <w:r w:rsidRPr="0078283C">
        <w:rPr>
          <w:rStyle w:val="normaltextrun"/>
          <w:rFonts w:cs="Arial"/>
        </w:rPr>
        <w:t xml:space="preserve"> </w:t>
      </w:r>
    </w:p>
    <w:p w14:paraId="0D75BFFE" w14:textId="77777777" w:rsidR="00D23454" w:rsidRPr="0078283C" w:rsidRDefault="00D23454" w:rsidP="00D23454">
      <w:pPr>
        <w:rPr>
          <w:lang w:val="en-AU" w:eastAsia="en-AU"/>
        </w:rPr>
      </w:pPr>
    </w:p>
    <w:p w14:paraId="18AEDE53" w14:textId="46B7640C" w:rsidR="00223417" w:rsidRPr="0078283C" w:rsidRDefault="00E5796A" w:rsidP="00E5796A">
      <w:pPr>
        <w:pStyle w:val="references"/>
      </w:pPr>
      <w:r w:rsidRPr="0078283C">
        <w:rPr>
          <w:bdr w:val="none" w:sz="0" w:space="0" w:color="auto" w:frame="1"/>
        </w:rPr>
        <w:t>ABS (</w:t>
      </w:r>
      <w:r w:rsidRPr="0078283C">
        <w:t>Australian Bureau of Statistics). (2019)</w:t>
      </w:r>
      <w:r w:rsidRPr="0078283C">
        <w:rPr>
          <w:bdr w:val="none" w:sz="0" w:space="0" w:color="auto" w:frame="1"/>
        </w:rPr>
        <w:t>. </w:t>
      </w:r>
      <w:r w:rsidRPr="0078283C">
        <w:rPr>
          <w:i/>
          <w:iCs/>
          <w:bdr w:val="none" w:sz="0" w:space="0" w:color="auto" w:frame="1"/>
        </w:rPr>
        <w:t>Disability, Ageing and Carers, Australia: Summary of Findings.</w:t>
      </w:r>
      <w:r w:rsidRPr="0078283C">
        <w:rPr>
          <w:bdr w:val="none" w:sz="0" w:space="0" w:color="auto" w:frame="1"/>
        </w:rPr>
        <w:t xml:space="preserve"> </w:t>
      </w:r>
      <w:hyperlink r:id="rId53" w:history="1">
        <w:r w:rsidR="00223417" w:rsidRPr="0078283C">
          <w:rPr>
            <w:rStyle w:val="Hyperlink"/>
          </w:rPr>
          <w:t>http://www.abs.gov.au/statistics/health/disability/disability-ageing-and-carers-australia-summary-findings/latest-release</w:t>
        </w:r>
      </w:hyperlink>
    </w:p>
    <w:p w14:paraId="115AD32B" w14:textId="55B19506" w:rsidR="008847FC" w:rsidRPr="0078283C" w:rsidRDefault="008847FC" w:rsidP="003E6D6D">
      <w:pPr>
        <w:pStyle w:val="references"/>
        <w:ind w:left="0" w:firstLine="0"/>
      </w:pPr>
      <w:r w:rsidRPr="0078283C">
        <w:t xml:space="preserve">ACOLA (Australian Council of Learned Academies). (2022). </w:t>
      </w:r>
      <w:r w:rsidRPr="0078283C">
        <w:rPr>
          <w:i/>
          <w:iCs/>
        </w:rPr>
        <w:t>Ensuring Occupations are Responsive to People with Disability</w:t>
      </w:r>
      <w:r w:rsidRPr="0078283C">
        <w:t xml:space="preserve">. </w:t>
      </w:r>
      <w:hyperlink r:id="rId54" w:history="1">
        <w:r w:rsidRPr="0078283C">
          <w:rPr>
            <w:rStyle w:val="Hyperlink"/>
          </w:rPr>
          <w:t>www.acola.org</w:t>
        </w:r>
      </w:hyperlink>
      <w:r w:rsidRPr="0078283C">
        <w:t xml:space="preserve">  </w:t>
      </w:r>
    </w:p>
    <w:p w14:paraId="3B25A586" w14:textId="668F5A09" w:rsidR="00D129FA" w:rsidRPr="0078283C" w:rsidRDefault="00D129FA" w:rsidP="008847FC">
      <w:pPr>
        <w:pStyle w:val="references"/>
        <w:rPr>
          <w:rStyle w:val="eop"/>
          <w:color w:val="000000"/>
          <w:szCs w:val="22"/>
          <w:shd w:val="clear" w:color="auto" w:fill="FFFFFF"/>
        </w:rPr>
      </w:pPr>
      <w:r w:rsidRPr="0078283C">
        <w:rPr>
          <w:rStyle w:val="normaltextrun"/>
          <w:color w:val="000000"/>
          <w:szCs w:val="22"/>
          <w:shd w:val="clear" w:color="auto" w:fill="FFFFFF"/>
          <w:lang w:val="en"/>
        </w:rPr>
        <w:t>ADCET. (20</w:t>
      </w:r>
      <w:r w:rsidR="00FF78CF" w:rsidRPr="0078283C">
        <w:rPr>
          <w:rStyle w:val="normaltextrun"/>
          <w:color w:val="000000"/>
          <w:szCs w:val="22"/>
          <w:shd w:val="clear" w:color="auto" w:fill="FFFFFF"/>
          <w:lang w:val="en"/>
        </w:rPr>
        <w:t>18</w:t>
      </w:r>
      <w:r w:rsidRPr="0078283C">
        <w:rPr>
          <w:rStyle w:val="normaltextrun"/>
          <w:color w:val="000000"/>
          <w:szCs w:val="22"/>
          <w:shd w:val="clear" w:color="auto" w:fill="FFFFFF"/>
          <w:lang w:val="en"/>
        </w:rPr>
        <w:t xml:space="preserve">). </w:t>
      </w:r>
      <w:r w:rsidRPr="0078283C">
        <w:rPr>
          <w:rStyle w:val="normaltextrun"/>
          <w:i/>
          <w:iCs/>
          <w:color w:val="000000"/>
          <w:szCs w:val="22"/>
          <w:shd w:val="clear" w:color="auto" w:fill="FFFFFF"/>
          <w:lang w:val="en"/>
        </w:rPr>
        <w:t>Vocational Education and Training Statistics</w:t>
      </w:r>
      <w:r w:rsidR="00FF78CF" w:rsidRPr="0078283C">
        <w:rPr>
          <w:rStyle w:val="normaltextrun"/>
          <w:i/>
          <w:iCs/>
          <w:color w:val="000000"/>
          <w:szCs w:val="22"/>
          <w:shd w:val="clear" w:color="auto" w:fill="FFFFFF"/>
          <w:lang w:val="en"/>
        </w:rPr>
        <w:t>.</w:t>
      </w:r>
      <w:r w:rsidR="003D0D3F" w:rsidRPr="0078283C">
        <w:rPr>
          <w:rStyle w:val="normaltextrun"/>
          <w:i/>
          <w:iCs/>
          <w:color w:val="000000"/>
          <w:szCs w:val="22"/>
          <w:shd w:val="clear" w:color="auto" w:fill="FFFFFF"/>
          <w:lang w:val="en"/>
        </w:rPr>
        <w:t xml:space="preserve"> </w:t>
      </w:r>
      <w:hyperlink r:id="rId55" w:tgtFrame="_blank" w:history="1">
        <w:r w:rsidRPr="0078283C">
          <w:rPr>
            <w:rStyle w:val="normaltextrun"/>
            <w:color w:val="0563C1"/>
            <w:szCs w:val="22"/>
            <w:u w:val="single"/>
            <w:shd w:val="clear" w:color="auto" w:fill="FFFFFF"/>
            <w:lang w:val="en"/>
          </w:rPr>
          <w:t>https://www.adcet.edu.au/inclusive-teaching/understanding-disability/vet-statistics</w:t>
        </w:r>
      </w:hyperlink>
      <w:r w:rsidRPr="0078283C">
        <w:rPr>
          <w:rStyle w:val="normaltextrun"/>
          <w:color w:val="000000"/>
          <w:szCs w:val="22"/>
          <w:shd w:val="clear" w:color="auto" w:fill="FFFFFF"/>
          <w:lang w:val="en"/>
        </w:rPr>
        <w:t> </w:t>
      </w:r>
      <w:r w:rsidRPr="0078283C">
        <w:rPr>
          <w:rStyle w:val="eop"/>
          <w:color w:val="000000"/>
          <w:szCs w:val="22"/>
          <w:shd w:val="clear" w:color="auto" w:fill="FFFFFF"/>
        </w:rPr>
        <w:t> </w:t>
      </w:r>
    </w:p>
    <w:p w14:paraId="6463CA4C" w14:textId="42A47B94" w:rsidR="008847FC" w:rsidRPr="0078283C" w:rsidRDefault="008847FC" w:rsidP="008847FC">
      <w:pPr>
        <w:pStyle w:val="references"/>
      </w:pPr>
      <w:r w:rsidRPr="0078283C">
        <w:t xml:space="preserve">AHRC (Australian Human Rights Commission). (2021). </w:t>
      </w:r>
      <w:r w:rsidRPr="0078283C">
        <w:rPr>
          <w:i/>
          <w:iCs/>
        </w:rPr>
        <w:t>Disability Action Plan Guide.</w:t>
      </w:r>
      <w:r w:rsidRPr="0078283C">
        <w:t xml:space="preserve"> </w:t>
      </w:r>
      <w:hyperlink r:id="rId56" w:history="1">
        <w:r w:rsidRPr="0078283C">
          <w:rPr>
            <w:rStyle w:val="Hyperlink"/>
          </w:rPr>
          <w:t>https://www.humanrights.gov.au/our-work/publications</w:t>
        </w:r>
      </w:hyperlink>
      <w:r w:rsidRPr="0078283C">
        <w:t xml:space="preserve"> </w:t>
      </w:r>
    </w:p>
    <w:p w14:paraId="6098703B" w14:textId="42F06592" w:rsidR="00E5796A" w:rsidRPr="0078283C" w:rsidRDefault="00E5796A" w:rsidP="002D3617">
      <w:pPr>
        <w:pStyle w:val="references"/>
      </w:pPr>
      <w:r w:rsidRPr="0078283C">
        <w:t>AIHW (Australian Institute of Hea</w:t>
      </w:r>
      <w:r w:rsidR="008205F9" w:rsidRPr="0078283C">
        <w:t>l</w:t>
      </w:r>
      <w:r w:rsidRPr="0078283C">
        <w:t xml:space="preserve">th and Welfare). (2022). </w:t>
      </w:r>
      <w:r w:rsidRPr="0078283C">
        <w:rPr>
          <w:i/>
          <w:iCs/>
        </w:rPr>
        <w:t>People with Disability in Australia.</w:t>
      </w:r>
      <w:r w:rsidRPr="0078283C">
        <w:t xml:space="preserve"> </w:t>
      </w:r>
      <w:hyperlink r:id="rId57" w:history="1">
        <w:r w:rsidR="008205F9" w:rsidRPr="0078283C">
          <w:rPr>
            <w:rStyle w:val="Hyperlink"/>
            <w:rFonts w:eastAsiaTheme="majorEastAsia"/>
          </w:rPr>
          <w:t>https://www.aihw.gov.au/reports/disability/people-with-disability-in-australia</w:t>
        </w:r>
      </w:hyperlink>
    </w:p>
    <w:p w14:paraId="1E93EF43" w14:textId="7E6FA50F" w:rsidR="002D3617" w:rsidRPr="0078283C" w:rsidRDefault="002D3617" w:rsidP="002D3617">
      <w:pPr>
        <w:pStyle w:val="references"/>
      </w:pPr>
      <w:r w:rsidRPr="0078283C">
        <w:t>Avery, S. (2018). </w:t>
      </w:r>
      <w:r w:rsidRPr="0078283C">
        <w:rPr>
          <w:i/>
          <w:iCs/>
        </w:rPr>
        <w:t>Culture is inclusion: a narrative of Aboriginal and Torres Strait Islander people with disability</w:t>
      </w:r>
      <w:r w:rsidR="00AE367F" w:rsidRPr="0078283C">
        <w:rPr>
          <w:i/>
          <w:iCs/>
        </w:rPr>
        <w:t>.</w:t>
      </w:r>
      <w:r w:rsidRPr="0078283C">
        <w:t xml:space="preserve"> First Peoples Disability Network. </w:t>
      </w:r>
      <w:hyperlink r:id="rId58" w:history="1">
        <w:r w:rsidRPr="0078283C">
          <w:rPr>
            <w:rStyle w:val="Hyperlink"/>
          </w:rPr>
          <w:t>www.fpdn.org.au</w:t>
        </w:r>
      </w:hyperlink>
      <w:r w:rsidRPr="0078283C">
        <w:t xml:space="preserve"> </w:t>
      </w:r>
    </w:p>
    <w:p w14:paraId="42EB5421" w14:textId="77777777" w:rsidR="008847FC" w:rsidRPr="0078283C" w:rsidRDefault="008847FC" w:rsidP="00DD1568">
      <w:pPr>
        <w:pStyle w:val="references"/>
        <w:rPr>
          <w:lang w:val="en-AU"/>
        </w:rPr>
      </w:pPr>
      <w:r w:rsidRPr="0078283C">
        <w:t xml:space="preserve">CAST (Centre for Applied Special Technology). (2022). </w:t>
      </w:r>
      <w:r w:rsidRPr="0078283C">
        <w:rPr>
          <w:i/>
          <w:iCs/>
        </w:rPr>
        <w:t>About Universal Design for Learning.</w:t>
      </w:r>
      <w:r w:rsidRPr="0078283C">
        <w:t xml:space="preserve"> </w:t>
      </w:r>
      <w:hyperlink r:id="rId59" w:tgtFrame="_blank" w:history="1">
        <w:r w:rsidRPr="0078283C">
          <w:rPr>
            <w:color w:val="0563C1"/>
            <w:u w:val="single"/>
          </w:rPr>
          <w:t>https://www.cast.org</w:t>
        </w:r>
      </w:hyperlink>
      <w:r w:rsidRPr="0078283C">
        <w:rPr>
          <w:color w:val="3A3A3A"/>
          <w:lang w:val="en-AU"/>
        </w:rPr>
        <w:t> </w:t>
      </w:r>
    </w:p>
    <w:p w14:paraId="0577CD42" w14:textId="77777777" w:rsidR="008847FC" w:rsidRPr="0078283C" w:rsidRDefault="008847FC" w:rsidP="008847FC">
      <w:pPr>
        <w:pStyle w:val="references"/>
        <w:rPr>
          <w:lang w:val="en-AU"/>
        </w:rPr>
      </w:pPr>
      <w:r w:rsidRPr="0078283C">
        <w:t xml:space="preserve">Department of Education (DE). (2020). 2020 Section 11 Equity groups. In </w:t>
      </w:r>
      <w:r w:rsidRPr="0078283C">
        <w:rPr>
          <w:i/>
          <w:iCs/>
        </w:rPr>
        <w:t>Higher Education Statistics Student Data 2020</w:t>
      </w:r>
      <w:r w:rsidRPr="0078283C">
        <w:t xml:space="preserve">. </w:t>
      </w:r>
      <w:hyperlink r:id="rId60" w:tgtFrame="_blank" w:history="1">
        <w:r w:rsidRPr="0078283C">
          <w:rPr>
            <w:color w:val="0563C1"/>
            <w:u w:val="single"/>
          </w:rPr>
          <w:t>https://www.dese.gov.au/higher-education-statistics/resources/2020-section-11-equity-groups</w:t>
        </w:r>
      </w:hyperlink>
      <w:r w:rsidRPr="0078283C">
        <w:rPr>
          <w:lang w:val="en-AU"/>
        </w:rPr>
        <w:t> </w:t>
      </w:r>
    </w:p>
    <w:p w14:paraId="7A7142FA" w14:textId="77777777" w:rsidR="008847FC" w:rsidRPr="0078283C" w:rsidRDefault="008847FC" w:rsidP="008847FC">
      <w:pPr>
        <w:pStyle w:val="references"/>
      </w:pPr>
      <w:r w:rsidRPr="0078283C">
        <w:rPr>
          <w:rStyle w:val="cf01"/>
          <w:rFonts w:ascii="Arial" w:hAnsi="Arial" w:cs="Arial"/>
          <w:sz w:val="24"/>
          <w:szCs w:val="24"/>
        </w:rPr>
        <w:t xml:space="preserve">Fossey, E., Chaffey, L., Venville, A., Ennals, P., Douglas, J., &amp; Bigby, C. (2015) </w:t>
      </w:r>
      <w:r w:rsidRPr="0078283C">
        <w:rPr>
          <w:rStyle w:val="cf01"/>
          <w:rFonts w:ascii="Arial" w:hAnsi="Arial" w:cs="Arial"/>
          <w:i/>
          <w:iCs/>
          <w:sz w:val="24"/>
          <w:szCs w:val="24"/>
        </w:rPr>
        <w:t>Supporting tertiary students with disabilities: individualised and institution-level approaches in practice.</w:t>
      </w:r>
      <w:r w:rsidRPr="0078283C">
        <w:rPr>
          <w:rStyle w:val="cf11"/>
          <w:rFonts w:ascii="Arial" w:hAnsi="Arial" w:cs="Arial"/>
          <w:i/>
          <w:iCs/>
          <w:sz w:val="24"/>
          <w:szCs w:val="24"/>
        </w:rPr>
        <w:t xml:space="preserve"> </w:t>
      </w:r>
      <w:r w:rsidRPr="0078283C">
        <w:rPr>
          <w:rStyle w:val="cf01"/>
          <w:rFonts w:ascii="Arial" w:hAnsi="Arial" w:cs="Arial"/>
          <w:sz w:val="24"/>
          <w:szCs w:val="24"/>
        </w:rPr>
        <w:t xml:space="preserve">National Centre for Vocational Education Research (NCVER) Adelaide. 51 pp. (ED561748), </w:t>
      </w:r>
      <w:hyperlink r:id="rId61" w:history="1">
        <w:r w:rsidRPr="0078283C">
          <w:rPr>
            <w:rStyle w:val="cf01"/>
            <w:rFonts w:ascii="Arial" w:hAnsi="Arial" w:cs="Arial"/>
            <w:color w:val="0000FF"/>
            <w:sz w:val="24"/>
            <w:szCs w:val="24"/>
            <w:u w:val="single"/>
          </w:rPr>
          <w:t>https://files.eric.ed.gov/fulltext/ED561748.pdf</w:t>
        </w:r>
      </w:hyperlink>
    </w:p>
    <w:p w14:paraId="5B7D657D" w14:textId="1E52FDC2" w:rsidR="002D3617" w:rsidRPr="0078283C" w:rsidRDefault="002D3617" w:rsidP="002D3617">
      <w:pPr>
        <w:pStyle w:val="references"/>
      </w:pPr>
      <w:r w:rsidRPr="0078283C">
        <w:t>Hill, AO., Lyons, A., Jones, J., McGowan, I</w:t>
      </w:r>
      <w:r w:rsidR="00700D68" w:rsidRPr="0078283C">
        <w:t>.</w:t>
      </w:r>
      <w:r w:rsidRPr="0078283C">
        <w:t>, Carman, M</w:t>
      </w:r>
      <w:r w:rsidR="00700D68" w:rsidRPr="0078283C">
        <w:t>.</w:t>
      </w:r>
      <w:r w:rsidRPr="0078283C">
        <w:t>, Parsons, M</w:t>
      </w:r>
      <w:r w:rsidR="00700D68" w:rsidRPr="0078283C">
        <w:t>.</w:t>
      </w:r>
      <w:r w:rsidRPr="0078283C">
        <w:t xml:space="preserve">, </w:t>
      </w:r>
      <w:r w:rsidR="00700D68" w:rsidRPr="0078283C">
        <w:t>Power</w:t>
      </w:r>
      <w:r w:rsidRPr="0078283C">
        <w:t xml:space="preserve"> J</w:t>
      </w:r>
      <w:r w:rsidR="00700D68" w:rsidRPr="0078283C">
        <w:t>.</w:t>
      </w:r>
      <w:r w:rsidRPr="0078283C">
        <w:t xml:space="preserve">, Bourne, A. (2021). </w:t>
      </w:r>
      <w:r w:rsidRPr="0078283C">
        <w:rPr>
          <w:i/>
          <w:iCs/>
        </w:rPr>
        <w:t>Writing Themselves In 4: The health and wellbeing of LGBTQA+ young people in Australia.</w:t>
      </w:r>
      <w:r w:rsidRPr="0078283C">
        <w:t xml:space="preserve"> National report, monograph series number 124. Melbourne: Australian Research Centre in Sex, Health and Society, La Trobe University. </w:t>
      </w:r>
      <w:hyperlink r:id="rId62" w:history="1">
        <w:r w:rsidRPr="0078283C">
          <w:rPr>
            <w:rStyle w:val="Hyperlink"/>
            <w:rFonts w:eastAsiaTheme="majorEastAsia"/>
          </w:rPr>
          <w:t xml:space="preserve">Writing Themselves In </w:t>
        </w:r>
        <w:r w:rsidR="004B710D">
          <w:rPr>
            <w:rStyle w:val="Hyperlink"/>
            <w:rFonts w:eastAsiaTheme="majorEastAsia"/>
          </w:rPr>
          <w:t>yes</w:t>
        </w:r>
        <w:r w:rsidRPr="0078283C">
          <w:rPr>
            <w:rStyle w:val="Hyperlink"/>
            <w:rFonts w:eastAsiaTheme="majorEastAsia"/>
          </w:rPr>
          <w:t>4, Australian Research Centre in Sex, Health and Society, La Trobe University</w:t>
        </w:r>
      </w:hyperlink>
    </w:p>
    <w:p w14:paraId="56A26A9F" w14:textId="77777777" w:rsidR="008847FC" w:rsidRPr="0078283C" w:rsidRDefault="008847FC" w:rsidP="008847FC">
      <w:pPr>
        <w:pStyle w:val="references"/>
      </w:pPr>
      <w:r w:rsidRPr="0078283C">
        <w:rPr>
          <w:lang w:val="en-AU"/>
        </w:rPr>
        <w:t> </w:t>
      </w:r>
      <w:r w:rsidRPr="0078283C">
        <w:rPr>
          <w:rStyle w:val="cf01"/>
          <w:rFonts w:ascii="Arial" w:hAnsi="Arial" w:cs="Arial"/>
          <w:sz w:val="24"/>
          <w:szCs w:val="24"/>
        </w:rPr>
        <w:t xml:space="preserve">KPMG. (2015). </w:t>
      </w:r>
      <w:r w:rsidRPr="0078283C">
        <w:rPr>
          <w:rStyle w:val="cf01"/>
          <w:rFonts w:ascii="Arial" w:hAnsi="Arial" w:cs="Arial"/>
          <w:i/>
          <w:iCs/>
          <w:sz w:val="24"/>
          <w:szCs w:val="24"/>
        </w:rPr>
        <w:t xml:space="preserve">Evaluation of Disability Support Program. </w:t>
      </w:r>
      <w:r w:rsidRPr="0078283C">
        <w:rPr>
          <w:rStyle w:val="cf01"/>
          <w:rFonts w:ascii="Arial" w:hAnsi="Arial" w:cs="Arial"/>
          <w:sz w:val="24"/>
          <w:szCs w:val="24"/>
        </w:rPr>
        <w:t xml:space="preserve">Canberra: Department of Education and Training, Commonwealth of Australia </w:t>
      </w:r>
    </w:p>
    <w:p w14:paraId="00617D78" w14:textId="01761854" w:rsidR="00CA270A" w:rsidRPr="0078283C" w:rsidRDefault="00CA270A" w:rsidP="00267319">
      <w:pPr>
        <w:pStyle w:val="references"/>
        <w:rPr>
          <w:rStyle w:val="eop"/>
          <w:color w:val="000000"/>
          <w:szCs w:val="22"/>
          <w:shd w:val="clear" w:color="auto" w:fill="FFFFFF"/>
        </w:rPr>
      </w:pPr>
      <w:r w:rsidRPr="0078283C">
        <w:rPr>
          <w:rStyle w:val="normaltextrun"/>
          <w:color w:val="000000"/>
          <w:szCs w:val="22"/>
          <w:shd w:val="clear" w:color="auto" w:fill="FFFFFF"/>
        </w:rPr>
        <w:lastRenderedPageBreak/>
        <w:t>Department of Education, Skills and Employment</w:t>
      </w:r>
      <w:r w:rsidRPr="0078283C">
        <w:rPr>
          <w:rStyle w:val="normaltextrun"/>
          <w:color w:val="D13438"/>
          <w:szCs w:val="22"/>
          <w:u w:val="single"/>
          <w:shd w:val="clear" w:color="auto" w:fill="FFFFFF"/>
        </w:rPr>
        <w:t>.</w:t>
      </w:r>
      <w:r w:rsidRPr="0078283C">
        <w:rPr>
          <w:rStyle w:val="normaltextrun"/>
          <w:i/>
          <w:iCs/>
          <w:color w:val="000000"/>
          <w:szCs w:val="22"/>
          <w:shd w:val="clear" w:color="auto" w:fill="FFFFFF"/>
        </w:rPr>
        <w:t xml:space="preserve"> </w:t>
      </w:r>
      <w:r w:rsidRPr="0078283C">
        <w:rPr>
          <w:rStyle w:val="normaltextrun"/>
          <w:color w:val="000000"/>
          <w:szCs w:val="22"/>
          <w:shd w:val="clear" w:color="auto" w:fill="FFFFFF"/>
        </w:rPr>
        <w:t>(2018)</w:t>
      </w:r>
      <w:r w:rsidRPr="0078283C">
        <w:rPr>
          <w:rStyle w:val="normaltextrun"/>
          <w:color w:val="D13438"/>
          <w:szCs w:val="22"/>
          <w:u w:val="single"/>
          <w:shd w:val="clear" w:color="auto" w:fill="FFFFFF"/>
        </w:rPr>
        <w:t>.</w:t>
      </w:r>
      <w:r w:rsidRPr="0078283C">
        <w:rPr>
          <w:rStyle w:val="normaltextrun"/>
          <w:i/>
          <w:iCs/>
          <w:color w:val="000000"/>
          <w:szCs w:val="22"/>
          <w:shd w:val="clear" w:color="auto" w:fill="FFFFFF"/>
        </w:rPr>
        <w:t xml:space="preserve"> </w:t>
      </w:r>
      <w:r w:rsidRPr="0078283C">
        <w:rPr>
          <w:rStyle w:val="normaltextrun"/>
          <w:i/>
          <w:iCs/>
          <w:color w:val="000000"/>
          <w:szCs w:val="22"/>
          <w:shd w:val="clear" w:color="auto" w:fill="FFFFFF"/>
          <w:lang w:val="en"/>
        </w:rPr>
        <w:t>Nationally Consistent Collection of Data on School Students with Disability (NCCD)</w:t>
      </w:r>
      <w:r w:rsidRPr="0078283C">
        <w:rPr>
          <w:rStyle w:val="normaltextrun"/>
          <w:i/>
          <w:iCs/>
          <w:color w:val="D13438"/>
          <w:szCs w:val="22"/>
          <w:u w:val="single"/>
          <w:shd w:val="clear" w:color="auto" w:fill="FFFFFF"/>
          <w:lang w:val="en"/>
        </w:rPr>
        <w:t>.</w:t>
      </w:r>
      <w:r w:rsidRPr="0078283C">
        <w:rPr>
          <w:rStyle w:val="normaltextrun"/>
          <w:color w:val="000000"/>
          <w:szCs w:val="22"/>
          <w:shd w:val="clear" w:color="auto" w:fill="FFFFFF"/>
          <w:lang w:val="en"/>
        </w:rPr>
        <w:t> </w:t>
      </w:r>
      <w:r w:rsidRPr="0078283C">
        <w:rPr>
          <w:rStyle w:val="eop"/>
          <w:color w:val="000000"/>
          <w:szCs w:val="22"/>
          <w:shd w:val="clear" w:color="auto" w:fill="FFFFFF"/>
        </w:rPr>
        <w:t> </w:t>
      </w:r>
      <w:hyperlink r:id="rId63" w:history="1">
        <w:r w:rsidR="00921F87" w:rsidRPr="0078283C">
          <w:rPr>
            <w:rStyle w:val="Hyperlink"/>
            <w:rFonts w:eastAsiaTheme="majorEastAsia"/>
          </w:rPr>
          <w:t>https://education.qld.gov.au/about-us/reporting-data-research/data/disability-data-collection</w:t>
        </w:r>
      </w:hyperlink>
    </w:p>
    <w:p w14:paraId="22F18971" w14:textId="4C3DF80A" w:rsidR="00267319" w:rsidRPr="0078283C" w:rsidRDefault="00267319" w:rsidP="00267319">
      <w:pPr>
        <w:pStyle w:val="references"/>
      </w:pPr>
      <w:r w:rsidRPr="0078283C">
        <w:t xml:space="preserve">National Skills Commission. (2022). </w:t>
      </w:r>
      <w:r w:rsidRPr="0078283C">
        <w:rPr>
          <w:i/>
          <w:iCs/>
        </w:rPr>
        <w:t>Projecting employment to 2026.</w:t>
      </w:r>
      <w:r w:rsidRPr="0078283C">
        <w:t xml:space="preserve"> </w:t>
      </w:r>
      <w:hyperlink r:id="rId64" w:history="1">
        <w:r w:rsidRPr="0078283C">
          <w:rPr>
            <w:rStyle w:val="Hyperlink"/>
          </w:rPr>
          <w:t>https://www.nationalskillscommission.gov.au/insights/projecting-employment-2026</w:t>
        </w:r>
      </w:hyperlink>
      <w:r w:rsidRPr="0078283C">
        <w:t xml:space="preserve">  </w:t>
      </w:r>
    </w:p>
    <w:p w14:paraId="56E56DE1" w14:textId="7C8EB41E" w:rsidR="001B1723" w:rsidRPr="0078283C" w:rsidRDefault="001B1723" w:rsidP="001B1723">
      <w:pPr>
        <w:pStyle w:val="references"/>
      </w:pPr>
      <w:r w:rsidRPr="0078283C">
        <w:t>NCVER (National Centre for Vocational Education Research). (2021)</w:t>
      </w:r>
      <w:r w:rsidR="00267319" w:rsidRPr="0078283C">
        <w:t>.</w:t>
      </w:r>
      <w:r w:rsidRPr="0078283C">
        <w:t xml:space="preserve"> </w:t>
      </w:r>
      <w:r w:rsidRPr="0078283C">
        <w:rPr>
          <w:i/>
          <w:iCs/>
        </w:rPr>
        <w:t>Student equity in VET 2020: participation, achievement and outcomes.</w:t>
      </w:r>
      <w:r w:rsidRPr="0078283C">
        <w:t xml:space="preserve"> </w:t>
      </w:r>
      <w:hyperlink r:id="rId65" w:history="1">
        <w:r w:rsidRPr="0078283C">
          <w:rPr>
            <w:rStyle w:val="Hyperlink"/>
            <w:rFonts w:eastAsiaTheme="majorEastAsia"/>
          </w:rPr>
          <w:t>Student equity in VET 2020: participation, achievement and outcomes (ncver.edu.au)</w:t>
        </w:r>
      </w:hyperlink>
    </w:p>
    <w:p w14:paraId="21F408AE" w14:textId="77777777" w:rsidR="008847FC" w:rsidRPr="0078283C" w:rsidRDefault="008847FC" w:rsidP="008847FC">
      <w:pPr>
        <w:pStyle w:val="references"/>
        <w:rPr>
          <w:lang w:val="en-AU"/>
        </w:rPr>
      </w:pPr>
      <w:r w:rsidRPr="0078283C">
        <w:rPr>
          <w:color w:val="000000"/>
          <w:shd w:val="clear" w:color="auto" w:fill="FFFFFF"/>
        </w:rPr>
        <w:t xml:space="preserve">Pitman, T. (2022). </w:t>
      </w:r>
      <w:r w:rsidRPr="0078283C">
        <w:rPr>
          <w:i/>
          <w:iCs/>
          <w:color w:val="000000"/>
          <w:shd w:val="clear" w:color="auto" w:fill="FFFFFF"/>
        </w:rPr>
        <w:t>Supporting persons with disabilities to succeed in higher education: Final report</w:t>
      </w:r>
      <w:r w:rsidRPr="0078283C">
        <w:rPr>
          <w:color w:val="000000"/>
          <w:shd w:val="clear" w:color="auto" w:fill="FFFFFF"/>
        </w:rPr>
        <w:t>. Research Fellowship final report. National Centre for Student Equity in Higher Education, Curtin University. </w:t>
      </w:r>
      <w:r w:rsidRPr="0078283C">
        <w:rPr>
          <w:color w:val="000000"/>
          <w:lang w:val="en-AU"/>
        </w:rPr>
        <w:t> </w:t>
      </w:r>
    </w:p>
    <w:p w14:paraId="29FDC9F6" w14:textId="77777777" w:rsidR="008847FC" w:rsidRPr="0078283C" w:rsidRDefault="008847FC" w:rsidP="008847FC">
      <w:pPr>
        <w:pStyle w:val="references"/>
        <w:rPr>
          <w:lang w:val="en-AU"/>
        </w:rPr>
      </w:pPr>
      <w:r w:rsidRPr="0078283C">
        <w:t xml:space="preserve">Quality Indicators in Learning and Teaching (QILT). (2021). </w:t>
      </w:r>
      <w:r w:rsidRPr="0078283C">
        <w:rPr>
          <w:i/>
          <w:iCs/>
        </w:rPr>
        <w:t>Graduate Outcomes Survey 2021.</w:t>
      </w:r>
      <w:r w:rsidRPr="0078283C">
        <w:t xml:space="preserve"> </w:t>
      </w:r>
      <w:hyperlink r:id="rId66" w:tgtFrame="_blank" w:history="1">
        <w:r w:rsidRPr="0078283C">
          <w:rPr>
            <w:color w:val="0563C1"/>
            <w:u w:val="single"/>
          </w:rPr>
          <w:t>https://www.qilt.edu.au/surveys/graduate-outcomes-survey-(gos)</w:t>
        </w:r>
      </w:hyperlink>
      <w:r w:rsidRPr="0078283C">
        <w:rPr>
          <w:lang w:val="en-AU"/>
        </w:rPr>
        <w:t> </w:t>
      </w:r>
    </w:p>
    <w:p w14:paraId="189FB8DB" w14:textId="77777777" w:rsidR="001B1723" w:rsidRDefault="001B1723" w:rsidP="001B1723">
      <w:pPr>
        <w:pStyle w:val="references"/>
      </w:pPr>
      <w:r w:rsidRPr="0078283C">
        <w:t>Temple, J. B., Wong, H., Ferdinand, A., Avery, S., Paradies, Y., &amp; Kelaher, M. (2020). Exposure to interpersonal racism and avoidance behaviours reported by Aboriginal and Torres Strait Islander people with a disability. </w:t>
      </w:r>
      <w:r w:rsidRPr="0078283C">
        <w:rPr>
          <w:i/>
          <w:iCs/>
        </w:rPr>
        <w:t>Australian Journal of Social Issues</w:t>
      </w:r>
      <w:r w:rsidRPr="0078283C">
        <w:t>, 55(4), 376–395.</w:t>
      </w:r>
      <w:r w:rsidRPr="00D23454">
        <w:t xml:space="preserve"> </w:t>
      </w:r>
    </w:p>
    <w:p w14:paraId="0E6D8F7E" w14:textId="77777777" w:rsidR="00E1501E" w:rsidRPr="004E0C57" w:rsidRDefault="00E1501E" w:rsidP="00E1501E">
      <w:pPr>
        <w:pStyle w:val="references"/>
      </w:pPr>
      <w:r w:rsidRPr="004E0C57">
        <w:t>Whitburn, B., Moss, J., &amp; O’Mara, J. (2017). The policy problem: the National Disability Insurance Scheme (NDIS) and implications for access to education,</w:t>
      </w:r>
      <w:r w:rsidRPr="004E0C57">
        <w:rPr>
          <w:i/>
          <w:iCs/>
        </w:rPr>
        <w:t xml:space="preserve"> Journal of Education Policy, </w:t>
      </w:r>
      <w:r w:rsidRPr="004E0C57">
        <w:t xml:space="preserve">32:4, 467-479, DOI: 10.1080/02680939.2017.1280185. </w:t>
      </w:r>
    </w:p>
    <w:p w14:paraId="6F5E4442" w14:textId="77777777" w:rsidR="00E1501E" w:rsidRDefault="00E1501E" w:rsidP="001B1723">
      <w:pPr>
        <w:pStyle w:val="references"/>
      </w:pPr>
    </w:p>
    <w:sectPr w:rsidR="00E1501E" w:rsidSect="003157E0">
      <w:headerReference w:type="default" r:id="rId67"/>
      <w:footerReference w:type="default" r:id="rId68"/>
      <w:pgSz w:w="12240" w:h="15840"/>
      <w:pgMar w:top="1440" w:right="1440" w:bottom="15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C902B" w14:textId="77777777" w:rsidR="00646A61" w:rsidRDefault="00646A61" w:rsidP="00E01341">
      <w:r>
        <w:separator/>
      </w:r>
    </w:p>
  </w:endnote>
  <w:endnote w:type="continuationSeparator" w:id="0">
    <w:p w14:paraId="40981822" w14:textId="77777777" w:rsidR="00646A61" w:rsidRDefault="00646A61" w:rsidP="00E01341">
      <w:r>
        <w:continuationSeparator/>
      </w:r>
    </w:p>
  </w:endnote>
  <w:endnote w:type="continuationNotice" w:id="1">
    <w:p w14:paraId="010A299C" w14:textId="77777777" w:rsidR="00646A61" w:rsidRDefault="00646A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yriad Pro Ligh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tletico Medium">
    <w:altName w:val="Cambria"/>
    <w:panose1 w:val="00000000000000000000"/>
    <w:charset w:val="00"/>
    <w:family w:val="roman"/>
    <w:notTrueType/>
    <w:pitch w:val="default"/>
    <w:sig w:usb0="00000003" w:usb1="00000000" w:usb2="00000000" w:usb3="00000000" w:csb0="00000001" w:csb1="00000000"/>
  </w:font>
  <w:font w:name="DINPro-Medium">
    <w:altName w:val="Calibri"/>
    <w:panose1 w:val="00000000000000000000"/>
    <w:charset w:val="00"/>
    <w:family w:val="swiss"/>
    <w:notTrueType/>
    <w:pitch w:val="default"/>
    <w:sig w:usb0="00000003" w:usb1="00000000" w:usb2="00000000" w:usb3="00000000" w:csb0="00000001"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98307659"/>
      <w:docPartObj>
        <w:docPartGallery w:val="Page Numbers (Bottom of Page)"/>
        <w:docPartUnique/>
      </w:docPartObj>
    </w:sdtPr>
    <w:sdtEndPr>
      <w:rPr>
        <w:color w:val="003366"/>
        <w:spacing w:val="60"/>
      </w:rPr>
    </w:sdtEndPr>
    <w:sdtContent>
      <w:p w14:paraId="4A23B642" w14:textId="178FCD86" w:rsidR="003C3281" w:rsidRPr="003A4B5C" w:rsidRDefault="003C3281" w:rsidP="00DC206E">
        <w:pPr>
          <w:pStyle w:val="Footer"/>
          <w:pBdr>
            <w:top w:val="single" w:sz="8" w:space="1" w:color="2F5496" w:themeColor="accent1" w:themeShade="BF"/>
          </w:pBdr>
          <w:jc w:val="right"/>
          <w:rPr>
            <w:color w:val="003366"/>
            <w:sz w:val="20"/>
            <w:szCs w:val="20"/>
          </w:rPr>
        </w:pPr>
        <w:r w:rsidRPr="003A4B5C">
          <w:rPr>
            <w:color w:val="003366"/>
            <w:spacing w:val="60"/>
            <w:sz w:val="20"/>
            <w:szCs w:val="20"/>
          </w:rPr>
          <w:t>Page</w:t>
        </w:r>
        <w:r w:rsidR="00B87B4B">
          <w:rPr>
            <w:color w:val="003366"/>
            <w:spacing w:val="60"/>
            <w:sz w:val="20"/>
            <w:szCs w:val="20"/>
          </w:rPr>
          <w:t>|</w:t>
        </w:r>
        <w:r w:rsidR="00B87B4B" w:rsidRPr="003A4B5C">
          <w:rPr>
            <w:color w:val="003366"/>
            <w:sz w:val="20"/>
            <w:szCs w:val="20"/>
          </w:rPr>
          <w:fldChar w:fldCharType="begin"/>
        </w:r>
        <w:r w:rsidR="00B87B4B" w:rsidRPr="003A4B5C">
          <w:rPr>
            <w:color w:val="003366"/>
            <w:sz w:val="20"/>
            <w:szCs w:val="20"/>
          </w:rPr>
          <w:instrText xml:space="preserve"> PAGE   \* MERGEFORMAT </w:instrText>
        </w:r>
        <w:r w:rsidR="00B87B4B" w:rsidRPr="003A4B5C">
          <w:rPr>
            <w:color w:val="003366"/>
            <w:sz w:val="20"/>
            <w:szCs w:val="20"/>
          </w:rPr>
          <w:fldChar w:fldCharType="separate"/>
        </w:r>
        <w:r w:rsidR="00B87B4B">
          <w:rPr>
            <w:color w:val="003366"/>
            <w:sz w:val="20"/>
            <w:szCs w:val="20"/>
          </w:rPr>
          <w:t>15</w:t>
        </w:r>
        <w:r w:rsidR="00B87B4B" w:rsidRPr="003A4B5C">
          <w:rPr>
            <w:noProof/>
            <w:color w:val="003366"/>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E0C5C" w14:textId="77777777" w:rsidR="00646A61" w:rsidRDefault="00646A61" w:rsidP="00E01341">
      <w:r>
        <w:separator/>
      </w:r>
    </w:p>
  </w:footnote>
  <w:footnote w:type="continuationSeparator" w:id="0">
    <w:p w14:paraId="324EBE20" w14:textId="77777777" w:rsidR="00646A61" w:rsidRDefault="00646A61" w:rsidP="00E01341">
      <w:r>
        <w:continuationSeparator/>
      </w:r>
    </w:p>
  </w:footnote>
  <w:footnote w:type="continuationNotice" w:id="1">
    <w:p w14:paraId="6FC06CB3" w14:textId="77777777" w:rsidR="00646A61" w:rsidRDefault="00646A61"/>
  </w:footnote>
  <w:footnote w:id="2">
    <w:p w14:paraId="007B5997" w14:textId="7623B1FA" w:rsidR="007A6BB3" w:rsidRPr="007A6BB3" w:rsidRDefault="007A6BB3" w:rsidP="007A6BB3">
      <w:pPr>
        <w:pStyle w:val="footnotetext0"/>
      </w:pPr>
      <w:r>
        <w:rPr>
          <w:rStyle w:val="FootnoteReference"/>
        </w:rPr>
        <w:footnoteRef/>
      </w:r>
      <w:r>
        <w:t xml:space="preserve"> </w:t>
      </w:r>
      <w:r w:rsidR="000F6876">
        <w:t>ADCET has always</w:t>
      </w:r>
      <w:r w:rsidR="00FF4FD0">
        <w:t xml:space="preserve"> supported both the Higher Education and VET sector. Recent changes to the legislation</w:t>
      </w:r>
      <w:r w:rsidR="00706942">
        <w:t xml:space="preserve"> specific funding to Higher Education</w:t>
      </w:r>
      <w:r w:rsidR="00737361">
        <w:t xml:space="preserve"> which presents challenges to adequately supporting both sectors.</w:t>
      </w:r>
    </w:p>
  </w:footnote>
  <w:footnote w:id="3">
    <w:p w14:paraId="61514E41" w14:textId="0B016A6D" w:rsidR="00FB67DB" w:rsidRPr="00FB67DB" w:rsidRDefault="00FB67DB" w:rsidP="000E5885">
      <w:pPr>
        <w:pStyle w:val="footnotetext0"/>
      </w:pPr>
      <w:r>
        <w:rPr>
          <w:rStyle w:val="FootnoteReference"/>
        </w:rPr>
        <w:footnoteRef/>
      </w:r>
      <w:r>
        <w:t xml:space="preserve"> </w:t>
      </w:r>
      <w:hyperlink r:id="rId1" w:history="1">
        <w:r w:rsidR="007E65BF" w:rsidRPr="000E5885">
          <w:rPr>
            <w:rStyle w:val="Hyperlink"/>
            <w:sz w:val="18"/>
            <w:szCs w:val="18"/>
          </w:rPr>
          <w:t>Projecting employment to 2026 | National Skills Commission</w:t>
        </w:r>
      </w:hyperlink>
    </w:p>
  </w:footnote>
  <w:footnote w:id="4">
    <w:p w14:paraId="7B7A58DE" w14:textId="77777777" w:rsidR="00E226B2" w:rsidRPr="00AE725A" w:rsidRDefault="00E226B2" w:rsidP="000E5885">
      <w:pPr>
        <w:pStyle w:val="footnotetext0"/>
        <w:rPr>
          <w:rStyle w:val="SubtleEmphasis"/>
          <w:i/>
          <w:iCs w:val="0"/>
        </w:rPr>
      </w:pPr>
      <w:r>
        <w:rPr>
          <w:rStyle w:val="FootnoteReference"/>
        </w:rPr>
        <w:footnoteRef/>
      </w:r>
      <w:r>
        <w:t xml:space="preserve"> </w:t>
      </w:r>
      <w:r w:rsidRPr="000E5885">
        <w:t>Department of Education, Skills, and Employment 2018; ADCET VET Statistics 2018; NCCD 2018; Australian Bureau of Statistics 2018</w:t>
      </w:r>
    </w:p>
    <w:p w14:paraId="13735480" w14:textId="1FB02AB8" w:rsidR="00E226B2" w:rsidRPr="00E226B2" w:rsidRDefault="00E226B2">
      <w:pPr>
        <w:pStyle w:val="FootnoteText"/>
        <w:rPr>
          <w:lang w:val="en-AU"/>
        </w:rPr>
      </w:pPr>
    </w:p>
  </w:footnote>
  <w:footnote w:id="5">
    <w:p w14:paraId="1B0A1EE6" w14:textId="12D55681" w:rsidR="00492AA7" w:rsidRPr="00492AA7" w:rsidRDefault="00492AA7">
      <w:pPr>
        <w:pStyle w:val="FootnoteText"/>
        <w:rPr>
          <w:lang w:val="en-AU"/>
        </w:rPr>
      </w:pPr>
      <w:r>
        <w:rPr>
          <w:rStyle w:val="FootnoteReference"/>
        </w:rPr>
        <w:footnoteRef/>
      </w:r>
      <w:r>
        <w:t xml:space="preserve"> </w:t>
      </w:r>
      <w:r>
        <w:rPr>
          <w:lang w:val="en-AU"/>
        </w:rPr>
        <w:t xml:space="preserve">Key legislation includes the </w:t>
      </w:r>
      <w:hyperlink r:id="rId2" w:history="1">
        <w:r w:rsidRPr="00DB117B">
          <w:rPr>
            <w:rStyle w:val="Hyperlink"/>
            <w:sz w:val="20"/>
            <w:lang w:val="en-AU"/>
          </w:rPr>
          <w:t>Disability Discrimination Act 1992</w:t>
        </w:r>
      </w:hyperlink>
      <w:r>
        <w:rPr>
          <w:lang w:val="en-AU"/>
        </w:rPr>
        <w:t xml:space="preserve"> (Cth) (DDA) and the </w:t>
      </w:r>
      <w:hyperlink r:id="rId3" w:history="1">
        <w:r w:rsidRPr="00C6440A">
          <w:rPr>
            <w:rStyle w:val="Hyperlink"/>
            <w:sz w:val="20"/>
            <w:lang w:val="en-AU"/>
          </w:rPr>
          <w:t>Disability Standards for Education 2005</w:t>
        </w:r>
      </w:hyperlink>
      <w:r>
        <w:rPr>
          <w:lang w:val="en-AU"/>
        </w:rPr>
        <w:t xml:space="preserve"> (DSE)</w:t>
      </w:r>
    </w:p>
  </w:footnote>
  <w:footnote w:id="6">
    <w:p w14:paraId="7D1781C4" w14:textId="77777777" w:rsidR="006E35C7" w:rsidRDefault="006E35C7">
      <w:pPr>
        <w:pStyle w:val="FootnoteText"/>
      </w:pPr>
    </w:p>
    <w:p w14:paraId="6497E315" w14:textId="4987E2E0" w:rsidR="00CE711E" w:rsidRPr="00CE711E" w:rsidRDefault="00CE711E">
      <w:pPr>
        <w:pStyle w:val="FootnoteText"/>
        <w:rPr>
          <w:lang w:val="en-AU"/>
        </w:rPr>
      </w:pPr>
      <w:r>
        <w:rPr>
          <w:rStyle w:val="FootnoteReference"/>
        </w:rPr>
        <w:footnoteRef/>
      </w:r>
      <w:r>
        <w:t xml:space="preserve"> </w:t>
      </w:r>
      <w:r w:rsidRPr="00E35DAB">
        <w:rPr>
          <w:rFonts w:eastAsia="Times New Roman" w:cs="Arial"/>
          <w:color w:val="000000"/>
          <w:lang w:val="en-AU"/>
        </w:rPr>
        <w:t xml:space="preserve">First Peoples Disability Network </w:t>
      </w:r>
      <w:r w:rsidRPr="00E35DAB">
        <w:rPr>
          <w:rFonts w:eastAsia="Times New Roman" w:cs="Arial"/>
          <w:color w:val="0562C1"/>
          <w:u w:val="single"/>
          <w:lang w:val="en-AU"/>
        </w:rPr>
        <w:t>www.fpdn.org.au</w:t>
      </w:r>
    </w:p>
  </w:footnote>
  <w:footnote w:id="7">
    <w:p w14:paraId="78C38E91" w14:textId="77777777" w:rsidR="004D0248" w:rsidRDefault="004D0248" w:rsidP="004D0248">
      <w:pPr>
        <w:pStyle w:val="footnotetext0"/>
      </w:pPr>
      <w:r>
        <w:rPr>
          <w:rStyle w:val="FootnoteReference"/>
        </w:rPr>
        <w:footnoteRef/>
      </w:r>
      <w:r>
        <w:t xml:space="preserve"> </w:t>
      </w:r>
      <w:r w:rsidRPr="00FA7D76">
        <w:t xml:space="preserve">Limited data is published by the Australian Human Rights Commission about complaints made relating to disability discrimination in education, but the data is high level. For example, there is no data on the outcomes of disability complaints in education and therefore no conclusions can be drawn about provider compliance or the impact of the legislation for people with disability. Additionally, this data does not cover complaints pursued via other regulatory bodies nor compliance action taken, and what data is held is not used </w:t>
      </w:r>
      <w:r>
        <w:t xml:space="preserve">publicly </w:t>
      </w:r>
      <w:r w:rsidRPr="00FA7D76">
        <w:t>to drive good practice.</w:t>
      </w:r>
      <w:r>
        <w:t xml:space="preserve"> </w:t>
      </w:r>
    </w:p>
  </w:footnote>
  <w:footnote w:id="8">
    <w:p w14:paraId="3800883C" w14:textId="77777777" w:rsidR="00163752" w:rsidRPr="00453633" w:rsidRDefault="00163752" w:rsidP="00163752">
      <w:pPr>
        <w:pStyle w:val="footnotetext0"/>
      </w:pPr>
      <w:r>
        <w:rPr>
          <w:rStyle w:val="FootnoteReference"/>
        </w:rPr>
        <w:footnoteRef/>
      </w:r>
      <w:r>
        <w:t xml:space="preserve"> </w:t>
      </w:r>
      <w:r>
        <w:rPr>
          <w:rStyle w:val="normaltextrun"/>
          <w:rFonts w:cs="Arial"/>
          <w:i w:val="0"/>
          <w:iCs/>
          <w:color w:val="000000"/>
          <w:sz w:val="16"/>
          <w:szCs w:val="16"/>
          <w:shd w:val="clear" w:color="auto" w:fill="FFFFFF"/>
          <w:lang w:val="en"/>
        </w:rPr>
        <w:t>Department of Education, Skills, and Employment 2018; ADCET VET Statistics 2018</w:t>
      </w:r>
    </w:p>
  </w:footnote>
  <w:footnote w:id="9">
    <w:p w14:paraId="6335E81C" w14:textId="04A30556" w:rsidR="004D3BCD" w:rsidRPr="004D3BCD" w:rsidRDefault="004D3BCD" w:rsidP="00545E96">
      <w:pPr>
        <w:pStyle w:val="footnotetext0"/>
      </w:pPr>
      <w:r>
        <w:rPr>
          <w:rStyle w:val="FootnoteReference"/>
        </w:rPr>
        <w:footnoteRef/>
      </w:r>
      <w:r>
        <w:t xml:space="preserve"> </w:t>
      </w:r>
      <w:r w:rsidR="002D476B" w:rsidRPr="00A55854">
        <w:t xml:space="preserve">Queensland has a Skills Disability Support program for </w:t>
      </w:r>
      <w:r w:rsidR="005C18E3" w:rsidRPr="00A55854">
        <w:t>training providers</w:t>
      </w:r>
      <w:r w:rsidR="005C18E3" w:rsidRPr="00AE77E3">
        <w:rPr>
          <w:rStyle w:val="FooterCha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593EF" w14:textId="25980D3F" w:rsidR="00867CD6" w:rsidRDefault="00867CD6" w:rsidP="00D945CE">
    <w:pPr>
      <w:pStyle w:val="Header"/>
      <w:jc w:val="right"/>
    </w:pPr>
    <w:r>
      <w:rPr>
        <w:noProof/>
      </w:rPr>
      <w:drawing>
        <wp:inline distT="0" distB="0" distL="0" distR="0" wp14:anchorId="5541017B" wp14:editId="364EC81C">
          <wp:extent cx="2532414" cy="742950"/>
          <wp:effectExtent l="0" t="0" r="1270" b="0"/>
          <wp:docPr id="1" name="Picture 1" descr="Logo for ADCET which stands for Australia Disability Clearinghouse on Education and Trai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 for ADCET which stands for Australia Disability Clearinghouse on Education and Training"/>
                  <pic:cNvPicPr/>
                </pic:nvPicPr>
                <pic:blipFill>
                  <a:blip r:embed="rId1">
                    <a:extLst>
                      <a:ext uri="{28A0092B-C50C-407E-A947-70E740481C1C}">
                        <a14:useLocalDpi xmlns:a14="http://schemas.microsoft.com/office/drawing/2010/main" val="0"/>
                      </a:ext>
                    </a:extLst>
                  </a:blip>
                  <a:stretch>
                    <a:fillRect/>
                  </a:stretch>
                </pic:blipFill>
                <pic:spPr>
                  <a:xfrm>
                    <a:off x="0" y="0"/>
                    <a:ext cx="2547765" cy="747454"/>
                  </a:xfrm>
                  <a:prstGeom prst="rect">
                    <a:avLst/>
                  </a:prstGeom>
                </pic:spPr>
              </pic:pic>
            </a:graphicData>
          </a:graphic>
        </wp:inline>
      </w:drawing>
    </w:r>
  </w:p>
  <w:p w14:paraId="79AEF430" w14:textId="77777777" w:rsidR="001F186B" w:rsidRDefault="001F186B" w:rsidP="00D945C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BB4D5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A5B0B5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F206489"/>
    <w:multiLevelType w:val="hybridMultilevel"/>
    <w:tmpl w:val="DA28B240"/>
    <w:lvl w:ilvl="0" w:tplc="FF82CAD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112084ED"/>
    <w:multiLevelType w:val="hybridMultilevel"/>
    <w:tmpl w:val="09E03CC8"/>
    <w:lvl w:ilvl="0" w:tplc="3D880610">
      <w:start w:val="1"/>
      <w:numFmt w:val="bullet"/>
      <w:lvlText w:val="-"/>
      <w:lvlJc w:val="left"/>
      <w:pPr>
        <w:ind w:left="720" w:hanging="360"/>
      </w:pPr>
      <w:rPr>
        <w:rFonts w:ascii="Calibri" w:hAnsi="Calibri" w:hint="default"/>
      </w:rPr>
    </w:lvl>
    <w:lvl w:ilvl="1" w:tplc="00DC3E8E">
      <w:start w:val="1"/>
      <w:numFmt w:val="bullet"/>
      <w:lvlText w:val="o"/>
      <w:lvlJc w:val="left"/>
      <w:pPr>
        <w:ind w:left="1440" w:hanging="360"/>
      </w:pPr>
      <w:rPr>
        <w:rFonts w:ascii="Courier New" w:hAnsi="Courier New" w:hint="default"/>
      </w:rPr>
    </w:lvl>
    <w:lvl w:ilvl="2" w:tplc="42460AA4">
      <w:start w:val="1"/>
      <w:numFmt w:val="bullet"/>
      <w:lvlText w:val=""/>
      <w:lvlJc w:val="left"/>
      <w:pPr>
        <w:ind w:left="2160" w:hanging="360"/>
      </w:pPr>
      <w:rPr>
        <w:rFonts w:ascii="Wingdings" w:hAnsi="Wingdings" w:hint="default"/>
      </w:rPr>
    </w:lvl>
    <w:lvl w:ilvl="3" w:tplc="7C9036F2">
      <w:start w:val="1"/>
      <w:numFmt w:val="bullet"/>
      <w:lvlText w:val=""/>
      <w:lvlJc w:val="left"/>
      <w:pPr>
        <w:ind w:left="2880" w:hanging="360"/>
      </w:pPr>
      <w:rPr>
        <w:rFonts w:ascii="Symbol" w:hAnsi="Symbol" w:hint="default"/>
      </w:rPr>
    </w:lvl>
    <w:lvl w:ilvl="4" w:tplc="5B5E78EE">
      <w:start w:val="1"/>
      <w:numFmt w:val="bullet"/>
      <w:lvlText w:val="o"/>
      <w:lvlJc w:val="left"/>
      <w:pPr>
        <w:ind w:left="3600" w:hanging="360"/>
      </w:pPr>
      <w:rPr>
        <w:rFonts w:ascii="Courier New" w:hAnsi="Courier New" w:hint="default"/>
      </w:rPr>
    </w:lvl>
    <w:lvl w:ilvl="5" w:tplc="D9901C0A">
      <w:start w:val="1"/>
      <w:numFmt w:val="bullet"/>
      <w:lvlText w:val=""/>
      <w:lvlJc w:val="left"/>
      <w:pPr>
        <w:ind w:left="4320" w:hanging="360"/>
      </w:pPr>
      <w:rPr>
        <w:rFonts w:ascii="Wingdings" w:hAnsi="Wingdings" w:hint="default"/>
      </w:rPr>
    </w:lvl>
    <w:lvl w:ilvl="6" w:tplc="19785C56">
      <w:start w:val="1"/>
      <w:numFmt w:val="bullet"/>
      <w:lvlText w:val=""/>
      <w:lvlJc w:val="left"/>
      <w:pPr>
        <w:ind w:left="5040" w:hanging="360"/>
      </w:pPr>
      <w:rPr>
        <w:rFonts w:ascii="Symbol" w:hAnsi="Symbol" w:hint="default"/>
      </w:rPr>
    </w:lvl>
    <w:lvl w:ilvl="7" w:tplc="A224C842">
      <w:start w:val="1"/>
      <w:numFmt w:val="bullet"/>
      <w:lvlText w:val="o"/>
      <w:lvlJc w:val="left"/>
      <w:pPr>
        <w:ind w:left="5760" w:hanging="360"/>
      </w:pPr>
      <w:rPr>
        <w:rFonts w:ascii="Courier New" w:hAnsi="Courier New" w:hint="default"/>
      </w:rPr>
    </w:lvl>
    <w:lvl w:ilvl="8" w:tplc="0CE4E8B4">
      <w:start w:val="1"/>
      <w:numFmt w:val="bullet"/>
      <w:lvlText w:val=""/>
      <w:lvlJc w:val="left"/>
      <w:pPr>
        <w:ind w:left="6480" w:hanging="360"/>
      </w:pPr>
      <w:rPr>
        <w:rFonts w:ascii="Wingdings" w:hAnsi="Wingdings" w:hint="default"/>
      </w:rPr>
    </w:lvl>
  </w:abstractNum>
  <w:abstractNum w:abstractNumId="4" w15:restartNumberingAfterBreak="0">
    <w:nsid w:val="191E4382"/>
    <w:multiLevelType w:val="hybridMultilevel"/>
    <w:tmpl w:val="0D2CB59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1D2F03F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5A612A5"/>
    <w:multiLevelType w:val="multilevel"/>
    <w:tmpl w:val="3006A2FC"/>
    <w:lvl w:ilvl="0">
      <w:start w:val="1"/>
      <w:numFmt w:val="bullet"/>
      <w:lvlText w:val=""/>
      <w:lvlJc w:val="left"/>
      <w:pPr>
        <w:ind w:left="360" w:hanging="360"/>
      </w:pPr>
      <w:rPr>
        <w:rFonts w:ascii="Symbol" w:hAnsi="Symbol" w:hint="default"/>
        <w:b w:val="0"/>
        <w:i w:val="0"/>
        <w:caps w:val="0"/>
        <w:strike w:val="0"/>
        <w:dstrike w:val="0"/>
        <w:vanish w:val="0"/>
        <w:sz w:val="22"/>
        <w:u w:val="none" w:color="1F3864" w:themeColor="accent1" w:themeShade="80"/>
        <w:vertAlign w:val="baseline"/>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370035"/>
    <w:multiLevelType w:val="hybridMultilevel"/>
    <w:tmpl w:val="4D46D3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3B7D18"/>
    <w:multiLevelType w:val="hybridMultilevel"/>
    <w:tmpl w:val="E378033E"/>
    <w:lvl w:ilvl="0" w:tplc="0C09000F">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C963E0F"/>
    <w:multiLevelType w:val="multilevel"/>
    <w:tmpl w:val="6136C5AA"/>
    <w:lvl w:ilvl="0">
      <w:start w:val="1"/>
      <w:numFmt w:val="decimal"/>
      <w:lvlText w:val="%1."/>
      <w:lvlJc w:val="left"/>
      <w:pPr>
        <w:ind w:left="360" w:hanging="360"/>
      </w:pPr>
      <w:rPr>
        <w:rFonts w:hint="default"/>
        <w:b w:val="0"/>
        <w:i w:val="0"/>
        <w:sz w:val="22"/>
        <w:u w:color="1F3864" w:themeColor="accent1" w:themeShade="8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1651AA"/>
    <w:multiLevelType w:val="hybridMultilevel"/>
    <w:tmpl w:val="8A78C5B4"/>
    <w:lvl w:ilvl="0" w:tplc="3CDAC958">
      <w:start w:val="1"/>
      <w:numFmt w:val="bullet"/>
      <w:lvlText w:val=""/>
      <w:lvlJc w:val="left"/>
      <w:pPr>
        <w:ind w:left="720" w:hanging="360"/>
      </w:pPr>
      <w:rPr>
        <w:rFonts w:ascii="Symbol" w:hAnsi="Symbol" w:hint="default"/>
      </w:rPr>
    </w:lvl>
    <w:lvl w:ilvl="1" w:tplc="C828252C">
      <w:start w:val="1"/>
      <w:numFmt w:val="bullet"/>
      <w:lvlText w:val="o"/>
      <w:lvlJc w:val="left"/>
      <w:pPr>
        <w:ind w:left="1440" w:hanging="360"/>
      </w:pPr>
      <w:rPr>
        <w:rFonts w:ascii="Courier New" w:hAnsi="Courier New" w:hint="default"/>
      </w:rPr>
    </w:lvl>
    <w:lvl w:ilvl="2" w:tplc="952420B6">
      <w:start w:val="1"/>
      <w:numFmt w:val="bullet"/>
      <w:lvlText w:val=""/>
      <w:lvlJc w:val="left"/>
      <w:pPr>
        <w:ind w:left="2160" w:hanging="360"/>
      </w:pPr>
      <w:rPr>
        <w:rFonts w:ascii="Wingdings" w:hAnsi="Wingdings" w:hint="default"/>
      </w:rPr>
    </w:lvl>
    <w:lvl w:ilvl="3" w:tplc="4D285FD2">
      <w:start w:val="1"/>
      <w:numFmt w:val="bullet"/>
      <w:lvlText w:val=""/>
      <w:lvlJc w:val="left"/>
      <w:pPr>
        <w:ind w:left="2880" w:hanging="360"/>
      </w:pPr>
      <w:rPr>
        <w:rFonts w:ascii="Symbol" w:hAnsi="Symbol" w:hint="default"/>
      </w:rPr>
    </w:lvl>
    <w:lvl w:ilvl="4" w:tplc="68F26DAE">
      <w:start w:val="1"/>
      <w:numFmt w:val="bullet"/>
      <w:lvlText w:val="o"/>
      <w:lvlJc w:val="left"/>
      <w:pPr>
        <w:ind w:left="3600" w:hanging="360"/>
      </w:pPr>
      <w:rPr>
        <w:rFonts w:ascii="Courier New" w:hAnsi="Courier New" w:hint="default"/>
      </w:rPr>
    </w:lvl>
    <w:lvl w:ilvl="5" w:tplc="183C1704">
      <w:start w:val="1"/>
      <w:numFmt w:val="bullet"/>
      <w:lvlText w:val=""/>
      <w:lvlJc w:val="left"/>
      <w:pPr>
        <w:ind w:left="4320" w:hanging="360"/>
      </w:pPr>
      <w:rPr>
        <w:rFonts w:ascii="Wingdings" w:hAnsi="Wingdings" w:hint="default"/>
      </w:rPr>
    </w:lvl>
    <w:lvl w:ilvl="6" w:tplc="39C24A7E">
      <w:start w:val="1"/>
      <w:numFmt w:val="bullet"/>
      <w:lvlText w:val=""/>
      <w:lvlJc w:val="left"/>
      <w:pPr>
        <w:ind w:left="5040" w:hanging="360"/>
      </w:pPr>
      <w:rPr>
        <w:rFonts w:ascii="Symbol" w:hAnsi="Symbol" w:hint="default"/>
      </w:rPr>
    </w:lvl>
    <w:lvl w:ilvl="7" w:tplc="5784FF44">
      <w:start w:val="1"/>
      <w:numFmt w:val="bullet"/>
      <w:lvlText w:val="o"/>
      <w:lvlJc w:val="left"/>
      <w:pPr>
        <w:ind w:left="5760" w:hanging="360"/>
      </w:pPr>
      <w:rPr>
        <w:rFonts w:ascii="Courier New" w:hAnsi="Courier New" w:hint="default"/>
      </w:rPr>
    </w:lvl>
    <w:lvl w:ilvl="8" w:tplc="75DE4754">
      <w:start w:val="1"/>
      <w:numFmt w:val="bullet"/>
      <w:lvlText w:val=""/>
      <w:lvlJc w:val="left"/>
      <w:pPr>
        <w:ind w:left="6480" w:hanging="360"/>
      </w:pPr>
      <w:rPr>
        <w:rFonts w:ascii="Wingdings" w:hAnsi="Wingdings" w:hint="default"/>
      </w:rPr>
    </w:lvl>
  </w:abstractNum>
  <w:abstractNum w:abstractNumId="11" w15:restartNumberingAfterBreak="0">
    <w:nsid w:val="3D19DDF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D8B3745"/>
    <w:multiLevelType w:val="hybridMultilevel"/>
    <w:tmpl w:val="A0EE3C5E"/>
    <w:lvl w:ilvl="0" w:tplc="32B84172">
      <w:start w:val="1"/>
      <w:numFmt w:val="bullet"/>
      <w:lvlText w:val=""/>
      <w:lvlJc w:val="left"/>
      <w:pPr>
        <w:ind w:left="720" w:hanging="360"/>
      </w:pPr>
      <w:rPr>
        <w:rFonts w:ascii="Symbol" w:hAnsi="Symbol" w:hint="default"/>
      </w:rPr>
    </w:lvl>
    <w:lvl w:ilvl="1" w:tplc="FF82CAD2">
      <w:start w:val="1"/>
      <w:numFmt w:val="bullet"/>
      <w:lvlText w:val="-"/>
      <w:lvlJc w:val="left"/>
      <w:pPr>
        <w:ind w:left="1440" w:hanging="360"/>
      </w:pPr>
      <w:rPr>
        <w:rFonts w:ascii="Calibri" w:hAnsi="Calibri" w:hint="default"/>
      </w:rPr>
    </w:lvl>
    <w:lvl w:ilvl="2" w:tplc="6DD4FAEC">
      <w:start w:val="1"/>
      <w:numFmt w:val="bullet"/>
      <w:lvlText w:val=""/>
      <w:lvlJc w:val="left"/>
      <w:pPr>
        <w:ind w:left="2160" w:hanging="360"/>
      </w:pPr>
      <w:rPr>
        <w:rFonts w:ascii="Wingdings" w:hAnsi="Wingdings" w:hint="default"/>
      </w:rPr>
    </w:lvl>
    <w:lvl w:ilvl="3" w:tplc="F74CA894">
      <w:start w:val="1"/>
      <w:numFmt w:val="bullet"/>
      <w:lvlText w:val=""/>
      <w:lvlJc w:val="left"/>
      <w:pPr>
        <w:ind w:left="2880" w:hanging="360"/>
      </w:pPr>
      <w:rPr>
        <w:rFonts w:ascii="Symbol" w:hAnsi="Symbol" w:hint="default"/>
      </w:rPr>
    </w:lvl>
    <w:lvl w:ilvl="4" w:tplc="9F3E7550">
      <w:start w:val="1"/>
      <w:numFmt w:val="bullet"/>
      <w:lvlText w:val="o"/>
      <w:lvlJc w:val="left"/>
      <w:pPr>
        <w:ind w:left="3600" w:hanging="360"/>
      </w:pPr>
      <w:rPr>
        <w:rFonts w:ascii="Courier New" w:hAnsi="Courier New" w:hint="default"/>
      </w:rPr>
    </w:lvl>
    <w:lvl w:ilvl="5" w:tplc="E22E8AEC">
      <w:start w:val="1"/>
      <w:numFmt w:val="bullet"/>
      <w:lvlText w:val=""/>
      <w:lvlJc w:val="left"/>
      <w:pPr>
        <w:ind w:left="4320" w:hanging="360"/>
      </w:pPr>
      <w:rPr>
        <w:rFonts w:ascii="Wingdings" w:hAnsi="Wingdings" w:hint="default"/>
      </w:rPr>
    </w:lvl>
    <w:lvl w:ilvl="6" w:tplc="E10C26B8">
      <w:start w:val="1"/>
      <w:numFmt w:val="bullet"/>
      <w:lvlText w:val=""/>
      <w:lvlJc w:val="left"/>
      <w:pPr>
        <w:ind w:left="5040" w:hanging="360"/>
      </w:pPr>
      <w:rPr>
        <w:rFonts w:ascii="Symbol" w:hAnsi="Symbol" w:hint="default"/>
      </w:rPr>
    </w:lvl>
    <w:lvl w:ilvl="7" w:tplc="AEB83672">
      <w:start w:val="1"/>
      <w:numFmt w:val="bullet"/>
      <w:lvlText w:val="o"/>
      <w:lvlJc w:val="left"/>
      <w:pPr>
        <w:ind w:left="5760" w:hanging="360"/>
      </w:pPr>
      <w:rPr>
        <w:rFonts w:ascii="Courier New" w:hAnsi="Courier New" w:hint="default"/>
      </w:rPr>
    </w:lvl>
    <w:lvl w:ilvl="8" w:tplc="428C6598">
      <w:start w:val="1"/>
      <w:numFmt w:val="bullet"/>
      <w:lvlText w:val=""/>
      <w:lvlJc w:val="left"/>
      <w:pPr>
        <w:ind w:left="6480" w:hanging="360"/>
      </w:pPr>
      <w:rPr>
        <w:rFonts w:ascii="Wingdings" w:hAnsi="Wingdings" w:hint="default"/>
      </w:rPr>
    </w:lvl>
  </w:abstractNum>
  <w:abstractNum w:abstractNumId="13" w15:restartNumberingAfterBreak="0">
    <w:nsid w:val="41B1705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428C49BD"/>
    <w:multiLevelType w:val="multilevel"/>
    <w:tmpl w:val="9DFE9910"/>
    <w:lvl w:ilvl="0">
      <w:start w:val="1"/>
      <w:numFmt w:val="bullet"/>
      <w:pStyle w:val="bullettedlist"/>
      <w:lvlText w:val=""/>
      <w:lvlJc w:val="left"/>
      <w:pPr>
        <w:ind w:left="360" w:hanging="360"/>
      </w:pPr>
      <w:rPr>
        <w:rFonts w:ascii="Wingdings" w:hAnsi="Wingdings" w:hint="default"/>
        <w:b w:val="0"/>
        <w:i w:val="0"/>
        <w:sz w:val="22"/>
        <w:u w:color="1F3864" w:themeColor="accent1" w:themeShade="8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E43D2D"/>
    <w:multiLevelType w:val="hybridMultilevel"/>
    <w:tmpl w:val="58F636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BF85B0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512663DD"/>
    <w:multiLevelType w:val="multilevel"/>
    <w:tmpl w:val="E58CF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13D647C"/>
    <w:multiLevelType w:val="hybridMultilevel"/>
    <w:tmpl w:val="8922885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15:restartNumberingAfterBreak="0">
    <w:nsid w:val="513E7CDB"/>
    <w:multiLevelType w:val="hybridMultilevel"/>
    <w:tmpl w:val="040CA81A"/>
    <w:lvl w:ilvl="0" w:tplc="7EBEA1F6">
      <w:start w:val="1"/>
      <w:numFmt w:val="decimal"/>
      <w:lvlText w:val="%1."/>
      <w:lvlJc w:val="left"/>
      <w:pPr>
        <w:ind w:left="366" w:hanging="360"/>
      </w:pPr>
      <w:rPr>
        <w:rFonts w:hint="default"/>
        <w:b/>
      </w:rPr>
    </w:lvl>
    <w:lvl w:ilvl="1" w:tplc="0C090001">
      <w:start w:val="1"/>
      <w:numFmt w:val="bullet"/>
      <w:lvlText w:val=""/>
      <w:lvlJc w:val="left"/>
      <w:pPr>
        <w:ind w:left="1789" w:hanging="360"/>
      </w:pPr>
      <w:rPr>
        <w:rFonts w:ascii="Symbol" w:hAnsi="Symbol" w:hint="default"/>
      </w:r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0" w15:restartNumberingAfterBreak="0">
    <w:nsid w:val="58711D51"/>
    <w:multiLevelType w:val="hybridMultilevel"/>
    <w:tmpl w:val="209C6B34"/>
    <w:lvl w:ilvl="0" w:tplc="7EBEA1F6">
      <w:start w:val="1"/>
      <w:numFmt w:val="decimal"/>
      <w:pStyle w:val="numberedpara"/>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61013B2B"/>
    <w:multiLevelType w:val="multilevel"/>
    <w:tmpl w:val="4C305D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E54636"/>
    <w:multiLevelType w:val="hybridMultilevel"/>
    <w:tmpl w:val="F93E52EE"/>
    <w:lvl w:ilvl="0" w:tplc="895E871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3E516B3"/>
    <w:multiLevelType w:val="hybridMultilevel"/>
    <w:tmpl w:val="0F22EEB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9B9AAEF"/>
    <w:multiLevelType w:val="hybridMultilevel"/>
    <w:tmpl w:val="6174FDC0"/>
    <w:lvl w:ilvl="0" w:tplc="56E0664C">
      <w:start w:val="1"/>
      <w:numFmt w:val="decimal"/>
      <w:lvlText w:val="%1."/>
      <w:lvlJc w:val="left"/>
      <w:pPr>
        <w:ind w:left="720" w:hanging="360"/>
      </w:pPr>
    </w:lvl>
    <w:lvl w:ilvl="1" w:tplc="DA3E0FEC">
      <w:start w:val="1"/>
      <w:numFmt w:val="lowerLetter"/>
      <w:lvlText w:val="%2."/>
      <w:lvlJc w:val="left"/>
      <w:pPr>
        <w:ind w:left="1440" w:hanging="360"/>
      </w:pPr>
    </w:lvl>
    <w:lvl w:ilvl="2" w:tplc="25A0E13C">
      <w:start w:val="1"/>
      <w:numFmt w:val="lowerRoman"/>
      <w:lvlText w:val="%3."/>
      <w:lvlJc w:val="right"/>
      <w:pPr>
        <w:ind w:left="2160" w:hanging="180"/>
      </w:pPr>
    </w:lvl>
    <w:lvl w:ilvl="3" w:tplc="52BC8904">
      <w:start w:val="1"/>
      <w:numFmt w:val="decimal"/>
      <w:lvlText w:val="%4."/>
      <w:lvlJc w:val="left"/>
      <w:pPr>
        <w:ind w:left="2880" w:hanging="360"/>
      </w:pPr>
    </w:lvl>
    <w:lvl w:ilvl="4" w:tplc="D8DA9E7C">
      <w:start w:val="1"/>
      <w:numFmt w:val="lowerLetter"/>
      <w:lvlText w:val="%5."/>
      <w:lvlJc w:val="left"/>
      <w:pPr>
        <w:ind w:left="3600" w:hanging="360"/>
      </w:pPr>
    </w:lvl>
    <w:lvl w:ilvl="5" w:tplc="A68CBCEA">
      <w:start w:val="1"/>
      <w:numFmt w:val="lowerRoman"/>
      <w:lvlText w:val="%6."/>
      <w:lvlJc w:val="right"/>
      <w:pPr>
        <w:ind w:left="4320" w:hanging="180"/>
      </w:pPr>
    </w:lvl>
    <w:lvl w:ilvl="6" w:tplc="0164AB5C">
      <w:start w:val="1"/>
      <w:numFmt w:val="decimal"/>
      <w:lvlText w:val="%7."/>
      <w:lvlJc w:val="left"/>
      <w:pPr>
        <w:ind w:left="5040" w:hanging="360"/>
      </w:pPr>
    </w:lvl>
    <w:lvl w:ilvl="7" w:tplc="84E83B34">
      <w:start w:val="1"/>
      <w:numFmt w:val="lowerLetter"/>
      <w:lvlText w:val="%8."/>
      <w:lvlJc w:val="left"/>
      <w:pPr>
        <w:ind w:left="5760" w:hanging="360"/>
      </w:pPr>
    </w:lvl>
    <w:lvl w:ilvl="8" w:tplc="BD8AD2C4">
      <w:start w:val="1"/>
      <w:numFmt w:val="lowerRoman"/>
      <w:lvlText w:val="%9."/>
      <w:lvlJc w:val="right"/>
      <w:pPr>
        <w:ind w:left="6480" w:hanging="180"/>
      </w:pPr>
    </w:lvl>
  </w:abstractNum>
  <w:abstractNum w:abstractNumId="25" w15:restartNumberingAfterBreak="0">
    <w:nsid w:val="6E7191F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71DB27E6"/>
    <w:multiLevelType w:val="multilevel"/>
    <w:tmpl w:val="3006A2FC"/>
    <w:lvl w:ilvl="0">
      <w:start w:val="1"/>
      <w:numFmt w:val="bullet"/>
      <w:lvlText w:val=""/>
      <w:lvlJc w:val="left"/>
      <w:pPr>
        <w:ind w:left="360" w:hanging="360"/>
      </w:pPr>
      <w:rPr>
        <w:rFonts w:ascii="Symbol" w:hAnsi="Symbol" w:hint="default"/>
        <w:b w:val="0"/>
        <w:i w:val="0"/>
        <w:caps w:val="0"/>
        <w:strike w:val="0"/>
        <w:dstrike w:val="0"/>
        <w:vanish w:val="0"/>
        <w:sz w:val="22"/>
        <w:u w:val="none" w:color="1F3864" w:themeColor="accent1" w:themeShade="80"/>
        <w:vertAlign w:val="baseline"/>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1EE0B8F"/>
    <w:multiLevelType w:val="hybridMultilevel"/>
    <w:tmpl w:val="5E48762E"/>
    <w:lvl w:ilvl="0" w:tplc="0C090001">
      <w:start w:val="1"/>
      <w:numFmt w:val="bullet"/>
      <w:lvlText w:val=""/>
      <w:lvlJc w:val="left"/>
      <w:pPr>
        <w:ind w:left="726" w:hanging="360"/>
      </w:pPr>
      <w:rPr>
        <w:rFonts w:ascii="Symbol" w:hAnsi="Symbol" w:hint="default"/>
      </w:rPr>
    </w:lvl>
    <w:lvl w:ilvl="1" w:tplc="0C090003" w:tentative="1">
      <w:start w:val="1"/>
      <w:numFmt w:val="bullet"/>
      <w:lvlText w:val="o"/>
      <w:lvlJc w:val="left"/>
      <w:pPr>
        <w:ind w:left="1446" w:hanging="360"/>
      </w:pPr>
      <w:rPr>
        <w:rFonts w:ascii="Courier New" w:hAnsi="Courier New" w:cs="Courier New" w:hint="default"/>
      </w:rPr>
    </w:lvl>
    <w:lvl w:ilvl="2" w:tplc="0C090005" w:tentative="1">
      <w:start w:val="1"/>
      <w:numFmt w:val="bullet"/>
      <w:lvlText w:val=""/>
      <w:lvlJc w:val="left"/>
      <w:pPr>
        <w:ind w:left="2166" w:hanging="360"/>
      </w:pPr>
      <w:rPr>
        <w:rFonts w:ascii="Wingdings" w:hAnsi="Wingdings" w:hint="default"/>
      </w:rPr>
    </w:lvl>
    <w:lvl w:ilvl="3" w:tplc="0C090001" w:tentative="1">
      <w:start w:val="1"/>
      <w:numFmt w:val="bullet"/>
      <w:lvlText w:val=""/>
      <w:lvlJc w:val="left"/>
      <w:pPr>
        <w:ind w:left="2886" w:hanging="360"/>
      </w:pPr>
      <w:rPr>
        <w:rFonts w:ascii="Symbol" w:hAnsi="Symbol" w:hint="default"/>
      </w:rPr>
    </w:lvl>
    <w:lvl w:ilvl="4" w:tplc="0C090003" w:tentative="1">
      <w:start w:val="1"/>
      <w:numFmt w:val="bullet"/>
      <w:lvlText w:val="o"/>
      <w:lvlJc w:val="left"/>
      <w:pPr>
        <w:ind w:left="3606" w:hanging="360"/>
      </w:pPr>
      <w:rPr>
        <w:rFonts w:ascii="Courier New" w:hAnsi="Courier New" w:cs="Courier New" w:hint="default"/>
      </w:rPr>
    </w:lvl>
    <w:lvl w:ilvl="5" w:tplc="0C090005" w:tentative="1">
      <w:start w:val="1"/>
      <w:numFmt w:val="bullet"/>
      <w:lvlText w:val=""/>
      <w:lvlJc w:val="left"/>
      <w:pPr>
        <w:ind w:left="4326" w:hanging="360"/>
      </w:pPr>
      <w:rPr>
        <w:rFonts w:ascii="Wingdings" w:hAnsi="Wingdings" w:hint="default"/>
      </w:rPr>
    </w:lvl>
    <w:lvl w:ilvl="6" w:tplc="0C090001" w:tentative="1">
      <w:start w:val="1"/>
      <w:numFmt w:val="bullet"/>
      <w:lvlText w:val=""/>
      <w:lvlJc w:val="left"/>
      <w:pPr>
        <w:ind w:left="5046" w:hanging="360"/>
      </w:pPr>
      <w:rPr>
        <w:rFonts w:ascii="Symbol" w:hAnsi="Symbol" w:hint="default"/>
      </w:rPr>
    </w:lvl>
    <w:lvl w:ilvl="7" w:tplc="0C090003" w:tentative="1">
      <w:start w:val="1"/>
      <w:numFmt w:val="bullet"/>
      <w:lvlText w:val="o"/>
      <w:lvlJc w:val="left"/>
      <w:pPr>
        <w:ind w:left="5766" w:hanging="360"/>
      </w:pPr>
      <w:rPr>
        <w:rFonts w:ascii="Courier New" w:hAnsi="Courier New" w:cs="Courier New" w:hint="default"/>
      </w:rPr>
    </w:lvl>
    <w:lvl w:ilvl="8" w:tplc="0C090005" w:tentative="1">
      <w:start w:val="1"/>
      <w:numFmt w:val="bullet"/>
      <w:lvlText w:val=""/>
      <w:lvlJc w:val="left"/>
      <w:pPr>
        <w:ind w:left="6486" w:hanging="360"/>
      </w:pPr>
      <w:rPr>
        <w:rFonts w:ascii="Wingdings" w:hAnsi="Wingdings" w:hint="default"/>
      </w:rPr>
    </w:lvl>
  </w:abstractNum>
  <w:abstractNum w:abstractNumId="28" w15:restartNumberingAfterBreak="0">
    <w:nsid w:val="767E17C7"/>
    <w:multiLevelType w:val="hybridMultilevel"/>
    <w:tmpl w:val="1C88D2A0"/>
    <w:lvl w:ilvl="0" w:tplc="02108FEC">
      <w:start w:val="1"/>
      <w:numFmt w:val="bullet"/>
      <w:pStyle w:val="dotpoin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9" w15:restartNumberingAfterBreak="0">
    <w:nsid w:val="793B5F7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7EFCFF7D"/>
    <w:multiLevelType w:val="hybridMultilevel"/>
    <w:tmpl w:val="CD280B92"/>
    <w:lvl w:ilvl="0" w:tplc="2A8CCC08">
      <w:start w:val="1"/>
      <w:numFmt w:val="bullet"/>
      <w:lvlText w:val="-"/>
      <w:lvlJc w:val="left"/>
      <w:pPr>
        <w:ind w:left="720" w:hanging="360"/>
      </w:pPr>
      <w:rPr>
        <w:rFonts w:ascii="Calibri" w:hAnsi="Calibri" w:hint="default"/>
      </w:rPr>
    </w:lvl>
    <w:lvl w:ilvl="1" w:tplc="C3180724">
      <w:start w:val="1"/>
      <w:numFmt w:val="bullet"/>
      <w:lvlText w:val="o"/>
      <w:lvlJc w:val="left"/>
      <w:pPr>
        <w:ind w:left="1440" w:hanging="360"/>
      </w:pPr>
      <w:rPr>
        <w:rFonts w:ascii="Courier New" w:hAnsi="Courier New" w:hint="default"/>
      </w:rPr>
    </w:lvl>
    <w:lvl w:ilvl="2" w:tplc="34AAB57C">
      <w:start w:val="1"/>
      <w:numFmt w:val="bullet"/>
      <w:lvlText w:val=""/>
      <w:lvlJc w:val="left"/>
      <w:pPr>
        <w:ind w:left="2160" w:hanging="360"/>
      </w:pPr>
      <w:rPr>
        <w:rFonts w:ascii="Wingdings" w:hAnsi="Wingdings" w:hint="default"/>
      </w:rPr>
    </w:lvl>
    <w:lvl w:ilvl="3" w:tplc="CE3428EE">
      <w:start w:val="1"/>
      <w:numFmt w:val="bullet"/>
      <w:lvlText w:val=""/>
      <w:lvlJc w:val="left"/>
      <w:pPr>
        <w:ind w:left="2880" w:hanging="360"/>
      </w:pPr>
      <w:rPr>
        <w:rFonts w:ascii="Symbol" w:hAnsi="Symbol" w:hint="default"/>
      </w:rPr>
    </w:lvl>
    <w:lvl w:ilvl="4" w:tplc="7A245502">
      <w:start w:val="1"/>
      <w:numFmt w:val="bullet"/>
      <w:lvlText w:val="o"/>
      <w:lvlJc w:val="left"/>
      <w:pPr>
        <w:ind w:left="3600" w:hanging="360"/>
      </w:pPr>
      <w:rPr>
        <w:rFonts w:ascii="Courier New" w:hAnsi="Courier New" w:hint="default"/>
      </w:rPr>
    </w:lvl>
    <w:lvl w:ilvl="5" w:tplc="C69CD464">
      <w:start w:val="1"/>
      <w:numFmt w:val="bullet"/>
      <w:lvlText w:val=""/>
      <w:lvlJc w:val="left"/>
      <w:pPr>
        <w:ind w:left="4320" w:hanging="360"/>
      </w:pPr>
      <w:rPr>
        <w:rFonts w:ascii="Wingdings" w:hAnsi="Wingdings" w:hint="default"/>
      </w:rPr>
    </w:lvl>
    <w:lvl w:ilvl="6" w:tplc="B02C14D8">
      <w:start w:val="1"/>
      <w:numFmt w:val="bullet"/>
      <w:lvlText w:val=""/>
      <w:lvlJc w:val="left"/>
      <w:pPr>
        <w:ind w:left="5040" w:hanging="360"/>
      </w:pPr>
      <w:rPr>
        <w:rFonts w:ascii="Symbol" w:hAnsi="Symbol" w:hint="default"/>
      </w:rPr>
    </w:lvl>
    <w:lvl w:ilvl="7" w:tplc="FD1816D0">
      <w:start w:val="1"/>
      <w:numFmt w:val="bullet"/>
      <w:lvlText w:val="o"/>
      <w:lvlJc w:val="left"/>
      <w:pPr>
        <w:ind w:left="5760" w:hanging="360"/>
      </w:pPr>
      <w:rPr>
        <w:rFonts w:ascii="Courier New" w:hAnsi="Courier New" w:hint="default"/>
      </w:rPr>
    </w:lvl>
    <w:lvl w:ilvl="8" w:tplc="6ED69F3A">
      <w:start w:val="1"/>
      <w:numFmt w:val="bullet"/>
      <w:lvlText w:val=""/>
      <w:lvlJc w:val="left"/>
      <w:pPr>
        <w:ind w:left="6480" w:hanging="360"/>
      </w:pPr>
      <w:rPr>
        <w:rFonts w:ascii="Wingdings" w:hAnsi="Wingdings" w:hint="default"/>
      </w:rPr>
    </w:lvl>
  </w:abstractNum>
  <w:num w:numId="1" w16cid:durableId="1624992350">
    <w:abstractNumId w:val="24"/>
  </w:num>
  <w:num w:numId="2" w16cid:durableId="521092238">
    <w:abstractNumId w:val="10"/>
  </w:num>
  <w:num w:numId="3" w16cid:durableId="1259487752">
    <w:abstractNumId w:val="12"/>
  </w:num>
  <w:num w:numId="4" w16cid:durableId="303656164">
    <w:abstractNumId w:val="3"/>
  </w:num>
  <w:num w:numId="5" w16cid:durableId="116489429">
    <w:abstractNumId w:val="30"/>
  </w:num>
  <w:num w:numId="6" w16cid:durableId="1413157573">
    <w:abstractNumId w:val="14"/>
  </w:num>
  <w:num w:numId="7" w16cid:durableId="1146435582">
    <w:abstractNumId w:val="14"/>
  </w:num>
  <w:num w:numId="8" w16cid:durableId="646864675">
    <w:abstractNumId w:val="21"/>
  </w:num>
  <w:num w:numId="9" w16cid:durableId="1146554582">
    <w:abstractNumId w:val="7"/>
  </w:num>
  <w:num w:numId="10" w16cid:durableId="2074549083">
    <w:abstractNumId w:val="14"/>
  </w:num>
  <w:num w:numId="11" w16cid:durableId="797378103">
    <w:abstractNumId w:val="14"/>
  </w:num>
  <w:num w:numId="12" w16cid:durableId="420614240">
    <w:abstractNumId w:val="28"/>
  </w:num>
  <w:num w:numId="13" w16cid:durableId="885215776">
    <w:abstractNumId w:val="2"/>
  </w:num>
  <w:num w:numId="14" w16cid:durableId="2080862065">
    <w:abstractNumId w:val="14"/>
  </w:num>
  <w:num w:numId="15" w16cid:durableId="9959171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69217938">
    <w:abstractNumId w:val="18"/>
  </w:num>
  <w:num w:numId="17" w16cid:durableId="1336762996">
    <w:abstractNumId w:val="23"/>
  </w:num>
  <w:num w:numId="18" w16cid:durableId="1033111388">
    <w:abstractNumId w:val="4"/>
  </w:num>
  <w:num w:numId="19" w16cid:durableId="1707481501">
    <w:abstractNumId w:val="15"/>
  </w:num>
  <w:num w:numId="20" w16cid:durableId="152529200">
    <w:abstractNumId w:val="9"/>
  </w:num>
  <w:num w:numId="21" w16cid:durableId="1860318837">
    <w:abstractNumId w:val="13"/>
  </w:num>
  <w:num w:numId="22" w16cid:durableId="1643071747">
    <w:abstractNumId w:val="16"/>
  </w:num>
  <w:num w:numId="23" w16cid:durableId="895042325">
    <w:abstractNumId w:val="11"/>
  </w:num>
  <w:num w:numId="24" w16cid:durableId="764422620">
    <w:abstractNumId w:val="0"/>
  </w:num>
  <w:num w:numId="25" w16cid:durableId="1760910116">
    <w:abstractNumId w:val="1"/>
  </w:num>
  <w:num w:numId="26" w16cid:durableId="754790489">
    <w:abstractNumId w:val="25"/>
  </w:num>
  <w:num w:numId="27" w16cid:durableId="1777022452">
    <w:abstractNumId w:val="5"/>
  </w:num>
  <w:num w:numId="28" w16cid:durableId="418872737">
    <w:abstractNumId w:val="29"/>
  </w:num>
  <w:num w:numId="29" w16cid:durableId="1569415964">
    <w:abstractNumId w:val="17"/>
  </w:num>
  <w:num w:numId="30" w16cid:durableId="731270945">
    <w:abstractNumId w:val="19"/>
  </w:num>
  <w:num w:numId="31" w16cid:durableId="703402914">
    <w:abstractNumId w:val="8"/>
  </w:num>
  <w:num w:numId="32" w16cid:durableId="1681422847">
    <w:abstractNumId w:val="19"/>
    <w:lvlOverride w:ilvl="0">
      <w:startOverride w:val="1"/>
    </w:lvlOverride>
  </w:num>
  <w:num w:numId="33" w16cid:durableId="712772165">
    <w:abstractNumId w:val="19"/>
    <w:lvlOverride w:ilvl="0">
      <w:startOverride w:val="1"/>
    </w:lvlOverride>
  </w:num>
  <w:num w:numId="34" w16cid:durableId="632905447">
    <w:abstractNumId w:val="19"/>
    <w:lvlOverride w:ilvl="0">
      <w:startOverride w:val="1"/>
    </w:lvlOverride>
  </w:num>
  <w:num w:numId="35" w16cid:durableId="1456027046">
    <w:abstractNumId w:val="27"/>
  </w:num>
  <w:num w:numId="36" w16cid:durableId="1486780504">
    <w:abstractNumId w:val="20"/>
  </w:num>
  <w:num w:numId="37" w16cid:durableId="109865561">
    <w:abstractNumId w:val="6"/>
  </w:num>
  <w:num w:numId="38" w16cid:durableId="1177574935">
    <w:abstractNumId w:val="26"/>
  </w:num>
  <w:num w:numId="39" w16cid:durableId="1173029412">
    <w:abstractNumId w:val="22"/>
  </w:num>
  <w:num w:numId="40" w16cid:durableId="508985238">
    <w:abstractNumId w:val="2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6F13F43"/>
    <w:rsid w:val="00000211"/>
    <w:rsid w:val="00000FA7"/>
    <w:rsid w:val="00002976"/>
    <w:rsid w:val="00002BAA"/>
    <w:rsid w:val="000033B4"/>
    <w:rsid w:val="00003ED4"/>
    <w:rsid w:val="000042FA"/>
    <w:rsid w:val="000052EE"/>
    <w:rsid w:val="00005E06"/>
    <w:rsid w:val="0000630B"/>
    <w:rsid w:val="00006669"/>
    <w:rsid w:val="00007A77"/>
    <w:rsid w:val="00010BF0"/>
    <w:rsid w:val="00011320"/>
    <w:rsid w:val="000115CD"/>
    <w:rsid w:val="000121C4"/>
    <w:rsid w:val="00012BAE"/>
    <w:rsid w:val="00013AE6"/>
    <w:rsid w:val="00015201"/>
    <w:rsid w:val="00016D61"/>
    <w:rsid w:val="000201F0"/>
    <w:rsid w:val="00020D2C"/>
    <w:rsid w:val="000217A0"/>
    <w:rsid w:val="00021976"/>
    <w:rsid w:val="00027F69"/>
    <w:rsid w:val="0003087C"/>
    <w:rsid w:val="00031230"/>
    <w:rsid w:val="00031A50"/>
    <w:rsid w:val="00033694"/>
    <w:rsid w:val="0003458E"/>
    <w:rsid w:val="00036C02"/>
    <w:rsid w:val="00036D3B"/>
    <w:rsid w:val="00036E74"/>
    <w:rsid w:val="00037EB1"/>
    <w:rsid w:val="00040A27"/>
    <w:rsid w:val="00040FA6"/>
    <w:rsid w:val="00041C33"/>
    <w:rsid w:val="000432C6"/>
    <w:rsid w:val="00043E23"/>
    <w:rsid w:val="000441FD"/>
    <w:rsid w:val="00044C42"/>
    <w:rsid w:val="00044E6D"/>
    <w:rsid w:val="00045306"/>
    <w:rsid w:val="000472BE"/>
    <w:rsid w:val="00047BFE"/>
    <w:rsid w:val="00050B3C"/>
    <w:rsid w:val="00050BAD"/>
    <w:rsid w:val="00050FC1"/>
    <w:rsid w:val="00052347"/>
    <w:rsid w:val="000524C1"/>
    <w:rsid w:val="00053825"/>
    <w:rsid w:val="00053F8A"/>
    <w:rsid w:val="00056FBA"/>
    <w:rsid w:val="000571E4"/>
    <w:rsid w:val="00057311"/>
    <w:rsid w:val="00057C6E"/>
    <w:rsid w:val="00060CB9"/>
    <w:rsid w:val="000611E3"/>
    <w:rsid w:val="00062C1D"/>
    <w:rsid w:val="0006470A"/>
    <w:rsid w:val="00065F60"/>
    <w:rsid w:val="00066371"/>
    <w:rsid w:val="000664A1"/>
    <w:rsid w:val="000671B2"/>
    <w:rsid w:val="00067DE1"/>
    <w:rsid w:val="00070652"/>
    <w:rsid w:val="00070CEA"/>
    <w:rsid w:val="0007114C"/>
    <w:rsid w:val="000717AB"/>
    <w:rsid w:val="00071967"/>
    <w:rsid w:val="0007231E"/>
    <w:rsid w:val="000734AB"/>
    <w:rsid w:val="00073C24"/>
    <w:rsid w:val="00074FA9"/>
    <w:rsid w:val="00076818"/>
    <w:rsid w:val="000768C6"/>
    <w:rsid w:val="00076C4D"/>
    <w:rsid w:val="0008002A"/>
    <w:rsid w:val="0008098A"/>
    <w:rsid w:val="00082038"/>
    <w:rsid w:val="0008216A"/>
    <w:rsid w:val="00082976"/>
    <w:rsid w:val="00082FC0"/>
    <w:rsid w:val="000837C4"/>
    <w:rsid w:val="00083978"/>
    <w:rsid w:val="00084C4D"/>
    <w:rsid w:val="00084FB2"/>
    <w:rsid w:val="00086533"/>
    <w:rsid w:val="000871CF"/>
    <w:rsid w:val="00087284"/>
    <w:rsid w:val="00087BFC"/>
    <w:rsid w:val="000917DC"/>
    <w:rsid w:val="000920B5"/>
    <w:rsid w:val="000921F6"/>
    <w:rsid w:val="00095C4A"/>
    <w:rsid w:val="000960E2"/>
    <w:rsid w:val="00096316"/>
    <w:rsid w:val="000965FD"/>
    <w:rsid w:val="00096E23"/>
    <w:rsid w:val="00097066"/>
    <w:rsid w:val="00097746"/>
    <w:rsid w:val="00097D96"/>
    <w:rsid w:val="000A0202"/>
    <w:rsid w:val="000A25FE"/>
    <w:rsid w:val="000A4F4C"/>
    <w:rsid w:val="000A5923"/>
    <w:rsid w:val="000A5CED"/>
    <w:rsid w:val="000A67FA"/>
    <w:rsid w:val="000A6D81"/>
    <w:rsid w:val="000A7058"/>
    <w:rsid w:val="000A76AF"/>
    <w:rsid w:val="000B07CA"/>
    <w:rsid w:val="000B146E"/>
    <w:rsid w:val="000B3872"/>
    <w:rsid w:val="000B3A3E"/>
    <w:rsid w:val="000B3DA2"/>
    <w:rsid w:val="000B4B78"/>
    <w:rsid w:val="000B4E41"/>
    <w:rsid w:val="000B52B9"/>
    <w:rsid w:val="000B7888"/>
    <w:rsid w:val="000C2167"/>
    <w:rsid w:val="000C4DA5"/>
    <w:rsid w:val="000C57EE"/>
    <w:rsid w:val="000D167F"/>
    <w:rsid w:val="000D1744"/>
    <w:rsid w:val="000D1B06"/>
    <w:rsid w:val="000D20A4"/>
    <w:rsid w:val="000D2658"/>
    <w:rsid w:val="000D4374"/>
    <w:rsid w:val="000D45A8"/>
    <w:rsid w:val="000D4EBA"/>
    <w:rsid w:val="000D53E4"/>
    <w:rsid w:val="000D5A4D"/>
    <w:rsid w:val="000D5B30"/>
    <w:rsid w:val="000D6DD0"/>
    <w:rsid w:val="000D712C"/>
    <w:rsid w:val="000D7B78"/>
    <w:rsid w:val="000E0877"/>
    <w:rsid w:val="000E0D0B"/>
    <w:rsid w:val="000E1200"/>
    <w:rsid w:val="000E134A"/>
    <w:rsid w:val="000E171F"/>
    <w:rsid w:val="000E1FB7"/>
    <w:rsid w:val="000E2616"/>
    <w:rsid w:val="000E2F25"/>
    <w:rsid w:val="000E397A"/>
    <w:rsid w:val="000E42AE"/>
    <w:rsid w:val="000E5885"/>
    <w:rsid w:val="000E7481"/>
    <w:rsid w:val="000F00B1"/>
    <w:rsid w:val="000F0609"/>
    <w:rsid w:val="000F0910"/>
    <w:rsid w:val="000F17F1"/>
    <w:rsid w:val="000F1AB9"/>
    <w:rsid w:val="000F24C9"/>
    <w:rsid w:val="000F3072"/>
    <w:rsid w:val="000F338C"/>
    <w:rsid w:val="000F39D7"/>
    <w:rsid w:val="000F41C7"/>
    <w:rsid w:val="000F4608"/>
    <w:rsid w:val="000F48F4"/>
    <w:rsid w:val="000F4B1B"/>
    <w:rsid w:val="000F5520"/>
    <w:rsid w:val="000F66C0"/>
    <w:rsid w:val="000F6876"/>
    <w:rsid w:val="000F73B5"/>
    <w:rsid w:val="000F7B8F"/>
    <w:rsid w:val="000F7BBC"/>
    <w:rsid w:val="00100343"/>
    <w:rsid w:val="0010246D"/>
    <w:rsid w:val="00103BE7"/>
    <w:rsid w:val="001046F3"/>
    <w:rsid w:val="00106D42"/>
    <w:rsid w:val="00107742"/>
    <w:rsid w:val="001127A7"/>
    <w:rsid w:val="00112EE1"/>
    <w:rsid w:val="001154BA"/>
    <w:rsid w:val="0011597D"/>
    <w:rsid w:val="00115C5D"/>
    <w:rsid w:val="0011675B"/>
    <w:rsid w:val="0011694C"/>
    <w:rsid w:val="00116F8D"/>
    <w:rsid w:val="00117092"/>
    <w:rsid w:val="00118263"/>
    <w:rsid w:val="00120CD2"/>
    <w:rsid w:val="0012112C"/>
    <w:rsid w:val="001211BA"/>
    <w:rsid w:val="0012177F"/>
    <w:rsid w:val="00121ADA"/>
    <w:rsid w:val="00123480"/>
    <w:rsid w:val="00123CCB"/>
    <w:rsid w:val="00124624"/>
    <w:rsid w:val="001251BB"/>
    <w:rsid w:val="00127039"/>
    <w:rsid w:val="001275DA"/>
    <w:rsid w:val="00130DC5"/>
    <w:rsid w:val="00130E9F"/>
    <w:rsid w:val="00132E88"/>
    <w:rsid w:val="0013456B"/>
    <w:rsid w:val="001347B8"/>
    <w:rsid w:val="001371CF"/>
    <w:rsid w:val="001373DB"/>
    <w:rsid w:val="0013776B"/>
    <w:rsid w:val="00137CE1"/>
    <w:rsid w:val="00137D09"/>
    <w:rsid w:val="0014011E"/>
    <w:rsid w:val="00140C31"/>
    <w:rsid w:val="00140D6E"/>
    <w:rsid w:val="001412FF"/>
    <w:rsid w:val="00141ACE"/>
    <w:rsid w:val="00142D21"/>
    <w:rsid w:val="001432FD"/>
    <w:rsid w:val="001470A4"/>
    <w:rsid w:val="001471F4"/>
    <w:rsid w:val="00150B1A"/>
    <w:rsid w:val="00151E5D"/>
    <w:rsid w:val="0015406C"/>
    <w:rsid w:val="00154C3B"/>
    <w:rsid w:val="00155FAE"/>
    <w:rsid w:val="00157AB5"/>
    <w:rsid w:val="00160025"/>
    <w:rsid w:val="00160038"/>
    <w:rsid w:val="00160812"/>
    <w:rsid w:val="00161A72"/>
    <w:rsid w:val="0016202E"/>
    <w:rsid w:val="001628B2"/>
    <w:rsid w:val="00162C2A"/>
    <w:rsid w:val="00163752"/>
    <w:rsid w:val="0016475D"/>
    <w:rsid w:val="001662C3"/>
    <w:rsid w:val="00166795"/>
    <w:rsid w:val="00167C64"/>
    <w:rsid w:val="001703E8"/>
    <w:rsid w:val="00170698"/>
    <w:rsid w:val="00171714"/>
    <w:rsid w:val="001717B0"/>
    <w:rsid w:val="00172282"/>
    <w:rsid w:val="00173466"/>
    <w:rsid w:val="0017352D"/>
    <w:rsid w:val="00173B1B"/>
    <w:rsid w:val="001743D9"/>
    <w:rsid w:val="001764CF"/>
    <w:rsid w:val="00176F38"/>
    <w:rsid w:val="0017739D"/>
    <w:rsid w:val="0018050E"/>
    <w:rsid w:val="001807C3"/>
    <w:rsid w:val="00182BF4"/>
    <w:rsid w:val="00183678"/>
    <w:rsid w:val="00184C08"/>
    <w:rsid w:val="001852EF"/>
    <w:rsid w:val="00186043"/>
    <w:rsid w:val="00187496"/>
    <w:rsid w:val="001875A4"/>
    <w:rsid w:val="00190495"/>
    <w:rsid w:val="0019178C"/>
    <w:rsid w:val="00192E7F"/>
    <w:rsid w:val="00192F4A"/>
    <w:rsid w:val="001931AF"/>
    <w:rsid w:val="00193CB7"/>
    <w:rsid w:val="001940BD"/>
    <w:rsid w:val="00194167"/>
    <w:rsid w:val="0019485F"/>
    <w:rsid w:val="00194C57"/>
    <w:rsid w:val="001966CF"/>
    <w:rsid w:val="001A3BBD"/>
    <w:rsid w:val="001A42E7"/>
    <w:rsid w:val="001A4A95"/>
    <w:rsid w:val="001A5187"/>
    <w:rsid w:val="001A6F1C"/>
    <w:rsid w:val="001B1723"/>
    <w:rsid w:val="001B2DBD"/>
    <w:rsid w:val="001B3E6F"/>
    <w:rsid w:val="001B48AD"/>
    <w:rsid w:val="001B71C3"/>
    <w:rsid w:val="001C0497"/>
    <w:rsid w:val="001C0B13"/>
    <w:rsid w:val="001C15D4"/>
    <w:rsid w:val="001C28B7"/>
    <w:rsid w:val="001C30A4"/>
    <w:rsid w:val="001C30A9"/>
    <w:rsid w:val="001C4359"/>
    <w:rsid w:val="001C5215"/>
    <w:rsid w:val="001C61BC"/>
    <w:rsid w:val="001C63F1"/>
    <w:rsid w:val="001C73BD"/>
    <w:rsid w:val="001C7DCA"/>
    <w:rsid w:val="001D14F5"/>
    <w:rsid w:val="001D171D"/>
    <w:rsid w:val="001D1B94"/>
    <w:rsid w:val="001D2AF4"/>
    <w:rsid w:val="001D2B5F"/>
    <w:rsid w:val="001D446A"/>
    <w:rsid w:val="001D519E"/>
    <w:rsid w:val="001D5826"/>
    <w:rsid w:val="001E2CB9"/>
    <w:rsid w:val="001E4300"/>
    <w:rsid w:val="001E4F54"/>
    <w:rsid w:val="001E5835"/>
    <w:rsid w:val="001E703F"/>
    <w:rsid w:val="001E70B6"/>
    <w:rsid w:val="001E79A6"/>
    <w:rsid w:val="001F0EE1"/>
    <w:rsid w:val="001F103A"/>
    <w:rsid w:val="001F1145"/>
    <w:rsid w:val="001F186B"/>
    <w:rsid w:val="001F2550"/>
    <w:rsid w:val="001F7EFC"/>
    <w:rsid w:val="00201BE9"/>
    <w:rsid w:val="00201F08"/>
    <w:rsid w:val="0020509E"/>
    <w:rsid w:val="0020536D"/>
    <w:rsid w:val="00205CC4"/>
    <w:rsid w:val="0020772A"/>
    <w:rsid w:val="00207A98"/>
    <w:rsid w:val="00210EC6"/>
    <w:rsid w:val="002114A9"/>
    <w:rsid w:val="00212C92"/>
    <w:rsid w:val="00213499"/>
    <w:rsid w:val="00213B8D"/>
    <w:rsid w:val="00216A36"/>
    <w:rsid w:val="00216F46"/>
    <w:rsid w:val="00217788"/>
    <w:rsid w:val="002202EC"/>
    <w:rsid w:val="002214BF"/>
    <w:rsid w:val="00222001"/>
    <w:rsid w:val="0022231F"/>
    <w:rsid w:val="002225A5"/>
    <w:rsid w:val="0022293B"/>
    <w:rsid w:val="00223417"/>
    <w:rsid w:val="00223D1F"/>
    <w:rsid w:val="00223F9C"/>
    <w:rsid w:val="002240C0"/>
    <w:rsid w:val="00225437"/>
    <w:rsid w:val="002267DE"/>
    <w:rsid w:val="00226896"/>
    <w:rsid w:val="002276A0"/>
    <w:rsid w:val="00227AEC"/>
    <w:rsid w:val="00232C7E"/>
    <w:rsid w:val="00232E4C"/>
    <w:rsid w:val="00235898"/>
    <w:rsid w:val="002364DB"/>
    <w:rsid w:val="00236933"/>
    <w:rsid w:val="002407F8"/>
    <w:rsid w:val="00240F9D"/>
    <w:rsid w:val="00241229"/>
    <w:rsid w:val="00242DAA"/>
    <w:rsid w:val="00243441"/>
    <w:rsid w:val="00243FA1"/>
    <w:rsid w:val="0024442E"/>
    <w:rsid w:val="00244769"/>
    <w:rsid w:val="00245AD5"/>
    <w:rsid w:val="00245C67"/>
    <w:rsid w:val="002461BA"/>
    <w:rsid w:val="00247861"/>
    <w:rsid w:val="002500E9"/>
    <w:rsid w:val="00250DC6"/>
    <w:rsid w:val="00250DCD"/>
    <w:rsid w:val="00251C44"/>
    <w:rsid w:val="002523DE"/>
    <w:rsid w:val="00253596"/>
    <w:rsid w:val="002535C9"/>
    <w:rsid w:val="002546F7"/>
    <w:rsid w:val="00255584"/>
    <w:rsid w:val="00255861"/>
    <w:rsid w:val="00255ADA"/>
    <w:rsid w:val="00256615"/>
    <w:rsid w:val="00256D62"/>
    <w:rsid w:val="00257011"/>
    <w:rsid w:val="00257384"/>
    <w:rsid w:val="00257577"/>
    <w:rsid w:val="00257B0E"/>
    <w:rsid w:val="002600AD"/>
    <w:rsid w:val="00260F28"/>
    <w:rsid w:val="00261A9B"/>
    <w:rsid w:val="0026271C"/>
    <w:rsid w:val="0026329A"/>
    <w:rsid w:val="002634BE"/>
    <w:rsid w:val="00265917"/>
    <w:rsid w:val="00265E46"/>
    <w:rsid w:val="00267319"/>
    <w:rsid w:val="0026769F"/>
    <w:rsid w:val="002711F5"/>
    <w:rsid w:val="00271B99"/>
    <w:rsid w:val="0027326B"/>
    <w:rsid w:val="002737FC"/>
    <w:rsid w:val="002739A7"/>
    <w:rsid w:val="00274612"/>
    <w:rsid w:val="00275514"/>
    <w:rsid w:val="00275910"/>
    <w:rsid w:val="00276704"/>
    <w:rsid w:val="00277FE2"/>
    <w:rsid w:val="002806CE"/>
    <w:rsid w:val="00280964"/>
    <w:rsid w:val="00280B1D"/>
    <w:rsid w:val="002818A7"/>
    <w:rsid w:val="00281AA2"/>
    <w:rsid w:val="002820EB"/>
    <w:rsid w:val="002827D3"/>
    <w:rsid w:val="00282AB5"/>
    <w:rsid w:val="002842B8"/>
    <w:rsid w:val="002842C8"/>
    <w:rsid w:val="002847A7"/>
    <w:rsid w:val="00285A45"/>
    <w:rsid w:val="002873AC"/>
    <w:rsid w:val="00287922"/>
    <w:rsid w:val="00287981"/>
    <w:rsid w:val="00291114"/>
    <w:rsid w:val="00293132"/>
    <w:rsid w:val="0029371C"/>
    <w:rsid w:val="00293E16"/>
    <w:rsid w:val="00293F5D"/>
    <w:rsid w:val="0029453D"/>
    <w:rsid w:val="00297EFB"/>
    <w:rsid w:val="002A2A20"/>
    <w:rsid w:val="002A2DB6"/>
    <w:rsid w:val="002A308A"/>
    <w:rsid w:val="002A3DC4"/>
    <w:rsid w:val="002A441B"/>
    <w:rsid w:val="002A63CE"/>
    <w:rsid w:val="002A6F88"/>
    <w:rsid w:val="002A7623"/>
    <w:rsid w:val="002B05A3"/>
    <w:rsid w:val="002B0E13"/>
    <w:rsid w:val="002B10A5"/>
    <w:rsid w:val="002B1194"/>
    <w:rsid w:val="002B12A2"/>
    <w:rsid w:val="002B3F7C"/>
    <w:rsid w:val="002B45E3"/>
    <w:rsid w:val="002B67BB"/>
    <w:rsid w:val="002B6965"/>
    <w:rsid w:val="002B6C9F"/>
    <w:rsid w:val="002C05A1"/>
    <w:rsid w:val="002C1A77"/>
    <w:rsid w:val="002C2B06"/>
    <w:rsid w:val="002C2B15"/>
    <w:rsid w:val="002C312D"/>
    <w:rsid w:val="002C31B7"/>
    <w:rsid w:val="002C38DF"/>
    <w:rsid w:val="002C4105"/>
    <w:rsid w:val="002C4601"/>
    <w:rsid w:val="002C524F"/>
    <w:rsid w:val="002C54A8"/>
    <w:rsid w:val="002C593C"/>
    <w:rsid w:val="002C5EF6"/>
    <w:rsid w:val="002C6452"/>
    <w:rsid w:val="002C70C6"/>
    <w:rsid w:val="002C7190"/>
    <w:rsid w:val="002C75F6"/>
    <w:rsid w:val="002C7E4E"/>
    <w:rsid w:val="002C7F15"/>
    <w:rsid w:val="002D0200"/>
    <w:rsid w:val="002D1B6F"/>
    <w:rsid w:val="002D219E"/>
    <w:rsid w:val="002D2B19"/>
    <w:rsid w:val="002D3617"/>
    <w:rsid w:val="002D3C84"/>
    <w:rsid w:val="002D3F7C"/>
    <w:rsid w:val="002D476B"/>
    <w:rsid w:val="002D5961"/>
    <w:rsid w:val="002D5CAD"/>
    <w:rsid w:val="002D67C0"/>
    <w:rsid w:val="002E1860"/>
    <w:rsid w:val="002E2B30"/>
    <w:rsid w:val="002E4BCA"/>
    <w:rsid w:val="002E54A2"/>
    <w:rsid w:val="002E63B9"/>
    <w:rsid w:val="002E7213"/>
    <w:rsid w:val="002E78A6"/>
    <w:rsid w:val="002F02A3"/>
    <w:rsid w:val="002F35E3"/>
    <w:rsid w:val="002F443B"/>
    <w:rsid w:val="002F670B"/>
    <w:rsid w:val="002F677A"/>
    <w:rsid w:val="002F6E3B"/>
    <w:rsid w:val="002F79CD"/>
    <w:rsid w:val="003019E3"/>
    <w:rsid w:val="00301D46"/>
    <w:rsid w:val="00302451"/>
    <w:rsid w:val="00302687"/>
    <w:rsid w:val="003046DB"/>
    <w:rsid w:val="0030543D"/>
    <w:rsid w:val="003058CF"/>
    <w:rsid w:val="00306383"/>
    <w:rsid w:val="00306FE9"/>
    <w:rsid w:val="003079B4"/>
    <w:rsid w:val="00310365"/>
    <w:rsid w:val="00312066"/>
    <w:rsid w:val="00312A98"/>
    <w:rsid w:val="003157B5"/>
    <w:rsid w:val="003157E0"/>
    <w:rsid w:val="003158C3"/>
    <w:rsid w:val="00315AEF"/>
    <w:rsid w:val="00315E5B"/>
    <w:rsid w:val="00316BC1"/>
    <w:rsid w:val="00316EE9"/>
    <w:rsid w:val="00317C5F"/>
    <w:rsid w:val="00321B9A"/>
    <w:rsid w:val="00321E7D"/>
    <w:rsid w:val="0032211C"/>
    <w:rsid w:val="00323603"/>
    <w:rsid w:val="00323BB0"/>
    <w:rsid w:val="00323D74"/>
    <w:rsid w:val="00323E78"/>
    <w:rsid w:val="0032407E"/>
    <w:rsid w:val="00325127"/>
    <w:rsid w:val="00327825"/>
    <w:rsid w:val="00327D21"/>
    <w:rsid w:val="00327D86"/>
    <w:rsid w:val="003300E9"/>
    <w:rsid w:val="00330574"/>
    <w:rsid w:val="003310E4"/>
    <w:rsid w:val="00331295"/>
    <w:rsid w:val="003328F4"/>
    <w:rsid w:val="0033305D"/>
    <w:rsid w:val="00333E8C"/>
    <w:rsid w:val="00335264"/>
    <w:rsid w:val="00335B12"/>
    <w:rsid w:val="00336245"/>
    <w:rsid w:val="003376C3"/>
    <w:rsid w:val="003424DA"/>
    <w:rsid w:val="00345DC6"/>
    <w:rsid w:val="00346CF5"/>
    <w:rsid w:val="00347B39"/>
    <w:rsid w:val="00347EBD"/>
    <w:rsid w:val="0035041F"/>
    <w:rsid w:val="00350CF1"/>
    <w:rsid w:val="003526FD"/>
    <w:rsid w:val="0035369D"/>
    <w:rsid w:val="00354328"/>
    <w:rsid w:val="0035493A"/>
    <w:rsid w:val="0036672D"/>
    <w:rsid w:val="00367997"/>
    <w:rsid w:val="003679E8"/>
    <w:rsid w:val="00367EC1"/>
    <w:rsid w:val="00370669"/>
    <w:rsid w:val="00371CC5"/>
    <w:rsid w:val="003720D3"/>
    <w:rsid w:val="003734BF"/>
    <w:rsid w:val="00373CD4"/>
    <w:rsid w:val="00374450"/>
    <w:rsid w:val="0037524F"/>
    <w:rsid w:val="003755E9"/>
    <w:rsid w:val="00375BB4"/>
    <w:rsid w:val="003769C7"/>
    <w:rsid w:val="003804BB"/>
    <w:rsid w:val="003819C5"/>
    <w:rsid w:val="00382671"/>
    <w:rsid w:val="003826FE"/>
    <w:rsid w:val="003833A2"/>
    <w:rsid w:val="0038408C"/>
    <w:rsid w:val="003848DD"/>
    <w:rsid w:val="00384B9D"/>
    <w:rsid w:val="003854A7"/>
    <w:rsid w:val="00385E18"/>
    <w:rsid w:val="003902DA"/>
    <w:rsid w:val="003902E8"/>
    <w:rsid w:val="0039159B"/>
    <w:rsid w:val="00392274"/>
    <w:rsid w:val="003939E2"/>
    <w:rsid w:val="00393B69"/>
    <w:rsid w:val="003941DD"/>
    <w:rsid w:val="00394230"/>
    <w:rsid w:val="003949A4"/>
    <w:rsid w:val="00396AC1"/>
    <w:rsid w:val="00396D0A"/>
    <w:rsid w:val="003975A4"/>
    <w:rsid w:val="00397987"/>
    <w:rsid w:val="00397C42"/>
    <w:rsid w:val="003A0C0F"/>
    <w:rsid w:val="003A195B"/>
    <w:rsid w:val="003A4B5C"/>
    <w:rsid w:val="003A6EEF"/>
    <w:rsid w:val="003B0753"/>
    <w:rsid w:val="003B14A9"/>
    <w:rsid w:val="003B2397"/>
    <w:rsid w:val="003B2834"/>
    <w:rsid w:val="003B33A9"/>
    <w:rsid w:val="003B3423"/>
    <w:rsid w:val="003B506E"/>
    <w:rsid w:val="003B56B5"/>
    <w:rsid w:val="003B5829"/>
    <w:rsid w:val="003B5F95"/>
    <w:rsid w:val="003B6606"/>
    <w:rsid w:val="003B6E57"/>
    <w:rsid w:val="003C04B5"/>
    <w:rsid w:val="003C0C0C"/>
    <w:rsid w:val="003C1582"/>
    <w:rsid w:val="003C15BC"/>
    <w:rsid w:val="003C1F74"/>
    <w:rsid w:val="003C1FB3"/>
    <w:rsid w:val="003C3281"/>
    <w:rsid w:val="003C4A0A"/>
    <w:rsid w:val="003C6EC4"/>
    <w:rsid w:val="003C700C"/>
    <w:rsid w:val="003C707B"/>
    <w:rsid w:val="003C7A64"/>
    <w:rsid w:val="003D008A"/>
    <w:rsid w:val="003D05FB"/>
    <w:rsid w:val="003D0BA6"/>
    <w:rsid w:val="003D0D3F"/>
    <w:rsid w:val="003D1A59"/>
    <w:rsid w:val="003D1A94"/>
    <w:rsid w:val="003D1AF2"/>
    <w:rsid w:val="003D2A4E"/>
    <w:rsid w:val="003D4746"/>
    <w:rsid w:val="003D547B"/>
    <w:rsid w:val="003D5921"/>
    <w:rsid w:val="003D783A"/>
    <w:rsid w:val="003E0204"/>
    <w:rsid w:val="003E0912"/>
    <w:rsid w:val="003E2FBB"/>
    <w:rsid w:val="003E4399"/>
    <w:rsid w:val="003E5CC6"/>
    <w:rsid w:val="003E5D32"/>
    <w:rsid w:val="003E6D6D"/>
    <w:rsid w:val="003F028E"/>
    <w:rsid w:val="003F0376"/>
    <w:rsid w:val="003F278D"/>
    <w:rsid w:val="003F4290"/>
    <w:rsid w:val="003F4994"/>
    <w:rsid w:val="003F6290"/>
    <w:rsid w:val="003F6A7C"/>
    <w:rsid w:val="003F6F5C"/>
    <w:rsid w:val="003F733F"/>
    <w:rsid w:val="00400127"/>
    <w:rsid w:val="004016DA"/>
    <w:rsid w:val="00404BEF"/>
    <w:rsid w:val="00404F5D"/>
    <w:rsid w:val="00407A38"/>
    <w:rsid w:val="0041061B"/>
    <w:rsid w:val="00411027"/>
    <w:rsid w:val="00412284"/>
    <w:rsid w:val="0041296E"/>
    <w:rsid w:val="004134FE"/>
    <w:rsid w:val="00414D55"/>
    <w:rsid w:val="00414FEC"/>
    <w:rsid w:val="00416979"/>
    <w:rsid w:val="00416A9F"/>
    <w:rsid w:val="00417240"/>
    <w:rsid w:val="004177C8"/>
    <w:rsid w:val="00417A7D"/>
    <w:rsid w:val="00417D66"/>
    <w:rsid w:val="004205F0"/>
    <w:rsid w:val="0042112F"/>
    <w:rsid w:val="004229C2"/>
    <w:rsid w:val="00423636"/>
    <w:rsid w:val="00423B8D"/>
    <w:rsid w:val="004240FE"/>
    <w:rsid w:val="0042575F"/>
    <w:rsid w:val="00427322"/>
    <w:rsid w:val="00427A71"/>
    <w:rsid w:val="004301C6"/>
    <w:rsid w:val="0043222F"/>
    <w:rsid w:val="00432F5E"/>
    <w:rsid w:val="00433B4E"/>
    <w:rsid w:val="00434340"/>
    <w:rsid w:val="00434C9B"/>
    <w:rsid w:val="0043640E"/>
    <w:rsid w:val="00436786"/>
    <w:rsid w:val="0043690B"/>
    <w:rsid w:val="00440AA9"/>
    <w:rsid w:val="004442FA"/>
    <w:rsid w:val="0044584D"/>
    <w:rsid w:val="0044648E"/>
    <w:rsid w:val="004478F9"/>
    <w:rsid w:val="004509AD"/>
    <w:rsid w:val="00451FF9"/>
    <w:rsid w:val="00452038"/>
    <w:rsid w:val="004521D8"/>
    <w:rsid w:val="00452EFA"/>
    <w:rsid w:val="0045312B"/>
    <w:rsid w:val="00453633"/>
    <w:rsid w:val="004538E3"/>
    <w:rsid w:val="00456ED4"/>
    <w:rsid w:val="004572A2"/>
    <w:rsid w:val="00460B0A"/>
    <w:rsid w:val="00461417"/>
    <w:rsid w:val="00462C8E"/>
    <w:rsid w:val="0046307C"/>
    <w:rsid w:val="00463396"/>
    <w:rsid w:val="004638CD"/>
    <w:rsid w:val="00466E82"/>
    <w:rsid w:val="004672A7"/>
    <w:rsid w:val="00472620"/>
    <w:rsid w:val="0047274A"/>
    <w:rsid w:val="00474234"/>
    <w:rsid w:val="00474347"/>
    <w:rsid w:val="00475812"/>
    <w:rsid w:val="00477285"/>
    <w:rsid w:val="00477623"/>
    <w:rsid w:val="00477723"/>
    <w:rsid w:val="0048003E"/>
    <w:rsid w:val="004820FA"/>
    <w:rsid w:val="004822CC"/>
    <w:rsid w:val="00485CD4"/>
    <w:rsid w:val="00486417"/>
    <w:rsid w:val="00486A67"/>
    <w:rsid w:val="00487E11"/>
    <w:rsid w:val="00490189"/>
    <w:rsid w:val="00490330"/>
    <w:rsid w:val="0049124C"/>
    <w:rsid w:val="0049136D"/>
    <w:rsid w:val="00491808"/>
    <w:rsid w:val="00492517"/>
    <w:rsid w:val="00492AA7"/>
    <w:rsid w:val="0049367C"/>
    <w:rsid w:val="00495800"/>
    <w:rsid w:val="004967C2"/>
    <w:rsid w:val="00497AE7"/>
    <w:rsid w:val="00497AFF"/>
    <w:rsid w:val="00497E10"/>
    <w:rsid w:val="004A23B2"/>
    <w:rsid w:val="004A29CE"/>
    <w:rsid w:val="004A2F53"/>
    <w:rsid w:val="004A331C"/>
    <w:rsid w:val="004A3B84"/>
    <w:rsid w:val="004A406D"/>
    <w:rsid w:val="004A43F5"/>
    <w:rsid w:val="004A4A9C"/>
    <w:rsid w:val="004A530B"/>
    <w:rsid w:val="004A6169"/>
    <w:rsid w:val="004A6561"/>
    <w:rsid w:val="004A67B4"/>
    <w:rsid w:val="004A7987"/>
    <w:rsid w:val="004B0631"/>
    <w:rsid w:val="004B1D18"/>
    <w:rsid w:val="004B3A02"/>
    <w:rsid w:val="004B3AF4"/>
    <w:rsid w:val="004B416F"/>
    <w:rsid w:val="004B710D"/>
    <w:rsid w:val="004C0C1F"/>
    <w:rsid w:val="004C275B"/>
    <w:rsid w:val="004C31FF"/>
    <w:rsid w:val="004C364A"/>
    <w:rsid w:val="004C5479"/>
    <w:rsid w:val="004C5F32"/>
    <w:rsid w:val="004C6126"/>
    <w:rsid w:val="004C687C"/>
    <w:rsid w:val="004C7435"/>
    <w:rsid w:val="004C787C"/>
    <w:rsid w:val="004C7F70"/>
    <w:rsid w:val="004D0248"/>
    <w:rsid w:val="004D1269"/>
    <w:rsid w:val="004D2DD4"/>
    <w:rsid w:val="004D3BCD"/>
    <w:rsid w:val="004D515E"/>
    <w:rsid w:val="004D5676"/>
    <w:rsid w:val="004D5C9D"/>
    <w:rsid w:val="004E0062"/>
    <w:rsid w:val="004E09D7"/>
    <w:rsid w:val="004E4881"/>
    <w:rsid w:val="004E4C3F"/>
    <w:rsid w:val="004E4F39"/>
    <w:rsid w:val="004E5609"/>
    <w:rsid w:val="004E57BC"/>
    <w:rsid w:val="004E5D62"/>
    <w:rsid w:val="004E69DC"/>
    <w:rsid w:val="004E7F61"/>
    <w:rsid w:val="004F0653"/>
    <w:rsid w:val="004F0847"/>
    <w:rsid w:val="004F20B6"/>
    <w:rsid w:val="004F24DB"/>
    <w:rsid w:val="004F25A7"/>
    <w:rsid w:val="004F3585"/>
    <w:rsid w:val="004F3914"/>
    <w:rsid w:val="004F3AFB"/>
    <w:rsid w:val="004F46B0"/>
    <w:rsid w:val="004F48B5"/>
    <w:rsid w:val="004F4ACD"/>
    <w:rsid w:val="004F547F"/>
    <w:rsid w:val="004F74F0"/>
    <w:rsid w:val="004F763E"/>
    <w:rsid w:val="004F7BAF"/>
    <w:rsid w:val="00502F29"/>
    <w:rsid w:val="00505971"/>
    <w:rsid w:val="00506F0A"/>
    <w:rsid w:val="005104C9"/>
    <w:rsid w:val="00510611"/>
    <w:rsid w:val="00510B15"/>
    <w:rsid w:val="00510E87"/>
    <w:rsid w:val="00511D18"/>
    <w:rsid w:val="00511DF2"/>
    <w:rsid w:val="005122A3"/>
    <w:rsid w:val="00514E6D"/>
    <w:rsid w:val="00516095"/>
    <w:rsid w:val="005201BF"/>
    <w:rsid w:val="00520FD0"/>
    <w:rsid w:val="00524187"/>
    <w:rsid w:val="00524466"/>
    <w:rsid w:val="00525B8A"/>
    <w:rsid w:val="00530147"/>
    <w:rsid w:val="0053131F"/>
    <w:rsid w:val="00532225"/>
    <w:rsid w:val="0053265F"/>
    <w:rsid w:val="00532876"/>
    <w:rsid w:val="005330F6"/>
    <w:rsid w:val="0053369B"/>
    <w:rsid w:val="005339A7"/>
    <w:rsid w:val="00533A01"/>
    <w:rsid w:val="00534656"/>
    <w:rsid w:val="00534843"/>
    <w:rsid w:val="00534BD2"/>
    <w:rsid w:val="00534E0C"/>
    <w:rsid w:val="00535F9D"/>
    <w:rsid w:val="00540036"/>
    <w:rsid w:val="005401DD"/>
    <w:rsid w:val="0054033C"/>
    <w:rsid w:val="005406F4"/>
    <w:rsid w:val="00542150"/>
    <w:rsid w:val="00543717"/>
    <w:rsid w:val="00544DBE"/>
    <w:rsid w:val="00545C50"/>
    <w:rsid w:val="00545DA2"/>
    <w:rsid w:val="00545E96"/>
    <w:rsid w:val="00546B31"/>
    <w:rsid w:val="005504A5"/>
    <w:rsid w:val="00550730"/>
    <w:rsid w:val="0055138C"/>
    <w:rsid w:val="00551504"/>
    <w:rsid w:val="0055202E"/>
    <w:rsid w:val="00552151"/>
    <w:rsid w:val="00552AF1"/>
    <w:rsid w:val="00554490"/>
    <w:rsid w:val="00555146"/>
    <w:rsid w:val="005553DF"/>
    <w:rsid w:val="00555A55"/>
    <w:rsid w:val="00557E26"/>
    <w:rsid w:val="005604D7"/>
    <w:rsid w:val="0056083D"/>
    <w:rsid w:val="00561553"/>
    <w:rsid w:val="0056316E"/>
    <w:rsid w:val="00563882"/>
    <w:rsid w:val="00564DE0"/>
    <w:rsid w:val="005671AB"/>
    <w:rsid w:val="005674F7"/>
    <w:rsid w:val="005701E7"/>
    <w:rsid w:val="00570686"/>
    <w:rsid w:val="00570E89"/>
    <w:rsid w:val="00570F6B"/>
    <w:rsid w:val="005710F7"/>
    <w:rsid w:val="005726D6"/>
    <w:rsid w:val="005726EB"/>
    <w:rsid w:val="00572C21"/>
    <w:rsid w:val="00573D60"/>
    <w:rsid w:val="00575A77"/>
    <w:rsid w:val="00577005"/>
    <w:rsid w:val="00577A53"/>
    <w:rsid w:val="00580580"/>
    <w:rsid w:val="00581F4E"/>
    <w:rsid w:val="00581FD3"/>
    <w:rsid w:val="00582CFB"/>
    <w:rsid w:val="00583F0C"/>
    <w:rsid w:val="00584826"/>
    <w:rsid w:val="00586C58"/>
    <w:rsid w:val="005870E0"/>
    <w:rsid w:val="005905F0"/>
    <w:rsid w:val="0059076B"/>
    <w:rsid w:val="00590C53"/>
    <w:rsid w:val="00590CFD"/>
    <w:rsid w:val="00591673"/>
    <w:rsid w:val="00592384"/>
    <w:rsid w:val="005934E0"/>
    <w:rsid w:val="00594A41"/>
    <w:rsid w:val="00596EF3"/>
    <w:rsid w:val="00597FD1"/>
    <w:rsid w:val="005A0FA9"/>
    <w:rsid w:val="005A1A49"/>
    <w:rsid w:val="005A2145"/>
    <w:rsid w:val="005A2A00"/>
    <w:rsid w:val="005A4B3C"/>
    <w:rsid w:val="005A5584"/>
    <w:rsid w:val="005A5AC7"/>
    <w:rsid w:val="005A5C39"/>
    <w:rsid w:val="005A68F4"/>
    <w:rsid w:val="005A7799"/>
    <w:rsid w:val="005A79BF"/>
    <w:rsid w:val="005A7A3B"/>
    <w:rsid w:val="005A7AB3"/>
    <w:rsid w:val="005A7F2B"/>
    <w:rsid w:val="005B0D54"/>
    <w:rsid w:val="005B0FD9"/>
    <w:rsid w:val="005B1223"/>
    <w:rsid w:val="005B1499"/>
    <w:rsid w:val="005B2DD4"/>
    <w:rsid w:val="005B4652"/>
    <w:rsid w:val="005B470A"/>
    <w:rsid w:val="005B4738"/>
    <w:rsid w:val="005B57FD"/>
    <w:rsid w:val="005B622C"/>
    <w:rsid w:val="005B71F2"/>
    <w:rsid w:val="005B7505"/>
    <w:rsid w:val="005C1674"/>
    <w:rsid w:val="005C18E3"/>
    <w:rsid w:val="005C368A"/>
    <w:rsid w:val="005C3A9E"/>
    <w:rsid w:val="005C3AFE"/>
    <w:rsid w:val="005C4108"/>
    <w:rsid w:val="005C4153"/>
    <w:rsid w:val="005C55B9"/>
    <w:rsid w:val="005C6390"/>
    <w:rsid w:val="005C6D66"/>
    <w:rsid w:val="005C7056"/>
    <w:rsid w:val="005C7343"/>
    <w:rsid w:val="005D0B91"/>
    <w:rsid w:val="005D0FF0"/>
    <w:rsid w:val="005D1B97"/>
    <w:rsid w:val="005D3021"/>
    <w:rsid w:val="005D34A3"/>
    <w:rsid w:val="005D4C37"/>
    <w:rsid w:val="005D53D2"/>
    <w:rsid w:val="005D5E44"/>
    <w:rsid w:val="005D6007"/>
    <w:rsid w:val="005D6A5C"/>
    <w:rsid w:val="005E116D"/>
    <w:rsid w:val="005E2485"/>
    <w:rsid w:val="005E34D3"/>
    <w:rsid w:val="005E3B8F"/>
    <w:rsid w:val="005E586B"/>
    <w:rsid w:val="005E5C7F"/>
    <w:rsid w:val="005E6C7B"/>
    <w:rsid w:val="005E710F"/>
    <w:rsid w:val="005E7554"/>
    <w:rsid w:val="005F17D2"/>
    <w:rsid w:val="005F2AC3"/>
    <w:rsid w:val="005F3AF6"/>
    <w:rsid w:val="005F3C2B"/>
    <w:rsid w:val="005F3D29"/>
    <w:rsid w:val="005F433F"/>
    <w:rsid w:val="005F44BF"/>
    <w:rsid w:val="005F547E"/>
    <w:rsid w:val="005F60D4"/>
    <w:rsid w:val="005F6156"/>
    <w:rsid w:val="005F6C73"/>
    <w:rsid w:val="006008A3"/>
    <w:rsid w:val="00602388"/>
    <w:rsid w:val="0060281A"/>
    <w:rsid w:val="006033FE"/>
    <w:rsid w:val="00603E63"/>
    <w:rsid w:val="00605209"/>
    <w:rsid w:val="006053B8"/>
    <w:rsid w:val="0060645F"/>
    <w:rsid w:val="00606F7E"/>
    <w:rsid w:val="006070D5"/>
    <w:rsid w:val="0060779F"/>
    <w:rsid w:val="00607FB3"/>
    <w:rsid w:val="00612B75"/>
    <w:rsid w:val="00612E52"/>
    <w:rsid w:val="00613062"/>
    <w:rsid w:val="006140DD"/>
    <w:rsid w:val="00614FBE"/>
    <w:rsid w:val="00615741"/>
    <w:rsid w:val="00615789"/>
    <w:rsid w:val="00615B7E"/>
    <w:rsid w:val="00615EFB"/>
    <w:rsid w:val="00617F9E"/>
    <w:rsid w:val="00622506"/>
    <w:rsid w:val="006228F1"/>
    <w:rsid w:val="0062348A"/>
    <w:rsid w:val="0062553A"/>
    <w:rsid w:val="0062656D"/>
    <w:rsid w:val="00630D88"/>
    <w:rsid w:val="00633110"/>
    <w:rsid w:val="00634171"/>
    <w:rsid w:val="006346D5"/>
    <w:rsid w:val="00634CD9"/>
    <w:rsid w:val="00634F0A"/>
    <w:rsid w:val="006355A2"/>
    <w:rsid w:val="006371C1"/>
    <w:rsid w:val="00641981"/>
    <w:rsid w:val="006420E8"/>
    <w:rsid w:val="00642319"/>
    <w:rsid w:val="00642740"/>
    <w:rsid w:val="0064282A"/>
    <w:rsid w:val="00642F9F"/>
    <w:rsid w:val="00643D40"/>
    <w:rsid w:val="006444C7"/>
    <w:rsid w:val="0064467C"/>
    <w:rsid w:val="00644AA5"/>
    <w:rsid w:val="006453D5"/>
    <w:rsid w:val="006458EE"/>
    <w:rsid w:val="00646A61"/>
    <w:rsid w:val="00646B82"/>
    <w:rsid w:val="00647B54"/>
    <w:rsid w:val="00647ED5"/>
    <w:rsid w:val="00650035"/>
    <w:rsid w:val="00652E50"/>
    <w:rsid w:val="00653BA8"/>
    <w:rsid w:val="00654770"/>
    <w:rsid w:val="006560F8"/>
    <w:rsid w:val="00657F05"/>
    <w:rsid w:val="0066253C"/>
    <w:rsid w:val="00663259"/>
    <w:rsid w:val="00664C03"/>
    <w:rsid w:val="006668E3"/>
    <w:rsid w:val="00670006"/>
    <w:rsid w:val="00670607"/>
    <w:rsid w:val="00671A8E"/>
    <w:rsid w:val="00671C65"/>
    <w:rsid w:val="00674453"/>
    <w:rsid w:val="00674995"/>
    <w:rsid w:val="006750C6"/>
    <w:rsid w:val="00675586"/>
    <w:rsid w:val="00675AAE"/>
    <w:rsid w:val="0067671A"/>
    <w:rsid w:val="00676DC1"/>
    <w:rsid w:val="0068023B"/>
    <w:rsid w:val="006803EC"/>
    <w:rsid w:val="0068111F"/>
    <w:rsid w:val="00683028"/>
    <w:rsid w:val="00684167"/>
    <w:rsid w:val="00684A36"/>
    <w:rsid w:val="00684B47"/>
    <w:rsid w:val="00684B8B"/>
    <w:rsid w:val="00685448"/>
    <w:rsid w:val="006870B9"/>
    <w:rsid w:val="0068756F"/>
    <w:rsid w:val="00692745"/>
    <w:rsid w:val="0069376E"/>
    <w:rsid w:val="00693EF9"/>
    <w:rsid w:val="0069545B"/>
    <w:rsid w:val="00695C65"/>
    <w:rsid w:val="00696231"/>
    <w:rsid w:val="006965B8"/>
    <w:rsid w:val="006972B2"/>
    <w:rsid w:val="006A00D9"/>
    <w:rsid w:val="006A0B15"/>
    <w:rsid w:val="006A0CD3"/>
    <w:rsid w:val="006A0E25"/>
    <w:rsid w:val="006A1B78"/>
    <w:rsid w:val="006A26BF"/>
    <w:rsid w:val="006A4451"/>
    <w:rsid w:val="006A4CCB"/>
    <w:rsid w:val="006A5145"/>
    <w:rsid w:val="006A6161"/>
    <w:rsid w:val="006A6F1E"/>
    <w:rsid w:val="006A7457"/>
    <w:rsid w:val="006A7BAD"/>
    <w:rsid w:val="006B2AAA"/>
    <w:rsid w:val="006B3ED8"/>
    <w:rsid w:val="006B6CBE"/>
    <w:rsid w:val="006B6E4E"/>
    <w:rsid w:val="006B78B4"/>
    <w:rsid w:val="006B7ACC"/>
    <w:rsid w:val="006B7CDF"/>
    <w:rsid w:val="006C181F"/>
    <w:rsid w:val="006C2204"/>
    <w:rsid w:val="006C22BC"/>
    <w:rsid w:val="006C3630"/>
    <w:rsid w:val="006C3C45"/>
    <w:rsid w:val="006C3EB3"/>
    <w:rsid w:val="006C3F14"/>
    <w:rsid w:val="006C4DC6"/>
    <w:rsid w:val="006CB5F8"/>
    <w:rsid w:val="006D19E8"/>
    <w:rsid w:val="006D431E"/>
    <w:rsid w:val="006D4DE8"/>
    <w:rsid w:val="006D4FBE"/>
    <w:rsid w:val="006D5DF9"/>
    <w:rsid w:val="006D63D1"/>
    <w:rsid w:val="006D659D"/>
    <w:rsid w:val="006D6838"/>
    <w:rsid w:val="006D6CB4"/>
    <w:rsid w:val="006D7EE8"/>
    <w:rsid w:val="006E1EEF"/>
    <w:rsid w:val="006E2982"/>
    <w:rsid w:val="006E305F"/>
    <w:rsid w:val="006E35C7"/>
    <w:rsid w:val="006E4A1C"/>
    <w:rsid w:val="006E58F8"/>
    <w:rsid w:val="006E5A16"/>
    <w:rsid w:val="006F034D"/>
    <w:rsid w:val="006F360B"/>
    <w:rsid w:val="006F5325"/>
    <w:rsid w:val="006F674F"/>
    <w:rsid w:val="0070000B"/>
    <w:rsid w:val="00700D68"/>
    <w:rsid w:val="00700E23"/>
    <w:rsid w:val="00701288"/>
    <w:rsid w:val="0070168B"/>
    <w:rsid w:val="007041F9"/>
    <w:rsid w:val="00705DAC"/>
    <w:rsid w:val="0070634D"/>
    <w:rsid w:val="007063AA"/>
    <w:rsid w:val="00706942"/>
    <w:rsid w:val="00706A82"/>
    <w:rsid w:val="00707F08"/>
    <w:rsid w:val="00712424"/>
    <w:rsid w:val="00712F02"/>
    <w:rsid w:val="007131C2"/>
    <w:rsid w:val="00713450"/>
    <w:rsid w:val="00713BC5"/>
    <w:rsid w:val="007140F8"/>
    <w:rsid w:val="00714427"/>
    <w:rsid w:val="00714F43"/>
    <w:rsid w:val="00715B47"/>
    <w:rsid w:val="007168A9"/>
    <w:rsid w:val="00716EE5"/>
    <w:rsid w:val="00717345"/>
    <w:rsid w:val="00720938"/>
    <w:rsid w:val="007211BF"/>
    <w:rsid w:val="00721830"/>
    <w:rsid w:val="00721F0B"/>
    <w:rsid w:val="00722EF7"/>
    <w:rsid w:val="007237F4"/>
    <w:rsid w:val="00723979"/>
    <w:rsid w:val="007243C8"/>
    <w:rsid w:val="00724C5E"/>
    <w:rsid w:val="00725105"/>
    <w:rsid w:val="00726357"/>
    <w:rsid w:val="00726F35"/>
    <w:rsid w:val="00727236"/>
    <w:rsid w:val="00730058"/>
    <w:rsid w:val="00730503"/>
    <w:rsid w:val="007307F9"/>
    <w:rsid w:val="00733D54"/>
    <w:rsid w:val="00735693"/>
    <w:rsid w:val="00735748"/>
    <w:rsid w:val="00736295"/>
    <w:rsid w:val="00736B1C"/>
    <w:rsid w:val="00737361"/>
    <w:rsid w:val="00737C45"/>
    <w:rsid w:val="007405DA"/>
    <w:rsid w:val="0074110B"/>
    <w:rsid w:val="0074191A"/>
    <w:rsid w:val="00741A13"/>
    <w:rsid w:val="007426BE"/>
    <w:rsid w:val="007436F6"/>
    <w:rsid w:val="0074473F"/>
    <w:rsid w:val="00744A36"/>
    <w:rsid w:val="00746335"/>
    <w:rsid w:val="007464D4"/>
    <w:rsid w:val="00747524"/>
    <w:rsid w:val="007502F1"/>
    <w:rsid w:val="00751F26"/>
    <w:rsid w:val="00754120"/>
    <w:rsid w:val="0075434C"/>
    <w:rsid w:val="00754E04"/>
    <w:rsid w:val="007558FC"/>
    <w:rsid w:val="00755ECC"/>
    <w:rsid w:val="00756560"/>
    <w:rsid w:val="007569A8"/>
    <w:rsid w:val="00757A5C"/>
    <w:rsid w:val="007607B1"/>
    <w:rsid w:val="00760816"/>
    <w:rsid w:val="00762F5B"/>
    <w:rsid w:val="007634A1"/>
    <w:rsid w:val="007649D1"/>
    <w:rsid w:val="00764C87"/>
    <w:rsid w:val="0076509A"/>
    <w:rsid w:val="00765C3F"/>
    <w:rsid w:val="00770C67"/>
    <w:rsid w:val="007724FB"/>
    <w:rsid w:val="0077280E"/>
    <w:rsid w:val="00773FD0"/>
    <w:rsid w:val="007769B8"/>
    <w:rsid w:val="00777065"/>
    <w:rsid w:val="007779A1"/>
    <w:rsid w:val="00780A87"/>
    <w:rsid w:val="00781C7E"/>
    <w:rsid w:val="0078283C"/>
    <w:rsid w:val="00783E75"/>
    <w:rsid w:val="007841E9"/>
    <w:rsid w:val="00785C7F"/>
    <w:rsid w:val="00786D38"/>
    <w:rsid w:val="00786F21"/>
    <w:rsid w:val="00787621"/>
    <w:rsid w:val="007879FD"/>
    <w:rsid w:val="00790A70"/>
    <w:rsid w:val="00790EEE"/>
    <w:rsid w:val="0079196A"/>
    <w:rsid w:val="00793894"/>
    <w:rsid w:val="00793AD9"/>
    <w:rsid w:val="00793B75"/>
    <w:rsid w:val="00793D89"/>
    <w:rsid w:val="007971CD"/>
    <w:rsid w:val="0079745A"/>
    <w:rsid w:val="007977A9"/>
    <w:rsid w:val="007978DC"/>
    <w:rsid w:val="007A0B01"/>
    <w:rsid w:val="007A150F"/>
    <w:rsid w:val="007A1BB7"/>
    <w:rsid w:val="007A1E1B"/>
    <w:rsid w:val="007A2479"/>
    <w:rsid w:val="007A5411"/>
    <w:rsid w:val="007A578E"/>
    <w:rsid w:val="007A6BB3"/>
    <w:rsid w:val="007A6F16"/>
    <w:rsid w:val="007A7D56"/>
    <w:rsid w:val="007B01DF"/>
    <w:rsid w:val="007B07B2"/>
    <w:rsid w:val="007B1830"/>
    <w:rsid w:val="007B1D4D"/>
    <w:rsid w:val="007B2101"/>
    <w:rsid w:val="007B21B3"/>
    <w:rsid w:val="007B24CE"/>
    <w:rsid w:val="007B43B7"/>
    <w:rsid w:val="007B4D97"/>
    <w:rsid w:val="007B526E"/>
    <w:rsid w:val="007B5422"/>
    <w:rsid w:val="007B63F1"/>
    <w:rsid w:val="007B6C0B"/>
    <w:rsid w:val="007B7F34"/>
    <w:rsid w:val="007C0C0A"/>
    <w:rsid w:val="007C0C24"/>
    <w:rsid w:val="007C10E6"/>
    <w:rsid w:val="007C1E93"/>
    <w:rsid w:val="007C22A4"/>
    <w:rsid w:val="007C412D"/>
    <w:rsid w:val="007C6B74"/>
    <w:rsid w:val="007D0680"/>
    <w:rsid w:val="007D09C9"/>
    <w:rsid w:val="007D14F7"/>
    <w:rsid w:val="007D15D3"/>
    <w:rsid w:val="007D1904"/>
    <w:rsid w:val="007D223E"/>
    <w:rsid w:val="007D2BD3"/>
    <w:rsid w:val="007D2E23"/>
    <w:rsid w:val="007D37E3"/>
    <w:rsid w:val="007D45C9"/>
    <w:rsid w:val="007D4B52"/>
    <w:rsid w:val="007D5E57"/>
    <w:rsid w:val="007D66AC"/>
    <w:rsid w:val="007D7055"/>
    <w:rsid w:val="007E0893"/>
    <w:rsid w:val="007E1963"/>
    <w:rsid w:val="007E1CDA"/>
    <w:rsid w:val="007E1F16"/>
    <w:rsid w:val="007E2699"/>
    <w:rsid w:val="007E2D7B"/>
    <w:rsid w:val="007E2F6F"/>
    <w:rsid w:val="007E51AE"/>
    <w:rsid w:val="007E5769"/>
    <w:rsid w:val="007E65BF"/>
    <w:rsid w:val="007E6760"/>
    <w:rsid w:val="007E6BA5"/>
    <w:rsid w:val="007E71BA"/>
    <w:rsid w:val="007E7EC0"/>
    <w:rsid w:val="007F04EE"/>
    <w:rsid w:val="007F0558"/>
    <w:rsid w:val="007F0EF7"/>
    <w:rsid w:val="007F0FF6"/>
    <w:rsid w:val="007F1196"/>
    <w:rsid w:val="007F15C1"/>
    <w:rsid w:val="007F3C1B"/>
    <w:rsid w:val="007F44DF"/>
    <w:rsid w:val="007F45F6"/>
    <w:rsid w:val="007F5288"/>
    <w:rsid w:val="007F53B6"/>
    <w:rsid w:val="007F7952"/>
    <w:rsid w:val="007F7BC9"/>
    <w:rsid w:val="0080388E"/>
    <w:rsid w:val="00804728"/>
    <w:rsid w:val="0080498E"/>
    <w:rsid w:val="008049D6"/>
    <w:rsid w:val="0080549F"/>
    <w:rsid w:val="00805AFA"/>
    <w:rsid w:val="008079CB"/>
    <w:rsid w:val="00810048"/>
    <w:rsid w:val="008104FD"/>
    <w:rsid w:val="00810D82"/>
    <w:rsid w:val="0081119A"/>
    <w:rsid w:val="00812296"/>
    <w:rsid w:val="00813F58"/>
    <w:rsid w:val="00814DC5"/>
    <w:rsid w:val="00814DD4"/>
    <w:rsid w:val="008159E5"/>
    <w:rsid w:val="00815F45"/>
    <w:rsid w:val="00816188"/>
    <w:rsid w:val="00816C0E"/>
    <w:rsid w:val="00816DE7"/>
    <w:rsid w:val="00816E75"/>
    <w:rsid w:val="0081777E"/>
    <w:rsid w:val="0081796B"/>
    <w:rsid w:val="00820261"/>
    <w:rsid w:val="008205F9"/>
    <w:rsid w:val="0082263D"/>
    <w:rsid w:val="00822C59"/>
    <w:rsid w:val="00823AA6"/>
    <w:rsid w:val="00824D3D"/>
    <w:rsid w:val="008251F1"/>
    <w:rsid w:val="008254AA"/>
    <w:rsid w:val="0082571F"/>
    <w:rsid w:val="008276D0"/>
    <w:rsid w:val="008304BE"/>
    <w:rsid w:val="008310E5"/>
    <w:rsid w:val="00831686"/>
    <w:rsid w:val="00832751"/>
    <w:rsid w:val="00832CE4"/>
    <w:rsid w:val="00832D7F"/>
    <w:rsid w:val="0083316C"/>
    <w:rsid w:val="008336C9"/>
    <w:rsid w:val="00833BCC"/>
    <w:rsid w:val="00836C8E"/>
    <w:rsid w:val="0083761F"/>
    <w:rsid w:val="008377F4"/>
    <w:rsid w:val="00840308"/>
    <w:rsid w:val="00841006"/>
    <w:rsid w:val="008422CE"/>
    <w:rsid w:val="00842899"/>
    <w:rsid w:val="00844EB5"/>
    <w:rsid w:val="0084523B"/>
    <w:rsid w:val="008469C0"/>
    <w:rsid w:val="00847F8D"/>
    <w:rsid w:val="008507E0"/>
    <w:rsid w:val="00850AE2"/>
    <w:rsid w:val="00851215"/>
    <w:rsid w:val="0085139D"/>
    <w:rsid w:val="00851754"/>
    <w:rsid w:val="00851A8C"/>
    <w:rsid w:val="008521B9"/>
    <w:rsid w:val="0085229D"/>
    <w:rsid w:val="0085262C"/>
    <w:rsid w:val="00852E4A"/>
    <w:rsid w:val="008539D9"/>
    <w:rsid w:val="00853BC4"/>
    <w:rsid w:val="0085434A"/>
    <w:rsid w:val="00854526"/>
    <w:rsid w:val="00855B8B"/>
    <w:rsid w:val="00855F6B"/>
    <w:rsid w:val="0086053F"/>
    <w:rsid w:val="0086093A"/>
    <w:rsid w:val="00861002"/>
    <w:rsid w:val="00861B4F"/>
    <w:rsid w:val="00863048"/>
    <w:rsid w:val="00863567"/>
    <w:rsid w:val="00863692"/>
    <w:rsid w:val="008643B5"/>
    <w:rsid w:val="008645AC"/>
    <w:rsid w:val="00864ED8"/>
    <w:rsid w:val="00865200"/>
    <w:rsid w:val="00865DD1"/>
    <w:rsid w:val="00867CD6"/>
    <w:rsid w:val="00867F7C"/>
    <w:rsid w:val="0087386B"/>
    <w:rsid w:val="00873B65"/>
    <w:rsid w:val="008744A3"/>
    <w:rsid w:val="0087477C"/>
    <w:rsid w:val="00875559"/>
    <w:rsid w:val="008763CD"/>
    <w:rsid w:val="00877584"/>
    <w:rsid w:val="00877A4A"/>
    <w:rsid w:val="0088110E"/>
    <w:rsid w:val="00882A53"/>
    <w:rsid w:val="0088342B"/>
    <w:rsid w:val="008847FC"/>
    <w:rsid w:val="00884F33"/>
    <w:rsid w:val="00885212"/>
    <w:rsid w:val="008852AB"/>
    <w:rsid w:val="00885721"/>
    <w:rsid w:val="008874E8"/>
    <w:rsid w:val="00887680"/>
    <w:rsid w:val="0088794B"/>
    <w:rsid w:val="008879BE"/>
    <w:rsid w:val="008906D5"/>
    <w:rsid w:val="0089082A"/>
    <w:rsid w:val="008915C6"/>
    <w:rsid w:val="00891F82"/>
    <w:rsid w:val="00894042"/>
    <w:rsid w:val="00895A7A"/>
    <w:rsid w:val="008967C3"/>
    <w:rsid w:val="008978CE"/>
    <w:rsid w:val="008A0362"/>
    <w:rsid w:val="008A1286"/>
    <w:rsid w:val="008A1C22"/>
    <w:rsid w:val="008A2075"/>
    <w:rsid w:val="008A2C1F"/>
    <w:rsid w:val="008A35BE"/>
    <w:rsid w:val="008A382F"/>
    <w:rsid w:val="008A49B5"/>
    <w:rsid w:val="008A5C29"/>
    <w:rsid w:val="008A7E9C"/>
    <w:rsid w:val="008ACBE7"/>
    <w:rsid w:val="008B19EF"/>
    <w:rsid w:val="008B2BE2"/>
    <w:rsid w:val="008B3160"/>
    <w:rsid w:val="008B3BE5"/>
    <w:rsid w:val="008B4F36"/>
    <w:rsid w:val="008B5724"/>
    <w:rsid w:val="008B5F10"/>
    <w:rsid w:val="008B7275"/>
    <w:rsid w:val="008B7429"/>
    <w:rsid w:val="008B7A52"/>
    <w:rsid w:val="008C150A"/>
    <w:rsid w:val="008C16D1"/>
    <w:rsid w:val="008C1E28"/>
    <w:rsid w:val="008C29E0"/>
    <w:rsid w:val="008C31CE"/>
    <w:rsid w:val="008C31FF"/>
    <w:rsid w:val="008C418C"/>
    <w:rsid w:val="008C4F3D"/>
    <w:rsid w:val="008C64B2"/>
    <w:rsid w:val="008C6913"/>
    <w:rsid w:val="008C6AFF"/>
    <w:rsid w:val="008C7526"/>
    <w:rsid w:val="008D0279"/>
    <w:rsid w:val="008D2151"/>
    <w:rsid w:val="008D3D66"/>
    <w:rsid w:val="008D4A4B"/>
    <w:rsid w:val="008D4FEB"/>
    <w:rsid w:val="008E0640"/>
    <w:rsid w:val="008E2AE4"/>
    <w:rsid w:val="008E3771"/>
    <w:rsid w:val="008E404B"/>
    <w:rsid w:val="008E43AE"/>
    <w:rsid w:val="008E4ECD"/>
    <w:rsid w:val="008E513C"/>
    <w:rsid w:val="008E5870"/>
    <w:rsid w:val="008E5D2B"/>
    <w:rsid w:val="008E631C"/>
    <w:rsid w:val="008F0A7C"/>
    <w:rsid w:val="008F1978"/>
    <w:rsid w:val="008F1F68"/>
    <w:rsid w:val="008F32D8"/>
    <w:rsid w:val="008F3404"/>
    <w:rsid w:val="008F3460"/>
    <w:rsid w:val="008F4DF1"/>
    <w:rsid w:val="008F507F"/>
    <w:rsid w:val="008F5859"/>
    <w:rsid w:val="008F5A73"/>
    <w:rsid w:val="008F64F0"/>
    <w:rsid w:val="008F7E07"/>
    <w:rsid w:val="0090214E"/>
    <w:rsid w:val="00902882"/>
    <w:rsid w:val="00903528"/>
    <w:rsid w:val="00903A46"/>
    <w:rsid w:val="009042FF"/>
    <w:rsid w:val="00904C5E"/>
    <w:rsid w:val="0090665B"/>
    <w:rsid w:val="009067A8"/>
    <w:rsid w:val="009076A3"/>
    <w:rsid w:val="00907CDC"/>
    <w:rsid w:val="009104CE"/>
    <w:rsid w:val="00912ECD"/>
    <w:rsid w:val="009130B4"/>
    <w:rsid w:val="00915155"/>
    <w:rsid w:val="009168F5"/>
    <w:rsid w:val="0091701B"/>
    <w:rsid w:val="00917A0F"/>
    <w:rsid w:val="00917FBA"/>
    <w:rsid w:val="00920E8A"/>
    <w:rsid w:val="00921A00"/>
    <w:rsid w:val="00921F87"/>
    <w:rsid w:val="00922909"/>
    <w:rsid w:val="009235A6"/>
    <w:rsid w:val="00923949"/>
    <w:rsid w:val="0092594A"/>
    <w:rsid w:val="00931D1C"/>
    <w:rsid w:val="009332E0"/>
    <w:rsid w:val="0093446F"/>
    <w:rsid w:val="00934BDB"/>
    <w:rsid w:val="00937618"/>
    <w:rsid w:val="00940084"/>
    <w:rsid w:val="009402AE"/>
    <w:rsid w:val="00941D06"/>
    <w:rsid w:val="00942FAF"/>
    <w:rsid w:val="00943500"/>
    <w:rsid w:val="00943E4B"/>
    <w:rsid w:val="00944118"/>
    <w:rsid w:val="009445D3"/>
    <w:rsid w:val="009457DB"/>
    <w:rsid w:val="00945FE9"/>
    <w:rsid w:val="009463C9"/>
    <w:rsid w:val="00947AC9"/>
    <w:rsid w:val="00950BE6"/>
    <w:rsid w:val="009546E8"/>
    <w:rsid w:val="00954934"/>
    <w:rsid w:val="00956E80"/>
    <w:rsid w:val="00960A34"/>
    <w:rsid w:val="0096166B"/>
    <w:rsid w:val="009622E9"/>
    <w:rsid w:val="00962BAB"/>
    <w:rsid w:val="00965C4A"/>
    <w:rsid w:val="009661BE"/>
    <w:rsid w:val="00966F94"/>
    <w:rsid w:val="00970610"/>
    <w:rsid w:val="00970923"/>
    <w:rsid w:val="00971866"/>
    <w:rsid w:val="00973140"/>
    <w:rsid w:val="00973F9B"/>
    <w:rsid w:val="009750A1"/>
    <w:rsid w:val="009750C4"/>
    <w:rsid w:val="009764DF"/>
    <w:rsid w:val="00981FEB"/>
    <w:rsid w:val="009822FD"/>
    <w:rsid w:val="00982A96"/>
    <w:rsid w:val="00982FD4"/>
    <w:rsid w:val="0098369E"/>
    <w:rsid w:val="00984DF9"/>
    <w:rsid w:val="00985000"/>
    <w:rsid w:val="00985907"/>
    <w:rsid w:val="009859AA"/>
    <w:rsid w:val="00985E4F"/>
    <w:rsid w:val="0098620F"/>
    <w:rsid w:val="009864BA"/>
    <w:rsid w:val="00986AAC"/>
    <w:rsid w:val="00986EE1"/>
    <w:rsid w:val="00987187"/>
    <w:rsid w:val="00987D0C"/>
    <w:rsid w:val="009901D4"/>
    <w:rsid w:val="00990A1E"/>
    <w:rsid w:val="00990E45"/>
    <w:rsid w:val="0099224D"/>
    <w:rsid w:val="00992894"/>
    <w:rsid w:val="009939E2"/>
    <w:rsid w:val="0099450C"/>
    <w:rsid w:val="00995A3D"/>
    <w:rsid w:val="009962E8"/>
    <w:rsid w:val="0099665B"/>
    <w:rsid w:val="009967EC"/>
    <w:rsid w:val="009970D7"/>
    <w:rsid w:val="0099741F"/>
    <w:rsid w:val="009A39DB"/>
    <w:rsid w:val="009A4FD4"/>
    <w:rsid w:val="009A5866"/>
    <w:rsid w:val="009A587B"/>
    <w:rsid w:val="009A5897"/>
    <w:rsid w:val="009A58A3"/>
    <w:rsid w:val="009A5B86"/>
    <w:rsid w:val="009A7401"/>
    <w:rsid w:val="009A7B4F"/>
    <w:rsid w:val="009A7D99"/>
    <w:rsid w:val="009B1F81"/>
    <w:rsid w:val="009B2EC6"/>
    <w:rsid w:val="009B3046"/>
    <w:rsid w:val="009B3A1C"/>
    <w:rsid w:val="009B416C"/>
    <w:rsid w:val="009B4386"/>
    <w:rsid w:val="009B4AA1"/>
    <w:rsid w:val="009C04CB"/>
    <w:rsid w:val="009C0853"/>
    <w:rsid w:val="009C0C65"/>
    <w:rsid w:val="009C15D4"/>
    <w:rsid w:val="009C47B5"/>
    <w:rsid w:val="009C4E93"/>
    <w:rsid w:val="009C679B"/>
    <w:rsid w:val="009C6B77"/>
    <w:rsid w:val="009C6CA5"/>
    <w:rsid w:val="009C734A"/>
    <w:rsid w:val="009C76B1"/>
    <w:rsid w:val="009C7DA3"/>
    <w:rsid w:val="009D04E5"/>
    <w:rsid w:val="009D051E"/>
    <w:rsid w:val="009D0A09"/>
    <w:rsid w:val="009D0AEF"/>
    <w:rsid w:val="009D20B9"/>
    <w:rsid w:val="009D288D"/>
    <w:rsid w:val="009D452E"/>
    <w:rsid w:val="009D4B69"/>
    <w:rsid w:val="009D68C9"/>
    <w:rsid w:val="009E11A8"/>
    <w:rsid w:val="009E1FD0"/>
    <w:rsid w:val="009E25DC"/>
    <w:rsid w:val="009E3E23"/>
    <w:rsid w:val="009E4C17"/>
    <w:rsid w:val="009E5693"/>
    <w:rsid w:val="009E6C60"/>
    <w:rsid w:val="009E7761"/>
    <w:rsid w:val="009F0430"/>
    <w:rsid w:val="009F0475"/>
    <w:rsid w:val="009F1468"/>
    <w:rsid w:val="009F1A99"/>
    <w:rsid w:val="009F4C11"/>
    <w:rsid w:val="009F4D8E"/>
    <w:rsid w:val="009F62C8"/>
    <w:rsid w:val="009F6364"/>
    <w:rsid w:val="009F711E"/>
    <w:rsid w:val="00A00AE9"/>
    <w:rsid w:val="00A00C90"/>
    <w:rsid w:val="00A0200B"/>
    <w:rsid w:val="00A021E3"/>
    <w:rsid w:val="00A03032"/>
    <w:rsid w:val="00A03A69"/>
    <w:rsid w:val="00A046EB"/>
    <w:rsid w:val="00A06875"/>
    <w:rsid w:val="00A07248"/>
    <w:rsid w:val="00A075D7"/>
    <w:rsid w:val="00A0787D"/>
    <w:rsid w:val="00A11F27"/>
    <w:rsid w:val="00A1275D"/>
    <w:rsid w:val="00A12A9B"/>
    <w:rsid w:val="00A12F0A"/>
    <w:rsid w:val="00A14556"/>
    <w:rsid w:val="00A151EA"/>
    <w:rsid w:val="00A15FAD"/>
    <w:rsid w:val="00A2020F"/>
    <w:rsid w:val="00A215BF"/>
    <w:rsid w:val="00A21BDB"/>
    <w:rsid w:val="00A21C5C"/>
    <w:rsid w:val="00A22817"/>
    <w:rsid w:val="00A22EC1"/>
    <w:rsid w:val="00A244DE"/>
    <w:rsid w:val="00A24AA5"/>
    <w:rsid w:val="00A2517C"/>
    <w:rsid w:val="00A25605"/>
    <w:rsid w:val="00A258A6"/>
    <w:rsid w:val="00A25AD4"/>
    <w:rsid w:val="00A25DD0"/>
    <w:rsid w:val="00A26824"/>
    <w:rsid w:val="00A26C47"/>
    <w:rsid w:val="00A2729D"/>
    <w:rsid w:val="00A273A9"/>
    <w:rsid w:val="00A27548"/>
    <w:rsid w:val="00A3052C"/>
    <w:rsid w:val="00A310EC"/>
    <w:rsid w:val="00A31BD1"/>
    <w:rsid w:val="00A33A14"/>
    <w:rsid w:val="00A34F8F"/>
    <w:rsid w:val="00A3610E"/>
    <w:rsid w:val="00A366E2"/>
    <w:rsid w:val="00A367A6"/>
    <w:rsid w:val="00A36985"/>
    <w:rsid w:val="00A36FDD"/>
    <w:rsid w:val="00A373E6"/>
    <w:rsid w:val="00A37CBD"/>
    <w:rsid w:val="00A44D9A"/>
    <w:rsid w:val="00A453DF"/>
    <w:rsid w:val="00A45AEA"/>
    <w:rsid w:val="00A46812"/>
    <w:rsid w:val="00A4740E"/>
    <w:rsid w:val="00A47C9F"/>
    <w:rsid w:val="00A50838"/>
    <w:rsid w:val="00A50BAE"/>
    <w:rsid w:val="00A50C4B"/>
    <w:rsid w:val="00A50E29"/>
    <w:rsid w:val="00A51648"/>
    <w:rsid w:val="00A51C23"/>
    <w:rsid w:val="00A52C74"/>
    <w:rsid w:val="00A53EAB"/>
    <w:rsid w:val="00A53FD1"/>
    <w:rsid w:val="00A541A5"/>
    <w:rsid w:val="00A5485F"/>
    <w:rsid w:val="00A54A2E"/>
    <w:rsid w:val="00A54D76"/>
    <w:rsid w:val="00A550B9"/>
    <w:rsid w:val="00A55854"/>
    <w:rsid w:val="00A55C33"/>
    <w:rsid w:val="00A56D54"/>
    <w:rsid w:val="00A6125B"/>
    <w:rsid w:val="00A62ACE"/>
    <w:rsid w:val="00A63E74"/>
    <w:rsid w:val="00A641E7"/>
    <w:rsid w:val="00A65A05"/>
    <w:rsid w:val="00A6674C"/>
    <w:rsid w:val="00A67AD5"/>
    <w:rsid w:val="00A70594"/>
    <w:rsid w:val="00A70722"/>
    <w:rsid w:val="00A713FC"/>
    <w:rsid w:val="00A726BC"/>
    <w:rsid w:val="00A72779"/>
    <w:rsid w:val="00A731E4"/>
    <w:rsid w:val="00A73C5E"/>
    <w:rsid w:val="00A742CD"/>
    <w:rsid w:val="00A747A4"/>
    <w:rsid w:val="00A75255"/>
    <w:rsid w:val="00A7692F"/>
    <w:rsid w:val="00A76AAC"/>
    <w:rsid w:val="00A76C8D"/>
    <w:rsid w:val="00A80123"/>
    <w:rsid w:val="00A80717"/>
    <w:rsid w:val="00A8083F"/>
    <w:rsid w:val="00A80A20"/>
    <w:rsid w:val="00A814B3"/>
    <w:rsid w:val="00A8168A"/>
    <w:rsid w:val="00A82995"/>
    <w:rsid w:val="00A8339B"/>
    <w:rsid w:val="00A83604"/>
    <w:rsid w:val="00A84262"/>
    <w:rsid w:val="00A86BB4"/>
    <w:rsid w:val="00A9120A"/>
    <w:rsid w:val="00A91CFA"/>
    <w:rsid w:val="00A92CC1"/>
    <w:rsid w:val="00A9351C"/>
    <w:rsid w:val="00A9461B"/>
    <w:rsid w:val="00A94B20"/>
    <w:rsid w:val="00A96F96"/>
    <w:rsid w:val="00A97E93"/>
    <w:rsid w:val="00AA1CE8"/>
    <w:rsid w:val="00AA273A"/>
    <w:rsid w:val="00AA3515"/>
    <w:rsid w:val="00AA381E"/>
    <w:rsid w:val="00AA3BBD"/>
    <w:rsid w:val="00AA5033"/>
    <w:rsid w:val="00AA5DC9"/>
    <w:rsid w:val="00AA738D"/>
    <w:rsid w:val="00AA7A43"/>
    <w:rsid w:val="00AA7B42"/>
    <w:rsid w:val="00AB0644"/>
    <w:rsid w:val="00AB0BC9"/>
    <w:rsid w:val="00AB16BD"/>
    <w:rsid w:val="00AB3BF7"/>
    <w:rsid w:val="00AB5425"/>
    <w:rsid w:val="00AB58D3"/>
    <w:rsid w:val="00AB5A7D"/>
    <w:rsid w:val="00AB5AF3"/>
    <w:rsid w:val="00AB756B"/>
    <w:rsid w:val="00AC12F0"/>
    <w:rsid w:val="00AC1743"/>
    <w:rsid w:val="00AC24E4"/>
    <w:rsid w:val="00AC2CF1"/>
    <w:rsid w:val="00AC5C86"/>
    <w:rsid w:val="00AC66D9"/>
    <w:rsid w:val="00AC78F3"/>
    <w:rsid w:val="00AD1659"/>
    <w:rsid w:val="00AD197B"/>
    <w:rsid w:val="00AD1A3D"/>
    <w:rsid w:val="00AD3915"/>
    <w:rsid w:val="00AD391F"/>
    <w:rsid w:val="00AD3A1C"/>
    <w:rsid w:val="00AD518F"/>
    <w:rsid w:val="00AD5267"/>
    <w:rsid w:val="00AD5558"/>
    <w:rsid w:val="00AD7AB2"/>
    <w:rsid w:val="00AE0DB5"/>
    <w:rsid w:val="00AE1075"/>
    <w:rsid w:val="00AE15BB"/>
    <w:rsid w:val="00AE2301"/>
    <w:rsid w:val="00AE2907"/>
    <w:rsid w:val="00AE2FDD"/>
    <w:rsid w:val="00AE367F"/>
    <w:rsid w:val="00AE38CF"/>
    <w:rsid w:val="00AE4A83"/>
    <w:rsid w:val="00AE4E16"/>
    <w:rsid w:val="00AE5AD8"/>
    <w:rsid w:val="00AE6993"/>
    <w:rsid w:val="00AE6D41"/>
    <w:rsid w:val="00AE77E3"/>
    <w:rsid w:val="00AF00FB"/>
    <w:rsid w:val="00AF0AD3"/>
    <w:rsid w:val="00AF141D"/>
    <w:rsid w:val="00AF1CE5"/>
    <w:rsid w:val="00AF1F5A"/>
    <w:rsid w:val="00AF3AAA"/>
    <w:rsid w:val="00AF3B9D"/>
    <w:rsid w:val="00AF3E07"/>
    <w:rsid w:val="00AF44F4"/>
    <w:rsid w:val="00AF6073"/>
    <w:rsid w:val="00B00CC4"/>
    <w:rsid w:val="00B00D19"/>
    <w:rsid w:val="00B00FE5"/>
    <w:rsid w:val="00B024B2"/>
    <w:rsid w:val="00B0361E"/>
    <w:rsid w:val="00B04FA6"/>
    <w:rsid w:val="00B05A6C"/>
    <w:rsid w:val="00B05CF4"/>
    <w:rsid w:val="00B07977"/>
    <w:rsid w:val="00B11364"/>
    <w:rsid w:val="00B11B5A"/>
    <w:rsid w:val="00B11DB4"/>
    <w:rsid w:val="00B124DF"/>
    <w:rsid w:val="00B124E2"/>
    <w:rsid w:val="00B1369E"/>
    <w:rsid w:val="00B1439C"/>
    <w:rsid w:val="00B14B25"/>
    <w:rsid w:val="00B14FF4"/>
    <w:rsid w:val="00B15622"/>
    <w:rsid w:val="00B157BA"/>
    <w:rsid w:val="00B16D07"/>
    <w:rsid w:val="00B20C13"/>
    <w:rsid w:val="00B24B64"/>
    <w:rsid w:val="00B24EFF"/>
    <w:rsid w:val="00B251A4"/>
    <w:rsid w:val="00B25830"/>
    <w:rsid w:val="00B270EC"/>
    <w:rsid w:val="00B273DE"/>
    <w:rsid w:val="00B27824"/>
    <w:rsid w:val="00B27EBF"/>
    <w:rsid w:val="00B309FA"/>
    <w:rsid w:val="00B315F8"/>
    <w:rsid w:val="00B32261"/>
    <w:rsid w:val="00B327C7"/>
    <w:rsid w:val="00B32DC0"/>
    <w:rsid w:val="00B32E28"/>
    <w:rsid w:val="00B33F11"/>
    <w:rsid w:val="00B344DB"/>
    <w:rsid w:val="00B34DFA"/>
    <w:rsid w:val="00B37F09"/>
    <w:rsid w:val="00B40140"/>
    <w:rsid w:val="00B40624"/>
    <w:rsid w:val="00B40AF8"/>
    <w:rsid w:val="00B40F2E"/>
    <w:rsid w:val="00B42867"/>
    <w:rsid w:val="00B437AE"/>
    <w:rsid w:val="00B44184"/>
    <w:rsid w:val="00B46208"/>
    <w:rsid w:val="00B46279"/>
    <w:rsid w:val="00B462B8"/>
    <w:rsid w:val="00B46D3F"/>
    <w:rsid w:val="00B4764A"/>
    <w:rsid w:val="00B50E2B"/>
    <w:rsid w:val="00B51093"/>
    <w:rsid w:val="00B517EE"/>
    <w:rsid w:val="00B52DEB"/>
    <w:rsid w:val="00B531AA"/>
    <w:rsid w:val="00B53918"/>
    <w:rsid w:val="00B54540"/>
    <w:rsid w:val="00B55AF7"/>
    <w:rsid w:val="00B60EF0"/>
    <w:rsid w:val="00B611C5"/>
    <w:rsid w:val="00B619B5"/>
    <w:rsid w:val="00B61D47"/>
    <w:rsid w:val="00B62E78"/>
    <w:rsid w:val="00B66C8E"/>
    <w:rsid w:val="00B6765E"/>
    <w:rsid w:val="00B67C38"/>
    <w:rsid w:val="00B70BE0"/>
    <w:rsid w:val="00B71EF6"/>
    <w:rsid w:val="00B7305B"/>
    <w:rsid w:val="00B73CF7"/>
    <w:rsid w:val="00B74788"/>
    <w:rsid w:val="00B74A7C"/>
    <w:rsid w:val="00B750C0"/>
    <w:rsid w:val="00B76D86"/>
    <w:rsid w:val="00B80581"/>
    <w:rsid w:val="00B808B7"/>
    <w:rsid w:val="00B80EE4"/>
    <w:rsid w:val="00B82905"/>
    <w:rsid w:val="00B844E4"/>
    <w:rsid w:val="00B84506"/>
    <w:rsid w:val="00B87B4B"/>
    <w:rsid w:val="00B90C87"/>
    <w:rsid w:val="00B91A99"/>
    <w:rsid w:val="00B9236D"/>
    <w:rsid w:val="00B92530"/>
    <w:rsid w:val="00B94316"/>
    <w:rsid w:val="00B95237"/>
    <w:rsid w:val="00B957FE"/>
    <w:rsid w:val="00B97188"/>
    <w:rsid w:val="00BA1206"/>
    <w:rsid w:val="00BA12A1"/>
    <w:rsid w:val="00BA188D"/>
    <w:rsid w:val="00BA2D20"/>
    <w:rsid w:val="00BA2E96"/>
    <w:rsid w:val="00BA2F88"/>
    <w:rsid w:val="00BA3464"/>
    <w:rsid w:val="00BA5084"/>
    <w:rsid w:val="00BA5128"/>
    <w:rsid w:val="00BB0506"/>
    <w:rsid w:val="00BB21D5"/>
    <w:rsid w:val="00BB26BF"/>
    <w:rsid w:val="00BB3522"/>
    <w:rsid w:val="00BB49A8"/>
    <w:rsid w:val="00BB51F6"/>
    <w:rsid w:val="00BB723C"/>
    <w:rsid w:val="00BC0476"/>
    <w:rsid w:val="00BC0E2E"/>
    <w:rsid w:val="00BC1299"/>
    <w:rsid w:val="00BC1752"/>
    <w:rsid w:val="00BC18B4"/>
    <w:rsid w:val="00BC27E0"/>
    <w:rsid w:val="00BC2FAC"/>
    <w:rsid w:val="00BC2FFF"/>
    <w:rsid w:val="00BC37A4"/>
    <w:rsid w:val="00BC3A35"/>
    <w:rsid w:val="00BC3CE7"/>
    <w:rsid w:val="00BC4106"/>
    <w:rsid w:val="00BC46FD"/>
    <w:rsid w:val="00BC49A9"/>
    <w:rsid w:val="00BC4D89"/>
    <w:rsid w:val="00BC56A0"/>
    <w:rsid w:val="00BC5EC1"/>
    <w:rsid w:val="00BC5FD6"/>
    <w:rsid w:val="00BC7579"/>
    <w:rsid w:val="00BC7AFF"/>
    <w:rsid w:val="00BD291A"/>
    <w:rsid w:val="00BD36AE"/>
    <w:rsid w:val="00BD4AAC"/>
    <w:rsid w:val="00BD6311"/>
    <w:rsid w:val="00BD66AD"/>
    <w:rsid w:val="00BD6F33"/>
    <w:rsid w:val="00BD715A"/>
    <w:rsid w:val="00BD73C7"/>
    <w:rsid w:val="00BD78C2"/>
    <w:rsid w:val="00BE0AF2"/>
    <w:rsid w:val="00BE152F"/>
    <w:rsid w:val="00BE2838"/>
    <w:rsid w:val="00BE31C2"/>
    <w:rsid w:val="00BE44D3"/>
    <w:rsid w:val="00BE6637"/>
    <w:rsid w:val="00BE74C6"/>
    <w:rsid w:val="00BE7F9E"/>
    <w:rsid w:val="00BF0B1D"/>
    <w:rsid w:val="00BF1465"/>
    <w:rsid w:val="00BF19DA"/>
    <w:rsid w:val="00BF1F4F"/>
    <w:rsid w:val="00BF33ED"/>
    <w:rsid w:val="00BF3A66"/>
    <w:rsid w:val="00BF4566"/>
    <w:rsid w:val="00C008F7"/>
    <w:rsid w:val="00C020DB"/>
    <w:rsid w:val="00C02474"/>
    <w:rsid w:val="00C02A3E"/>
    <w:rsid w:val="00C03140"/>
    <w:rsid w:val="00C04F73"/>
    <w:rsid w:val="00C07C6E"/>
    <w:rsid w:val="00C10C4C"/>
    <w:rsid w:val="00C10DC9"/>
    <w:rsid w:val="00C11784"/>
    <w:rsid w:val="00C11A03"/>
    <w:rsid w:val="00C13007"/>
    <w:rsid w:val="00C13015"/>
    <w:rsid w:val="00C13315"/>
    <w:rsid w:val="00C14355"/>
    <w:rsid w:val="00C14A12"/>
    <w:rsid w:val="00C14C95"/>
    <w:rsid w:val="00C1551B"/>
    <w:rsid w:val="00C15C19"/>
    <w:rsid w:val="00C1614F"/>
    <w:rsid w:val="00C1627C"/>
    <w:rsid w:val="00C16FCA"/>
    <w:rsid w:val="00C177AA"/>
    <w:rsid w:val="00C17C2C"/>
    <w:rsid w:val="00C222A3"/>
    <w:rsid w:val="00C22DDE"/>
    <w:rsid w:val="00C244EA"/>
    <w:rsid w:val="00C24D74"/>
    <w:rsid w:val="00C24D88"/>
    <w:rsid w:val="00C24FAD"/>
    <w:rsid w:val="00C25E39"/>
    <w:rsid w:val="00C26DC8"/>
    <w:rsid w:val="00C27A94"/>
    <w:rsid w:val="00C301A2"/>
    <w:rsid w:val="00C30901"/>
    <w:rsid w:val="00C30ABF"/>
    <w:rsid w:val="00C30DE0"/>
    <w:rsid w:val="00C31151"/>
    <w:rsid w:val="00C32748"/>
    <w:rsid w:val="00C33861"/>
    <w:rsid w:val="00C35C32"/>
    <w:rsid w:val="00C36097"/>
    <w:rsid w:val="00C36336"/>
    <w:rsid w:val="00C3666D"/>
    <w:rsid w:val="00C36B4B"/>
    <w:rsid w:val="00C42F89"/>
    <w:rsid w:val="00C43BC2"/>
    <w:rsid w:val="00C443F8"/>
    <w:rsid w:val="00C4475F"/>
    <w:rsid w:val="00C45F63"/>
    <w:rsid w:val="00C46177"/>
    <w:rsid w:val="00C47435"/>
    <w:rsid w:val="00C47A70"/>
    <w:rsid w:val="00C50592"/>
    <w:rsid w:val="00C51A0A"/>
    <w:rsid w:val="00C5403F"/>
    <w:rsid w:val="00C54532"/>
    <w:rsid w:val="00C60029"/>
    <w:rsid w:val="00C634C5"/>
    <w:rsid w:val="00C6440A"/>
    <w:rsid w:val="00C64C41"/>
    <w:rsid w:val="00C64FE4"/>
    <w:rsid w:val="00C6515D"/>
    <w:rsid w:val="00C65D0C"/>
    <w:rsid w:val="00C660D7"/>
    <w:rsid w:val="00C67630"/>
    <w:rsid w:val="00C718A9"/>
    <w:rsid w:val="00C71C3E"/>
    <w:rsid w:val="00C71D6F"/>
    <w:rsid w:val="00C725AF"/>
    <w:rsid w:val="00C72888"/>
    <w:rsid w:val="00C74560"/>
    <w:rsid w:val="00C74B4F"/>
    <w:rsid w:val="00C75036"/>
    <w:rsid w:val="00C75095"/>
    <w:rsid w:val="00C75331"/>
    <w:rsid w:val="00C760FB"/>
    <w:rsid w:val="00C76555"/>
    <w:rsid w:val="00C77FEB"/>
    <w:rsid w:val="00C82A6B"/>
    <w:rsid w:val="00C84417"/>
    <w:rsid w:val="00C84B3F"/>
    <w:rsid w:val="00C84EA4"/>
    <w:rsid w:val="00C85547"/>
    <w:rsid w:val="00C86887"/>
    <w:rsid w:val="00C86E68"/>
    <w:rsid w:val="00C904EF"/>
    <w:rsid w:val="00C90913"/>
    <w:rsid w:val="00C9135D"/>
    <w:rsid w:val="00C93A2B"/>
    <w:rsid w:val="00C94B2A"/>
    <w:rsid w:val="00C955A8"/>
    <w:rsid w:val="00C95A05"/>
    <w:rsid w:val="00C96133"/>
    <w:rsid w:val="00C9730D"/>
    <w:rsid w:val="00C97B0B"/>
    <w:rsid w:val="00CA112F"/>
    <w:rsid w:val="00CA1CED"/>
    <w:rsid w:val="00CA270A"/>
    <w:rsid w:val="00CA2BB9"/>
    <w:rsid w:val="00CA3298"/>
    <w:rsid w:val="00CA35E7"/>
    <w:rsid w:val="00CA423D"/>
    <w:rsid w:val="00CA5A5D"/>
    <w:rsid w:val="00CA5E7E"/>
    <w:rsid w:val="00CA60BE"/>
    <w:rsid w:val="00CA6E29"/>
    <w:rsid w:val="00CA748D"/>
    <w:rsid w:val="00CA7804"/>
    <w:rsid w:val="00CA78AB"/>
    <w:rsid w:val="00CB0952"/>
    <w:rsid w:val="00CB196E"/>
    <w:rsid w:val="00CB2107"/>
    <w:rsid w:val="00CB38C3"/>
    <w:rsid w:val="00CB4612"/>
    <w:rsid w:val="00CB46CF"/>
    <w:rsid w:val="00CB4E74"/>
    <w:rsid w:val="00CB4F51"/>
    <w:rsid w:val="00CB5E67"/>
    <w:rsid w:val="00CB5F1B"/>
    <w:rsid w:val="00CB65DC"/>
    <w:rsid w:val="00CC2B01"/>
    <w:rsid w:val="00CC3A15"/>
    <w:rsid w:val="00CC4F99"/>
    <w:rsid w:val="00CC5374"/>
    <w:rsid w:val="00CC5B5F"/>
    <w:rsid w:val="00CC63ED"/>
    <w:rsid w:val="00CC6E2B"/>
    <w:rsid w:val="00CD2D56"/>
    <w:rsid w:val="00CD42D9"/>
    <w:rsid w:val="00CD62A5"/>
    <w:rsid w:val="00CD6347"/>
    <w:rsid w:val="00CD6B51"/>
    <w:rsid w:val="00CD6F4F"/>
    <w:rsid w:val="00CE111D"/>
    <w:rsid w:val="00CE31AA"/>
    <w:rsid w:val="00CE3236"/>
    <w:rsid w:val="00CE40A6"/>
    <w:rsid w:val="00CE45C2"/>
    <w:rsid w:val="00CE4C8F"/>
    <w:rsid w:val="00CE56B0"/>
    <w:rsid w:val="00CE5905"/>
    <w:rsid w:val="00CE66F4"/>
    <w:rsid w:val="00CE711E"/>
    <w:rsid w:val="00CE784F"/>
    <w:rsid w:val="00CE7A84"/>
    <w:rsid w:val="00CF06ED"/>
    <w:rsid w:val="00CF0CE3"/>
    <w:rsid w:val="00CF1A73"/>
    <w:rsid w:val="00CF1C1D"/>
    <w:rsid w:val="00CF2156"/>
    <w:rsid w:val="00CF3CF5"/>
    <w:rsid w:val="00CF5161"/>
    <w:rsid w:val="00CF5410"/>
    <w:rsid w:val="00CF6115"/>
    <w:rsid w:val="00CF7346"/>
    <w:rsid w:val="00D0041B"/>
    <w:rsid w:val="00D01DC5"/>
    <w:rsid w:val="00D03D06"/>
    <w:rsid w:val="00D0475C"/>
    <w:rsid w:val="00D04AC0"/>
    <w:rsid w:val="00D04FCD"/>
    <w:rsid w:val="00D06570"/>
    <w:rsid w:val="00D06769"/>
    <w:rsid w:val="00D0703C"/>
    <w:rsid w:val="00D0711D"/>
    <w:rsid w:val="00D079DE"/>
    <w:rsid w:val="00D07A02"/>
    <w:rsid w:val="00D12775"/>
    <w:rsid w:val="00D129CB"/>
    <w:rsid w:val="00D129FA"/>
    <w:rsid w:val="00D132B7"/>
    <w:rsid w:val="00D143A1"/>
    <w:rsid w:val="00D1545C"/>
    <w:rsid w:val="00D157E0"/>
    <w:rsid w:val="00D1676F"/>
    <w:rsid w:val="00D17F07"/>
    <w:rsid w:val="00D203F9"/>
    <w:rsid w:val="00D209FB"/>
    <w:rsid w:val="00D23454"/>
    <w:rsid w:val="00D25446"/>
    <w:rsid w:val="00D25983"/>
    <w:rsid w:val="00D25FB8"/>
    <w:rsid w:val="00D26F47"/>
    <w:rsid w:val="00D30B25"/>
    <w:rsid w:val="00D30E33"/>
    <w:rsid w:val="00D329DC"/>
    <w:rsid w:val="00D352A3"/>
    <w:rsid w:val="00D35D75"/>
    <w:rsid w:val="00D36B7B"/>
    <w:rsid w:val="00D36D80"/>
    <w:rsid w:val="00D37251"/>
    <w:rsid w:val="00D40D6B"/>
    <w:rsid w:val="00D41D33"/>
    <w:rsid w:val="00D41D9C"/>
    <w:rsid w:val="00D43E4E"/>
    <w:rsid w:val="00D462C3"/>
    <w:rsid w:val="00D46CAB"/>
    <w:rsid w:val="00D4765F"/>
    <w:rsid w:val="00D47740"/>
    <w:rsid w:val="00D50C9A"/>
    <w:rsid w:val="00D5352A"/>
    <w:rsid w:val="00D544E7"/>
    <w:rsid w:val="00D55216"/>
    <w:rsid w:val="00D55D1C"/>
    <w:rsid w:val="00D56C8B"/>
    <w:rsid w:val="00D57C13"/>
    <w:rsid w:val="00D60B9D"/>
    <w:rsid w:val="00D60BFF"/>
    <w:rsid w:val="00D6298A"/>
    <w:rsid w:val="00D638E3"/>
    <w:rsid w:val="00D64E9F"/>
    <w:rsid w:val="00D65E44"/>
    <w:rsid w:val="00D66489"/>
    <w:rsid w:val="00D66AF6"/>
    <w:rsid w:val="00D7006B"/>
    <w:rsid w:val="00D7040B"/>
    <w:rsid w:val="00D719A6"/>
    <w:rsid w:val="00D7439F"/>
    <w:rsid w:val="00D751C0"/>
    <w:rsid w:val="00D76959"/>
    <w:rsid w:val="00D77A8C"/>
    <w:rsid w:val="00D821F6"/>
    <w:rsid w:val="00D82BE5"/>
    <w:rsid w:val="00D83D9B"/>
    <w:rsid w:val="00D83F9C"/>
    <w:rsid w:val="00D85333"/>
    <w:rsid w:val="00D85436"/>
    <w:rsid w:val="00D866B5"/>
    <w:rsid w:val="00D8705B"/>
    <w:rsid w:val="00D87F20"/>
    <w:rsid w:val="00D91DB8"/>
    <w:rsid w:val="00D92604"/>
    <w:rsid w:val="00D932F8"/>
    <w:rsid w:val="00D945CE"/>
    <w:rsid w:val="00D946FA"/>
    <w:rsid w:val="00D94C87"/>
    <w:rsid w:val="00D9580C"/>
    <w:rsid w:val="00D96D61"/>
    <w:rsid w:val="00D97CF5"/>
    <w:rsid w:val="00DA0688"/>
    <w:rsid w:val="00DA0E08"/>
    <w:rsid w:val="00DA242A"/>
    <w:rsid w:val="00DA2CB2"/>
    <w:rsid w:val="00DA399B"/>
    <w:rsid w:val="00DA5CEE"/>
    <w:rsid w:val="00DA7E10"/>
    <w:rsid w:val="00DB07A1"/>
    <w:rsid w:val="00DB07AE"/>
    <w:rsid w:val="00DB117B"/>
    <w:rsid w:val="00DB1F9E"/>
    <w:rsid w:val="00DB235F"/>
    <w:rsid w:val="00DB2513"/>
    <w:rsid w:val="00DB256A"/>
    <w:rsid w:val="00DB2D1C"/>
    <w:rsid w:val="00DB3A27"/>
    <w:rsid w:val="00DB3A7D"/>
    <w:rsid w:val="00DB4FB2"/>
    <w:rsid w:val="00DC0368"/>
    <w:rsid w:val="00DC04E1"/>
    <w:rsid w:val="00DC206E"/>
    <w:rsid w:val="00DC2D51"/>
    <w:rsid w:val="00DC3C25"/>
    <w:rsid w:val="00DC55E7"/>
    <w:rsid w:val="00DC631D"/>
    <w:rsid w:val="00DC6E3E"/>
    <w:rsid w:val="00DC7AB7"/>
    <w:rsid w:val="00DD0969"/>
    <w:rsid w:val="00DD1568"/>
    <w:rsid w:val="00DD18B9"/>
    <w:rsid w:val="00DD18ED"/>
    <w:rsid w:val="00DD1D70"/>
    <w:rsid w:val="00DD2C45"/>
    <w:rsid w:val="00DD38B9"/>
    <w:rsid w:val="00DD391A"/>
    <w:rsid w:val="00DD39FE"/>
    <w:rsid w:val="00DD3DB0"/>
    <w:rsid w:val="00DD4A4C"/>
    <w:rsid w:val="00DD5683"/>
    <w:rsid w:val="00DD5BFE"/>
    <w:rsid w:val="00DD61B6"/>
    <w:rsid w:val="00DD7E58"/>
    <w:rsid w:val="00DE065D"/>
    <w:rsid w:val="00DE1C02"/>
    <w:rsid w:val="00DE470F"/>
    <w:rsid w:val="00DE6CC4"/>
    <w:rsid w:val="00DE7053"/>
    <w:rsid w:val="00DF0D82"/>
    <w:rsid w:val="00DF1519"/>
    <w:rsid w:val="00DF15EA"/>
    <w:rsid w:val="00DF1802"/>
    <w:rsid w:val="00DF5E08"/>
    <w:rsid w:val="00DF650D"/>
    <w:rsid w:val="00DF787F"/>
    <w:rsid w:val="00E00623"/>
    <w:rsid w:val="00E0107D"/>
    <w:rsid w:val="00E01341"/>
    <w:rsid w:val="00E014DD"/>
    <w:rsid w:val="00E01946"/>
    <w:rsid w:val="00E01EAE"/>
    <w:rsid w:val="00E02D56"/>
    <w:rsid w:val="00E030C9"/>
    <w:rsid w:val="00E03579"/>
    <w:rsid w:val="00E04AF2"/>
    <w:rsid w:val="00E06E03"/>
    <w:rsid w:val="00E07392"/>
    <w:rsid w:val="00E1227A"/>
    <w:rsid w:val="00E13DDB"/>
    <w:rsid w:val="00E14F8A"/>
    <w:rsid w:val="00E1501E"/>
    <w:rsid w:val="00E161A0"/>
    <w:rsid w:val="00E161D9"/>
    <w:rsid w:val="00E16539"/>
    <w:rsid w:val="00E16A3C"/>
    <w:rsid w:val="00E16E30"/>
    <w:rsid w:val="00E172F6"/>
    <w:rsid w:val="00E178AD"/>
    <w:rsid w:val="00E202A7"/>
    <w:rsid w:val="00E20A66"/>
    <w:rsid w:val="00E20F85"/>
    <w:rsid w:val="00E2159F"/>
    <w:rsid w:val="00E226B2"/>
    <w:rsid w:val="00E25F0D"/>
    <w:rsid w:val="00E307F6"/>
    <w:rsid w:val="00E31E60"/>
    <w:rsid w:val="00E320A5"/>
    <w:rsid w:val="00E3210E"/>
    <w:rsid w:val="00E335B2"/>
    <w:rsid w:val="00E3580A"/>
    <w:rsid w:val="00E35DAB"/>
    <w:rsid w:val="00E36424"/>
    <w:rsid w:val="00E364BD"/>
    <w:rsid w:val="00E36628"/>
    <w:rsid w:val="00E3668B"/>
    <w:rsid w:val="00E36ADF"/>
    <w:rsid w:val="00E406BF"/>
    <w:rsid w:val="00E40FC6"/>
    <w:rsid w:val="00E42BDF"/>
    <w:rsid w:val="00E44C76"/>
    <w:rsid w:val="00E4624B"/>
    <w:rsid w:val="00E469A3"/>
    <w:rsid w:val="00E50D00"/>
    <w:rsid w:val="00E512ED"/>
    <w:rsid w:val="00E52970"/>
    <w:rsid w:val="00E537FF"/>
    <w:rsid w:val="00E5382E"/>
    <w:rsid w:val="00E538BD"/>
    <w:rsid w:val="00E540B7"/>
    <w:rsid w:val="00E54A60"/>
    <w:rsid w:val="00E55352"/>
    <w:rsid w:val="00E554BE"/>
    <w:rsid w:val="00E55554"/>
    <w:rsid w:val="00E557DC"/>
    <w:rsid w:val="00E56745"/>
    <w:rsid w:val="00E5796A"/>
    <w:rsid w:val="00E60461"/>
    <w:rsid w:val="00E60926"/>
    <w:rsid w:val="00E61279"/>
    <w:rsid w:val="00E62726"/>
    <w:rsid w:val="00E628EA"/>
    <w:rsid w:val="00E63FF4"/>
    <w:rsid w:val="00E714B9"/>
    <w:rsid w:val="00E71A55"/>
    <w:rsid w:val="00E776BF"/>
    <w:rsid w:val="00E80DC5"/>
    <w:rsid w:val="00E8237B"/>
    <w:rsid w:val="00E83452"/>
    <w:rsid w:val="00E8380A"/>
    <w:rsid w:val="00E8473F"/>
    <w:rsid w:val="00E84BA6"/>
    <w:rsid w:val="00E85A7F"/>
    <w:rsid w:val="00E87FE8"/>
    <w:rsid w:val="00E90214"/>
    <w:rsid w:val="00E90924"/>
    <w:rsid w:val="00E91732"/>
    <w:rsid w:val="00E92675"/>
    <w:rsid w:val="00E93244"/>
    <w:rsid w:val="00E934CB"/>
    <w:rsid w:val="00E945EF"/>
    <w:rsid w:val="00E95584"/>
    <w:rsid w:val="00E95887"/>
    <w:rsid w:val="00E9641A"/>
    <w:rsid w:val="00E96E73"/>
    <w:rsid w:val="00E970D8"/>
    <w:rsid w:val="00E97A8F"/>
    <w:rsid w:val="00EA039D"/>
    <w:rsid w:val="00EA04D5"/>
    <w:rsid w:val="00EA0AE0"/>
    <w:rsid w:val="00EA1071"/>
    <w:rsid w:val="00EA11D5"/>
    <w:rsid w:val="00EA13F1"/>
    <w:rsid w:val="00EA2478"/>
    <w:rsid w:val="00EA303C"/>
    <w:rsid w:val="00EA3A12"/>
    <w:rsid w:val="00EA69BA"/>
    <w:rsid w:val="00EA6F6C"/>
    <w:rsid w:val="00EA7522"/>
    <w:rsid w:val="00EA76E7"/>
    <w:rsid w:val="00EB244D"/>
    <w:rsid w:val="00EB4CC9"/>
    <w:rsid w:val="00EB534D"/>
    <w:rsid w:val="00EB535B"/>
    <w:rsid w:val="00EB5C39"/>
    <w:rsid w:val="00EB676F"/>
    <w:rsid w:val="00EB6FE9"/>
    <w:rsid w:val="00EB7CC4"/>
    <w:rsid w:val="00EC340C"/>
    <w:rsid w:val="00EC34E8"/>
    <w:rsid w:val="00EC540A"/>
    <w:rsid w:val="00EC745E"/>
    <w:rsid w:val="00EC7622"/>
    <w:rsid w:val="00EC79E8"/>
    <w:rsid w:val="00EC7E43"/>
    <w:rsid w:val="00EC7E5A"/>
    <w:rsid w:val="00ED0008"/>
    <w:rsid w:val="00ED2A2D"/>
    <w:rsid w:val="00ED3248"/>
    <w:rsid w:val="00ED3F63"/>
    <w:rsid w:val="00ED433D"/>
    <w:rsid w:val="00ED4CAC"/>
    <w:rsid w:val="00ED4F33"/>
    <w:rsid w:val="00ED540C"/>
    <w:rsid w:val="00ED5745"/>
    <w:rsid w:val="00EE01BD"/>
    <w:rsid w:val="00EE11B9"/>
    <w:rsid w:val="00EE1CC5"/>
    <w:rsid w:val="00EE1FC0"/>
    <w:rsid w:val="00EE2787"/>
    <w:rsid w:val="00EE37EB"/>
    <w:rsid w:val="00EE38E4"/>
    <w:rsid w:val="00EE594A"/>
    <w:rsid w:val="00EE6850"/>
    <w:rsid w:val="00EE6D74"/>
    <w:rsid w:val="00EE731A"/>
    <w:rsid w:val="00EE7623"/>
    <w:rsid w:val="00EF0436"/>
    <w:rsid w:val="00EF0E70"/>
    <w:rsid w:val="00EF152D"/>
    <w:rsid w:val="00EF25E7"/>
    <w:rsid w:val="00EF42B6"/>
    <w:rsid w:val="00EF47AF"/>
    <w:rsid w:val="00EF5579"/>
    <w:rsid w:val="00EF5A7B"/>
    <w:rsid w:val="00EF610E"/>
    <w:rsid w:val="00F00319"/>
    <w:rsid w:val="00F012C5"/>
    <w:rsid w:val="00F015DB"/>
    <w:rsid w:val="00F01E40"/>
    <w:rsid w:val="00F03647"/>
    <w:rsid w:val="00F036C3"/>
    <w:rsid w:val="00F048D8"/>
    <w:rsid w:val="00F06CFA"/>
    <w:rsid w:val="00F075E0"/>
    <w:rsid w:val="00F07BC6"/>
    <w:rsid w:val="00F07D01"/>
    <w:rsid w:val="00F116BA"/>
    <w:rsid w:val="00F118A6"/>
    <w:rsid w:val="00F12218"/>
    <w:rsid w:val="00F15512"/>
    <w:rsid w:val="00F1568B"/>
    <w:rsid w:val="00F15D4C"/>
    <w:rsid w:val="00F164D1"/>
    <w:rsid w:val="00F16EB6"/>
    <w:rsid w:val="00F1743E"/>
    <w:rsid w:val="00F17532"/>
    <w:rsid w:val="00F17A6E"/>
    <w:rsid w:val="00F17B95"/>
    <w:rsid w:val="00F21DDA"/>
    <w:rsid w:val="00F223B7"/>
    <w:rsid w:val="00F23366"/>
    <w:rsid w:val="00F235B8"/>
    <w:rsid w:val="00F24233"/>
    <w:rsid w:val="00F244C6"/>
    <w:rsid w:val="00F25C65"/>
    <w:rsid w:val="00F2607F"/>
    <w:rsid w:val="00F26318"/>
    <w:rsid w:val="00F26DDD"/>
    <w:rsid w:val="00F27091"/>
    <w:rsid w:val="00F27D8A"/>
    <w:rsid w:val="00F3063F"/>
    <w:rsid w:val="00F30C34"/>
    <w:rsid w:val="00F30CAD"/>
    <w:rsid w:val="00F32BA7"/>
    <w:rsid w:val="00F32FA6"/>
    <w:rsid w:val="00F34CEB"/>
    <w:rsid w:val="00F35385"/>
    <w:rsid w:val="00F35837"/>
    <w:rsid w:val="00F367B2"/>
    <w:rsid w:val="00F370EC"/>
    <w:rsid w:val="00F42C5C"/>
    <w:rsid w:val="00F42D87"/>
    <w:rsid w:val="00F43E20"/>
    <w:rsid w:val="00F44DD1"/>
    <w:rsid w:val="00F454BE"/>
    <w:rsid w:val="00F47CCD"/>
    <w:rsid w:val="00F50569"/>
    <w:rsid w:val="00F51A52"/>
    <w:rsid w:val="00F51E31"/>
    <w:rsid w:val="00F52420"/>
    <w:rsid w:val="00F52696"/>
    <w:rsid w:val="00F526A8"/>
    <w:rsid w:val="00F5317E"/>
    <w:rsid w:val="00F55801"/>
    <w:rsid w:val="00F559D5"/>
    <w:rsid w:val="00F5776F"/>
    <w:rsid w:val="00F6002D"/>
    <w:rsid w:val="00F61497"/>
    <w:rsid w:val="00F61E07"/>
    <w:rsid w:val="00F62E1B"/>
    <w:rsid w:val="00F6406B"/>
    <w:rsid w:val="00F65C86"/>
    <w:rsid w:val="00F662C7"/>
    <w:rsid w:val="00F705F1"/>
    <w:rsid w:val="00F7064A"/>
    <w:rsid w:val="00F73D8F"/>
    <w:rsid w:val="00F75600"/>
    <w:rsid w:val="00F7632C"/>
    <w:rsid w:val="00F76DDA"/>
    <w:rsid w:val="00F77473"/>
    <w:rsid w:val="00F803A5"/>
    <w:rsid w:val="00F824FD"/>
    <w:rsid w:val="00F8258C"/>
    <w:rsid w:val="00F831ED"/>
    <w:rsid w:val="00F832F8"/>
    <w:rsid w:val="00F8603D"/>
    <w:rsid w:val="00F87012"/>
    <w:rsid w:val="00F87075"/>
    <w:rsid w:val="00F87E8D"/>
    <w:rsid w:val="00F905E3"/>
    <w:rsid w:val="00F906F3"/>
    <w:rsid w:val="00F90C36"/>
    <w:rsid w:val="00F91CD4"/>
    <w:rsid w:val="00F944C1"/>
    <w:rsid w:val="00F95D8E"/>
    <w:rsid w:val="00F96B84"/>
    <w:rsid w:val="00F97EBB"/>
    <w:rsid w:val="00F97FBE"/>
    <w:rsid w:val="00FA15A0"/>
    <w:rsid w:val="00FA170F"/>
    <w:rsid w:val="00FA1728"/>
    <w:rsid w:val="00FA22F3"/>
    <w:rsid w:val="00FA3547"/>
    <w:rsid w:val="00FA3621"/>
    <w:rsid w:val="00FA4DCB"/>
    <w:rsid w:val="00FA504B"/>
    <w:rsid w:val="00FA63BE"/>
    <w:rsid w:val="00FA6589"/>
    <w:rsid w:val="00FA71F6"/>
    <w:rsid w:val="00FB0B64"/>
    <w:rsid w:val="00FB1636"/>
    <w:rsid w:val="00FB22D4"/>
    <w:rsid w:val="00FB23B3"/>
    <w:rsid w:val="00FB2FB5"/>
    <w:rsid w:val="00FB36AA"/>
    <w:rsid w:val="00FB4775"/>
    <w:rsid w:val="00FB524C"/>
    <w:rsid w:val="00FB5B7F"/>
    <w:rsid w:val="00FB5B83"/>
    <w:rsid w:val="00FB654B"/>
    <w:rsid w:val="00FB67DB"/>
    <w:rsid w:val="00FB6B40"/>
    <w:rsid w:val="00FB7575"/>
    <w:rsid w:val="00FC39B8"/>
    <w:rsid w:val="00FC3DC8"/>
    <w:rsid w:val="00FC4337"/>
    <w:rsid w:val="00FC44EF"/>
    <w:rsid w:val="00FC4713"/>
    <w:rsid w:val="00FC5BE8"/>
    <w:rsid w:val="00FC69C7"/>
    <w:rsid w:val="00FC75D8"/>
    <w:rsid w:val="00FC7B78"/>
    <w:rsid w:val="00FD0891"/>
    <w:rsid w:val="00FD0FF4"/>
    <w:rsid w:val="00FD218A"/>
    <w:rsid w:val="00FD2659"/>
    <w:rsid w:val="00FD27F6"/>
    <w:rsid w:val="00FD3216"/>
    <w:rsid w:val="00FD4199"/>
    <w:rsid w:val="00FD4D0A"/>
    <w:rsid w:val="00FD560D"/>
    <w:rsid w:val="00FD5951"/>
    <w:rsid w:val="00FD622F"/>
    <w:rsid w:val="00FD6C00"/>
    <w:rsid w:val="00FD71F6"/>
    <w:rsid w:val="00FE0AF4"/>
    <w:rsid w:val="00FE0E4C"/>
    <w:rsid w:val="00FE119D"/>
    <w:rsid w:val="00FE1D01"/>
    <w:rsid w:val="00FE1E0E"/>
    <w:rsid w:val="00FE4BA3"/>
    <w:rsid w:val="00FE4CD0"/>
    <w:rsid w:val="00FE59B5"/>
    <w:rsid w:val="00FE5AA5"/>
    <w:rsid w:val="00FE5C11"/>
    <w:rsid w:val="00FE6D6C"/>
    <w:rsid w:val="00FE6E74"/>
    <w:rsid w:val="00FE7BF0"/>
    <w:rsid w:val="00FE7DEC"/>
    <w:rsid w:val="00FF0296"/>
    <w:rsid w:val="00FF077F"/>
    <w:rsid w:val="00FF125C"/>
    <w:rsid w:val="00FF1B48"/>
    <w:rsid w:val="00FF289D"/>
    <w:rsid w:val="00FF28CE"/>
    <w:rsid w:val="00FF49EE"/>
    <w:rsid w:val="00FF4FD0"/>
    <w:rsid w:val="00FF78CF"/>
    <w:rsid w:val="00FF7956"/>
    <w:rsid w:val="00FF7AE9"/>
    <w:rsid w:val="01090964"/>
    <w:rsid w:val="0159E385"/>
    <w:rsid w:val="01C9956D"/>
    <w:rsid w:val="01F13F19"/>
    <w:rsid w:val="01FCBA0D"/>
    <w:rsid w:val="024A79EA"/>
    <w:rsid w:val="026B16D6"/>
    <w:rsid w:val="02B7BE5B"/>
    <w:rsid w:val="02DA767C"/>
    <w:rsid w:val="03514C9E"/>
    <w:rsid w:val="0358C7A2"/>
    <w:rsid w:val="03618009"/>
    <w:rsid w:val="03C1EECA"/>
    <w:rsid w:val="03E555BF"/>
    <w:rsid w:val="0408A900"/>
    <w:rsid w:val="041560C2"/>
    <w:rsid w:val="043C3436"/>
    <w:rsid w:val="049841E2"/>
    <w:rsid w:val="04DD6BA2"/>
    <w:rsid w:val="0508269B"/>
    <w:rsid w:val="05548338"/>
    <w:rsid w:val="05A15F00"/>
    <w:rsid w:val="05EE5206"/>
    <w:rsid w:val="06CC13CA"/>
    <w:rsid w:val="0749691A"/>
    <w:rsid w:val="0759ED87"/>
    <w:rsid w:val="075D898C"/>
    <w:rsid w:val="078A543D"/>
    <w:rsid w:val="0797190C"/>
    <w:rsid w:val="0798E5BB"/>
    <w:rsid w:val="079BE7D4"/>
    <w:rsid w:val="07CF7DFD"/>
    <w:rsid w:val="07E0DEC3"/>
    <w:rsid w:val="07E1BEEF"/>
    <w:rsid w:val="07F835E0"/>
    <w:rsid w:val="0846CF30"/>
    <w:rsid w:val="084D8E1C"/>
    <w:rsid w:val="088CF8F0"/>
    <w:rsid w:val="08B366DF"/>
    <w:rsid w:val="08CBA43D"/>
    <w:rsid w:val="08F8DD8C"/>
    <w:rsid w:val="09262566"/>
    <w:rsid w:val="09286AC4"/>
    <w:rsid w:val="092DAD6A"/>
    <w:rsid w:val="097FD612"/>
    <w:rsid w:val="09D1C974"/>
    <w:rsid w:val="09F3D5E5"/>
    <w:rsid w:val="0A208EAD"/>
    <w:rsid w:val="0A22E0FA"/>
    <w:rsid w:val="0A7928EB"/>
    <w:rsid w:val="0ABA3B45"/>
    <w:rsid w:val="0AC485B0"/>
    <w:rsid w:val="0ACAE512"/>
    <w:rsid w:val="0B85AE06"/>
    <w:rsid w:val="0B8D904C"/>
    <w:rsid w:val="0B8DE7A1"/>
    <w:rsid w:val="0BE231C2"/>
    <w:rsid w:val="0C5231E1"/>
    <w:rsid w:val="0C9B673C"/>
    <w:rsid w:val="0CA28FCD"/>
    <w:rsid w:val="0CB5EEE3"/>
    <w:rsid w:val="0CCE8BDC"/>
    <w:rsid w:val="0D381382"/>
    <w:rsid w:val="0D566907"/>
    <w:rsid w:val="0D59DA80"/>
    <w:rsid w:val="0D619153"/>
    <w:rsid w:val="0D6B3B46"/>
    <w:rsid w:val="0D8E3D94"/>
    <w:rsid w:val="0DB6980B"/>
    <w:rsid w:val="0DD32404"/>
    <w:rsid w:val="0E072E44"/>
    <w:rsid w:val="0E301165"/>
    <w:rsid w:val="0E36BB3C"/>
    <w:rsid w:val="0EB4A66F"/>
    <w:rsid w:val="0F862484"/>
    <w:rsid w:val="0F916C0A"/>
    <w:rsid w:val="0FBA7719"/>
    <w:rsid w:val="10685682"/>
    <w:rsid w:val="11290068"/>
    <w:rsid w:val="117AF3CA"/>
    <w:rsid w:val="11D23CC6"/>
    <w:rsid w:val="1229BFBB"/>
    <w:rsid w:val="1248F6D4"/>
    <w:rsid w:val="12D2B1A1"/>
    <w:rsid w:val="12DFA6CA"/>
    <w:rsid w:val="13292DF2"/>
    <w:rsid w:val="1336AA23"/>
    <w:rsid w:val="1340F48E"/>
    <w:rsid w:val="13AD83CD"/>
    <w:rsid w:val="13C3A775"/>
    <w:rsid w:val="13DFCB24"/>
    <w:rsid w:val="13FC82F9"/>
    <w:rsid w:val="1421E818"/>
    <w:rsid w:val="1428327F"/>
    <w:rsid w:val="14416969"/>
    <w:rsid w:val="14479087"/>
    <w:rsid w:val="14A0ADFB"/>
    <w:rsid w:val="14B345C1"/>
    <w:rsid w:val="14C1BFAB"/>
    <w:rsid w:val="14E43FF1"/>
    <w:rsid w:val="14EC3B60"/>
    <w:rsid w:val="1525524B"/>
    <w:rsid w:val="152936E0"/>
    <w:rsid w:val="155F9869"/>
    <w:rsid w:val="15ACDCB9"/>
    <w:rsid w:val="15B0C7D9"/>
    <w:rsid w:val="15BB9391"/>
    <w:rsid w:val="160D87AF"/>
    <w:rsid w:val="1628BC7E"/>
    <w:rsid w:val="164F92E2"/>
    <w:rsid w:val="165639BE"/>
    <w:rsid w:val="166B70E4"/>
    <w:rsid w:val="16BAB509"/>
    <w:rsid w:val="16C89411"/>
    <w:rsid w:val="16D2789A"/>
    <w:rsid w:val="16FC1185"/>
    <w:rsid w:val="16FF292F"/>
    <w:rsid w:val="172DBD75"/>
    <w:rsid w:val="1737E394"/>
    <w:rsid w:val="17597120"/>
    <w:rsid w:val="17B45DAB"/>
    <w:rsid w:val="17EA6724"/>
    <w:rsid w:val="187BDCE6"/>
    <w:rsid w:val="18ECEAEE"/>
    <w:rsid w:val="18FD934F"/>
    <w:rsid w:val="191ACED9"/>
    <w:rsid w:val="19251944"/>
    <w:rsid w:val="19484C19"/>
    <w:rsid w:val="19AC4CFB"/>
    <w:rsid w:val="19E3BF59"/>
    <w:rsid w:val="1A1F1EAC"/>
    <w:rsid w:val="1A80F023"/>
    <w:rsid w:val="1A8A065F"/>
    <w:rsid w:val="1AB29780"/>
    <w:rsid w:val="1ACF021C"/>
    <w:rsid w:val="1B0A5CA1"/>
    <w:rsid w:val="1B861B7F"/>
    <w:rsid w:val="1BE0AE8C"/>
    <w:rsid w:val="1BE1BE88"/>
    <w:rsid w:val="1BF80FF0"/>
    <w:rsid w:val="1C0DBEF1"/>
    <w:rsid w:val="1C336F43"/>
    <w:rsid w:val="1C66ECB7"/>
    <w:rsid w:val="1C974ED0"/>
    <w:rsid w:val="1C9E56F6"/>
    <w:rsid w:val="1D02CF36"/>
    <w:rsid w:val="1D4B17BE"/>
    <w:rsid w:val="1D674776"/>
    <w:rsid w:val="1E4E3FCC"/>
    <w:rsid w:val="1E5618E0"/>
    <w:rsid w:val="1E9DD649"/>
    <w:rsid w:val="1ED67315"/>
    <w:rsid w:val="1F029B76"/>
    <w:rsid w:val="1F411E5A"/>
    <w:rsid w:val="1FA4D2D1"/>
    <w:rsid w:val="1FB611C0"/>
    <w:rsid w:val="1FDB875E"/>
    <w:rsid w:val="1FE555A8"/>
    <w:rsid w:val="201462E2"/>
    <w:rsid w:val="207ED553"/>
    <w:rsid w:val="207F0240"/>
    <w:rsid w:val="2090E453"/>
    <w:rsid w:val="2096FBAD"/>
    <w:rsid w:val="20EC95FB"/>
    <w:rsid w:val="20F1766F"/>
    <w:rsid w:val="21556EF1"/>
    <w:rsid w:val="21826C73"/>
    <w:rsid w:val="21F4E209"/>
    <w:rsid w:val="226DAA68"/>
    <w:rsid w:val="228D6585"/>
    <w:rsid w:val="22A52526"/>
    <w:rsid w:val="22ADEB7E"/>
    <w:rsid w:val="22D849C6"/>
    <w:rsid w:val="22E08479"/>
    <w:rsid w:val="2336DC72"/>
    <w:rsid w:val="2363986A"/>
    <w:rsid w:val="23DCE1EE"/>
    <w:rsid w:val="24417792"/>
    <w:rsid w:val="2447814C"/>
    <w:rsid w:val="24678C7D"/>
    <w:rsid w:val="24A8E1E2"/>
    <w:rsid w:val="24BB2D90"/>
    <w:rsid w:val="24EB5B52"/>
    <w:rsid w:val="25254310"/>
    <w:rsid w:val="2547D3D5"/>
    <w:rsid w:val="254AEB7F"/>
    <w:rsid w:val="25C43503"/>
    <w:rsid w:val="25E2A19E"/>
    <w:rsid w:val="260063F2"/>
    <w:rsid w:val="2652BB94"/>
    <w:rsid w:val="26640972"/>
    <w:rsid w:val="2672E371"/>
    <w:rsid w:val="2678DDDA"/>
    <w:rsid w:val="26C5AE1C"/>
    <w:rsid w:val="27DBFAB0"/>
    <w:rsid w:val="282F81A9"/>
    <w:rsid w:val="284452ED"/>
    <w:rsid w:val="285AE787"/>
    <w:rsid w:val="287FB240"/>
    <w:rsid w:val="2897095D"/>
    <w:rsid w:val="28C4ABE6"/>
    <w:rsid w:val="28D5C8AF"/>
    <w:rsid w:val="29060B2D"/>
    <w:rsid w:val="29577FB7"/>
    <w:rsid w:val="29707503"/>
    <w:rsid w:val="29882B64"/>
    <w:rsid w:val="29DFA6ED"/>
    <w:rsid w:val="2A1B626D"/>
    <w:rsid w:val="2A89C0D9"/>
    <w:rsid w:val="2AAF9F93"/>
    <w:rsid w:val="2ADCF104"/>
    <w:rsid w:val="2AE4C725"/>
    <w:rsid w:val="2AE8F4D6"/>
    <w:rsid w:val="2B32F4CA"/>
    <w:rsid w:val="2B860C44"/>
    <w:rsid w:val="2B891BB8"/>
    <w:rsid w:val="2B94138A"/>
    <w:rsid w:val="2CBEF404"/>
    <w:rsid w:val="2CFE69DD"/>
    <w:rsid w:val="2D23DF7B"/>
    <w:rsid w:val="2D3650A5"/>
    <w:rsid w:val="2D6C45C9"/>
    <w:rsid w:val="2DD5237B"/>
    <w:rsid w:val="2DFCBBE7"/>
    <w:rsid w:val="2EB37DF2"/>
    <w:rsid w:val="2ED840C1"/>
    <w:rsid w:val="2EE07B74"/>
    <w:rsid w:val="2F3B7257"/>
    <w:rsid w:val="2FAEFA5F"/>
    <w:rsid w:val="2FB60285"/>
    <w:rsid w:val="2FE31086"/>
    <w:rsid w:val="2FFEDE09"/>
    <w:rsid w:val="30142CD6"/>
    <w:rsid w:val="301585F7"/>
    <w:rsid w:val="3033B2B6"/>
    <w:rsid w:val="3093C449"/>
    <w:rsid w:val="30AD7EB1"/>
    <w:rsid w:val="30E0539B"/>
    <w:rsid w:val="3108AE12"/>
    <w:rsid w:val="31141A8B"/>
    <w:rsid w:val="3138DD5A"/>
    <w:rsid w:val="31C42BFE"/>
    <w:rsid w:val="31C72156"/>
    <w:rsid w:val="329A98AF"/>
    <w:rsid w:val="330C8D20"/>
    <w:rsid w:val="3312B43E"/>
    <w:rsid w:val="332C0E71"/>
    <w:rsid w:val="338CC4CE"/>
    <w:rsid w:val="3414E076"/>
    <w:rsid w:val="3425CAB4"/>
    <w:rsid w:val="344A8185"/>
    <w:rsid w:val="3476D51B"/>
    <w:rsid w:val="34A8C228"/>
    <w:rsid w:val="34AEE946"/>
    <w:rsid w:val="34B933B1"/>
    <w:rsid w:val="34BCE2AF"/>
    <w:rsid w:val="34CAF9ED"/>
    <w:rsid w:val="3506AC34"/>
    <w:rsid w:val="357C3D32"/>
    <w:rsid w:val="358CAB0A"/>
    <w:rsid w:val="359D4F64"/>
    <w:rsid w:val="35F1234A"/>
    <w:rsid w:val="3617CB22"/>
    <w:rsid w:val="3639FECE"/>
    <w:rsid w:val="365FA73D"/>
    <w:rsid w:val="370FB8B0"/>
    <w:rsid w:val="3773FE1F"/>
    <w:rsid w:val="37937F70"/>
    <w:rsid w:val="37A0FBA1"/>
    <w:rsid w:val="37E898E3"/>
    <w:rsid w:val="3813D5B2"/>
    <w:rsid w:val="38434710"/>
    <w:rsid w:val="38776852"/>
    <w:rsid w:val="387B4CE7"/>
    <w:rsid w:val="3912CB08"/>
    <w:rsid w:val="396D5654"/>
    <w:rsid w:val="39851CF0"/>
    <w:rsid w:val="3A46C1FA"/>
    <w:rsid w:val="3A4A3710"/>
    <w:rsid w:val="3B0FFF08"/>
    <w:rsid w:val="3B377D34"/>
    <w:rsid w:val="3B5BFE7C"/>
    <w:rsid w:val="3BA31AC0"/>
    <w:rsid w:val="3BC71D98"/>
    <w:rsid w:val="3BCDF2ED"/>
    <w:rsid w:val="3C1A71C0"/>
    <w:rsid w:val="3C1D6718"/>
    <w:rsid w:val="3C58139C"/>
    <w:rsid w:val="3C6803DA"/>
    <w:rsid w:val="3C9A6220"/>
    <w:rsid w:val="3CC6F063"/>
    <w:rsid w:val="3CF7527C"/>
    <w:rsid w:val="3D3B64F3"/>
    <w:rsid w:val="3D410F08"/>
    <w:rsid w:val="3DA838F8"/>
    <w:rsid w:val="3DEFD1AB"/>
    <w:rsid w:val="3E177BB9"/>
    <w:rsid w:val="3E5C72A8"/>
    <w:rsid w:val="3EFABC27"/>
    <w:rsid w:val="3F068977"/>
    <w:rsid w:val="3F0CF981"/>
    <w:rsid w:val="3F1AE2C8"/>
    <w:rsid w:val="3F3C3AB5"/>
    <w:rsid w:val="3F4A25F7"/>
    <w:rsid w:val="3F6941A6"/>
    <w:rsid w:val="3FDD053D"/>
    <w:rsid w:val="400C7DD0"/>
    <w:rsid w:val="402092A8"/>
    <w:rsid w:val="407ADA99"/>
    <w:rsid w:val="40B5ECFF"/>
    <w:rsid w:val="40C340E9"/>
    <w:rsid w:val="41098E14"/>
    <w:rsid w:val="4120FF2A"/>
    <w:rsid w:val="419C0F7F"/>
    <w:rsid w:val="41A510D8"/>
    <w:rsid w:val="41F751E2"/>
    <w:rsid w:val="424CD0AC"/>
    <w:rsid w:val="4254B17D"/>
    <w:rsid w:val="425CC20E"/>
    <w:rsid w:val="426232CE"/>
    <w:rsid w:val="428B67FB"/>
    <w:rsid w:val="42CA966A"/>
    <w:rsid w:val="42E5A781"/>
    <w:rsid w:val="432548AA"/>
    <w:rsid w:val="432D9D65"/>
    <w:rsid w:val="43547B42"/>
    <w:rsid w:val="43966BC3"/>
    <w:rsid w:val="43EBFE66"/>
    <w:rsid w:val="43FF6AA8"/>
    <w:rsid w:val="44073ADC"/>
    <w:rsid w:val="442059A1"/>
    <w:rsid w:val="4432B89C"/>
    <w:rsid w:val="448FE1DE"/>
    <w:rsid w:val="44E953BE"/>
    <w:rsid w:val="44EAD061"/>
    <w:rsid w:val="44F39E29"/>
    <w:rsid w:val="45AED3C0"/>
    <w:rsid w:val="45CE9404"/>
    <w:rsid w:val="45F73B2D"/>
    <w:rsid w:val="45F8CC1B"/>
    <w:rsid w:val="460274D5"/>
    <w:rsid w:val="462B525B"/>
    <w:rsid w:val="46746946"/>
    <w:rsid w:val="46AF50CD"/>
    <w:rsid w:val="46EDDE0B"/>
    <w:rsid w:val="46F7DAE8"/>
    <w:rsid w:val="47181957"/>
    <w:rsid w:val="478868CB"/>
    <w:rsid w:val="47999753"/>
    <w:rsid w:val="47CE67BD"/>
    <w:rsid w:val="47E0339A"/>
    <w:rsid w:val="487A688B"/>
    <w:rsid w:val="48DFB5EC"/>
    <w:rsid w:val="48FBD967"/>
    <w:rsid w:val="4952FAD1"/>
    <w:rsid w:val="495B74CA"/>
    <w:rsid w:val="49B78363"/>
    <w:rsid w:val="4AA19363"/>
    <w:rsid w:val="4AB8A730"/>
    <w:rsid w:val="4AE91D5C"/>
    <w:rsid w:val="4B161D8B"/>
    <w:rsid w:val="4B8601B7"/>
    <w:rsid w:val="4B92F876"/>
    <w:rsid w:val="4BC98D94"/>
    <w:rsid w:val="4BD1C847"/>
    <w:rsid w:val="4C7A0886"/>
    <w:rsid w:val="4CC04832"/>
    <w:rsid w:val="4CDD7165"/>
    <w:rsid w:val="4CDFC71D"/>
    <w:rsid w:val="4D04637D"/>
    <w:rsid w:val="4D0B7817"/>
    <w:rsid w:val="4D0BAC81"/>
    <w:rsid w:val="4D4CBE05"/>
    <w:rsid w:val="4D5B3BC3"/>
    <w:rsid w:val="4D65D31B"/>
    <w:rsid w:val="4D8DB171"/>
    <w:rsid w:val="4DA76BA8"/>
    <w:rsid w:val="4DD4FAAD"/>
    <w:rsid w:val="4DDB2C23"/>
    <w:rsid w:val="4E81263C"/>
    <w:rsid w:val="4E895E51"/>
    <w:rsid w:val="4E99024E"/>
    <w:rsid w:val="4ED8224B"/>
    <w:rsid w:val="4F385E89"/>
    <w:rsid w:val="4F9D099A"/>
    <w:rsid w:val="4FAF7722"/>
    <w:rsid w:val="4FBD93AD"/>
    <w:rsid w:val="4FF05DC2"/>
    <w:rsid w:val="50507FE4"/>
    <w:rsid w:val="505D3EC0"/>
    <w:rsid w:val="507BBCE5"/>
    <w:rsid w:val="50B54511"/>
    <w:rsid w:val="51463B15"/>
    <w:rsid w:val="515E6753"/>
    <w:rsid w:val="5165BC66"/>
    <w:rsid w:val="51B365C9"/>
    <w:rsid w:val="522A56C8"/>
    <w:rsid w:val="52842D04"/>
    <w:rsid w:val="529A755A"/>
    <w:rsid w:val="52D0AE4D"/>
    <w:rsid w:val="52E59846"/>
    <w:rsid w:val="530BC22F"/>
    <w:rsid w:val="53122821"/>
    <w:rsid w:val="5350F410"/>
    <w:rsid w:val="538C21E1"/>
    <w:rsid w:val="5391CC41"/>
    <w:rsid w:val="53E5DA50"/>
    <w:rsid w:val="540DC925"/>
    <w:rsid w:val="5450DC13"/>
    <w:rsid w:val="54965065"/>
    <w:rsid w:val="54E1EF70"/>
    <w:rsid w:val="54EDB0A5"/>
    <w:rsid w:val="5524A3D6"/>
    <w:rsid w:val="558F4334"/>
    <w:rsid w:val="55C13412"/>
    <w:rsid w:val="55FF6E55"/>
    <w:rsid w:val="562E3527"/>
    <w:rsid w:val="5654366A"/>
    <w:rsid w:val="565EA327"/>
    <w:rsid w:val="5664CA45"/>
    <w:rsid w:val="56F13F43"/>
    <w:rsid w:val="573D3CDC"/>
    <w:rsid w:val="575D0473"/>
    <w:rsid w:val="579C5524"/>
    <w:rsid w:val="57B0F3F8"/>
    <w:rsid w:val="57D427B5"/>
    <w:rsid w:val="580B49B8"/>
    <w:rsid w:val="5837D81B"/>
    <w:rsid w:val="58B988E9"/>
    <w:rsid w:val="58C9BCFC"/>
    <w:rsid w:val="58D45454"/>
    <w:rsid w:val="58ED22E2"/>
    <w:rsid w:val="58EF656B"/>
    <w:rsid w:val="590EE6BC"/>
    <w:rsid w:val="59352B37"/>
    <w:rsid w:val="59375B4F"/>
    <w:rsid w:val="596E73E3"/>
    <w:rsid w:val="5977A838"/>
    <w:rsid w:val="5A46A384"/>
    <w:rsid w:val="5A84924D"/>
    <w:rsid w:val="5A9C2618"/>
    <w:rsid w:val="5AA393E0"/>
    <w:rsid w:val="5AE59577"/>
    <w:rsid w:val="5AFA1E66"/>
    <w:rsid w:val="5AFD5C13"/>
    <w:rsid w:val="5B0B30DD"/>
    <w:rsid w:val="5B4F8513"/>
    <w:rsid w:val="5B8569E6"/>
    <w:rsid w:val="5B86D680"/>
    <w:rsid w:val="5B8F04A6"/>
    <w:rsid w:val="5BBFC2B0"/>
    <w:rsid w:val="5BC97E59"/>
    <w:rsid w:val="5BF2D42C"/>
    <w:rsid w:val="5C7832E3"/>
    <w:rsid w:val="5C7D1B50"/>
    <w:rsid w:val="5C8DA8B2"/>
    <w:rsid w:val="5CE2B462"/>
    <w:rsid w:val="5D98D801"/>
    <w:rsid w:val="5DA4C682"/>
    <w:rsid w:val="5DC041BA"/>
    <w:rsid w:val="5DD72FCF"/>
    <w:rsid w:val="5E11A6ED"/>
    <w:rsid w:val="5E19B241"/>
    <w:rsid w:val="5E43A7F6"/>
    <w:rsid w:val="5E777C41"/>
    <w:rsid w:val="5EB670F9"/>
    <w:rsid w:val="5EE031B8"/>
    <w:rsid w:val="5F2008F4"/>
    <w:rsid w:val="5F21E1BB"/>
    <w:rsid w:val="5F35F2A9"/>
    <w:rsid w:val="5F40C148"/>
    <w:rsid w:val="5FA48DB0"/>
    <w:rsid w:val="5FBEFAE7"/>
    <w:rsid w:val="5FBFE087"/>
    <w:rsid w:val="605070A9"/>
    <w:rsid w:val="60767C53"/>
    <w:rsid w:val="60B0EBB0"/>
    <w:rsid w:val="610EE415"/>
    <w:rsid w:val="615DDC6F"/>
    <w:rsid w:val="6181B060"/>
    <w:rsid w:val="618B559A"/>
    <w:rsid w:val="61C2B7A3"/>
    <w:rsid w:val="61DE9295"/>
    <w:rsid w:val="61EDA19F"/>
    <w:rsid w:val="62472C1F"/>
    <w:rsid w:val="626CFBF3"/>
    <w:rsid w:val="628EBFCD"/>
    <w:rsid w:val="62B4C736"/>
    <w:rsid w:val="6316C8AD"/>
    <w:rsid w:val="63428304"/>
    <w:rsid w:val="6379CAF1"/>
    <w:rsid w:val="63B55D15"/>
    <w:rsid w:val="63D9681F"/>
    <w:rsid w:val="63D9DC1B"/>
    <w:rsid w:val="64121A60"/>
    <w:rsid w:val="644346E7"/>
    <w:rsid w:val="64890629"/>
    <w:rsid w:val="6498EAC6"/>
    <w:rsid w:val="64E4EFA9"/>
    <w:rsid w:val="64F0CDAB"/>
    <w:rsid w:val="651C59E8"/>
    <w:rsid w:val="6525EA84"/>
    <w:rsid w:val="654967E9"/>
    <w:rsid w:val="65C9F0E1"/>
    <w:rsid w:val="65E92EFD"/>
    <w:rsid w:val="660CD1EC"/>
    <w:rsid w:val="661FC41B"/>
    <w:rsid w:val="66613931"/>
    <w:rsid w:val="66627881"/>
    <w:rsid w:val="667FB36C"/>
    <w:rsid w:val="668EC95B"/>
    <w:rsid w:val="66F43771"/>
    <w:rsid w:val="66FFCCB8"/>
    <w:rsid w:val="6734D044"/>
    <w:rsid w:val="67570391"/>
    <w:rsid w:val="677B15C3"/>
    <w:rsid w:val="67920B15"/>
    <w:rsid w:val="67CEF674"/>
    <w:rsid w:val="67F5228F"/>
    <w:rsid w:val="67F99AFF"/>
    <w:rsid w:val="68139D47"/>
    <w:rsid w:val="683B7A44"/>
    <w:rsid w:val="68536332"/>
    <w:rsid w:val="689E5154"/>
    <w:rsid w:val="68F9DD09"/>
    <w:rsid w:val="6921CFB7"/>
    <w:rsid w:val="693D029F"/>
    <w:rsid w:val="693ED3F8"/>
    <w:rsid w:val="696A4279"/>
    <w:rsid w:val="697C75D4"/>
    <w:rsid w:val="69A7D515"/>
    <w:rsid w:val="69A809FB"/>
    <w:rsid w:val="69C2CD89"/>
    <w:rsid w:val="6A19253E"/>
    <w:rsid w:val="6A45A3AC"/>
    <w:rsid w:val="6A6BC213"/>
    <w:rsid w:val="6A7F1783"/>
    <w:rsid w:val="6AA1700B"/>
    <w:rsid w:val="6ABEDECD"/>
    <w:rsid w:val="6AEBAD5A"/>
    <w:rsid w:val="6BA0E1D6"/>
    <w:rsid w:val="6BAEEEA1"/>
    <w:rsid w:val="6BB3DA98"/>
    <w:rsid w:val="6BC75F66"/>
    <w:rsid w:val="6C1E164D"/>
    <w:rsid w:val="6C4AB5EC"/>
    <w:rsid w:val="6C75F385"/>
    <w:rsid w:val="6D03251F"/>
    <w:rsid w:val="6DA362D5"/>
    <w:rsid w:val="6DA65576"/>
    <w:rsid w:val="6DF207BB"/>
    <w:rsid w:val="6E5A20F3"/>
    <w:rsid w:val="6E8026BE"/>
    <w:rsid w:val="6EDE123E"/>
    <w:rsid w:val="6EE87EFB"/>
    <w:rsid w:val="6F40A7AB"/>
    <w:rsid w:val="6F435F9F"/>
    <w:rsid w:val="6F809B99"/>
    <w:rsid w:val="6FAB0C36"/>
    <w:rsid w:val="6FD50D8A"/>
    <w:rsid w:val="6FDB36D9"/>
    <w:rsid w:val="6FE4941B"/>
    <w:rsid w:val="7037A419"/>
    <w:rsid w:val="703A782B"/>
    <w:rsid w:val="705370E2"/>
    <w:rsid w:val="7071916D"/>
    <w:rsid w:val="7079EE72"/>
    <w:rsid w:val="70AD51CA"/>
    <w:rsid w:val="70F57A7F"/>
    <w:rsid w:val="70FDB532"/>
    <w:rsid w:val="710ED4B2"/>
    <w:rsid w:val="713B7BDA"/>
    <w:rsid w:val="715A727D"/>
    <w:rsid w:val="716C6936"/>
    <w:rsid w:val="718B5623"/>
    <w:rsid w:val="718F27D0"/>
    <w:rsid w:val="71C5C012"/>
    <w:rsid w:val="71D33C43"/>
    <w:rsid w:val="71D41EBF"/>
    <w:rsid w:val="71D720D8"/>
    <w:rsid w:val="7232365A"/>
    <w:rsid w:val="72CA2272"/>
    <w:rsid w:val="72E430EF"/>
    <w:rsid w:val="72EC0486"/>
    <w:rsid w:val="72EF1FA1"/>
    <w:rsid w:val="73A9FB7D"/>
    <w:rsid w:val="73AD1327"/>
    <w:rsid w:val="73B0F7BC"/>
    <w:rsid w:val="73D5E0A3"/>
    <w:rsid w:val="7445DDFC"/>
    <w:rsid w:val="7498511C"/>
    <w:rsid w:val="74A1AC9E"/>
    <w:rsid w:val="7557AA00"/>
    <w:rsid w:val="7583D261"/>
    <w:rsid w:val="75876F2C"/>
    <w:rsid w:val="75A90597"/>
    <w:rsid w:val="75D12655"/>
    <w:rsid w:val="7612C384"/>
    <w:rsid w:val="7637AE4D"/>
    <w:rsid w:val="763C1E87"/>
    <w:rsid w:val="766FE577"/>
    <w:rsid w:val="76873C94"/>
    <w:rsid w:val="769D2C30"/>
    <w:rsid w:val="774061C8"/>
    <w:rsid w:val="77A04D2C"/>
    <w:rsid w:val="77B84699"/>
    <w:rsid w:val="77FD3A64"/>
    <w:rsid w:val="77FF8203"/>
    <w:rsid w:val="78D53F4C"/>
    <w:rsid w:val="7929C0A8"/>
    <w:rsid w:val="792E342A"/>
    <w:rsid w:val="793EC4BD"/>
    <w:rsid w:val="79B0B92E"/>
    <w:rsid w:val="7A2B1B23"/>
    <w:rsid w:val="7A483F38"/>
    <w:rsid w:val="7A95848C"/>
    <w:rsid w:val="7AC43C5D"/>
    <w:rsid w:val="7AFE5FAB"/>
    <w:rsid w:val="7B134B20"/>
    <w:rsid w:val="7B5C66CD"/>
    <w:rsid w:val="7B731FF6"/>
    <w:rsid w:val="7B778268"/>
    <w:rsid w:val="7BF00418"/>
    <w:rsid w:val="7C0F4DAB"/>
    <w:rsid w:val="7C1BD303"/>
    <w:rsid w:val="7C1C05D4"/>
    <w:rsid w:val="7C2692D4"/>
    <w:rsid w:val="7C3F38E9"/>
    <w:rsid w:val="7C417B72"/>
    <w:rsid w:val="7C60FCC3"/>
    <w:rsid w:val="7C7B12C3"/>
    <w:rsid w:val="7CB25385"/>
    <w:rsid w:val="7D540531"/>
    <w:rsid w:val="7DFCB6D5"/>
    <w:rsid w:val="7E199B72"/>
    <w:rsid w:val="7E1C0EC2"/>
    <w:rsid w:val="7E215ADB"/>
    <w:rsid w:val="7E50896E"/>
    <w:rsid w:val="7E63483A"/>
    <w:rsid w:val="7E9270B8"/>
    <w:rsid w:val="7ED77FED"/>
    <w:rsid w:val="7ED97AD9"/>
    <w:rsid w:val="7F0DE55E"/>
    <w:rsid w:val="7F148C3A"/>
    <w:rsid w:val="7F27230A"/>
    <w:rsid w:val="7F497782"/>
    <w:rsid w:val="7F8E6E71"/>
    <w:rsid w:val="7FDDEC39"/>
    <w:rsid w:val="7FE7CF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13F43"/>
  <w15:chartTrackingRefBased/>
  <w15:docId w15:val="{C82A309A-CFE3-461B-8F9E-64AF6AAFB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347"/>
    <w:rPr>
      <w:rFonts w:ascii="Arial" w:eastAsiaTheme="minorEastAsia" w:hAnsi="Arial"/>
      <w:sz w:val="22"/>
      <w:szCs w:val="24"/>
    </w:rPr>
  </w:style>
  <w:style w:type="paragraph" w:styleId="Heading1">
    <w:name w:val="heading 1"/>
    <w:basedOn w:val="Normal"/>
    <w:link w:val="Heading1Char"/>
    <w:uiPriority w:val="9"/>
    <w:qFormat/>
    <w:rsid w:val="002C31B7"/>
    <w:pPr>
      <w:spacing w:before="240" w:after="120"/>
      <w:outlineLvl w:val="0"/>
    </w:pPr>
    <w:rPr>
      <w:b/>
      <w:bCs/>
      <w:color w:val="2F5496" w:themeColor="accent1" w:themeShade="BF"/>
      <w:kern w:val="36"/>
      <w:sz w:val="36"/>
      <w:szCs w:val="48"/>
    </w:rPr>
  </w:style>
  <w:style w:type="paragraph" w:styleId="Heading2">
    <w:name w:val="heading 2"/>
    <w:basedOn w:val="Normal"/>
    <w:link w:val="Heading2Char"/>
    <w:uiPriority w:val="9"/>
    <w:qFormat/>
    <w:rsid w:val="002C31B7"/>
    <w:pPr>
      <w:spacing w:before="100" w:beforeAutospacing="1" w:after="100" w:afterAutospacing="1"/>
      <w:outlineLvl w:val="1"/>
    </w:pPr>
    <w:rPr>
      <w:rFonts w:cstheme="majorBidi"/>
      <w:b/>
      <w:bCs/>
      <w:color w:val="2F5496" w:themeColor="accent1" w:themeShade="BF"/>
      <w:sz w:val="32"/>
      <w:szCs w:val="36"/>
    </w:rPr>
  </w:style>
  <w:style w:type="paragraph" w:styleId="Heading3">
    <w:name w:val="heading 3"/>
    <w:basedOn w:val="Normal"/>
    <w:next w:val="Normal"/>
    <w:link w:val="Heading3Char"/>
    <w:uiPriority w:val="9"/>
    <w:unhideWhenUsed/>
    <w:qFormat/>
    <w:rsid w:val="00B157BA"/>
    <w:pPr>
      <w:keepNext/>
      <w:keepLines/>
      <w:spacing w:before="240" w:after="120"/>
      <w:outlineLvl w:val="2"/>
    </w:pPr>
    <w:rPr>
      <w:rFonts w:eastAsiaTheme="majorEastAsia" w:cstheme="majorBidi"/>
      <w:b/>
      <w:color w:val="2F5496" w:themeColor="accent1" w:themeShade="BF"/>
      <w:sz w:val="28"/>
    </w:rPr>
  </w:style>
  <w:style w:type="paragraph" w:styleId="Heading4">
    <w:name w:val="heading 4"/>
    <w:basedOn w:val="Normal"/>
    <w:next w:val="Normal"/>
    <w:link w:val="Heading4Char"/>
    <w:uiPriority w:val="9"/>
    <w:unhideWhenUsed/>
    <w:qFormat/>
    <w:rsid w:val="00404F5D"/>
    <w:pPr>
      <w:keepNext/>
      <w:keepLines/>
      <w:spacing w:before="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713450"/>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C31B7"/>
    <w:rPr>
      <w:rFonts w:ascii="Arial" w:eastAsiaTheme="minorEastAsia" w:hAnsi="Arial" w:cstheme="majorBidi"/>
      <w:b/>
      <w:bCs/>
      <w:color w:val="2F5496" w:themeColor="accent1" w:themeShade="BF"/>
      <w:sz w:val="32"/>
      <w:szCs w:val="36"/>
    </w:rPr>
  </w:style>
  <w:style w:type="character" w:customStyle="1" w:styleId="Heading4Char">
    <w:name w:val="Heading 4 Char"/>
    <w:basedOn w:val="DefaultParagraphFont"/>
    <w:link w:val="Heading4"/>
    <w:uiPriority w:val="9"/>
    <w:rsid w:val="00404F5D"/>
    <w:rPr>
      <w:rFonts w:ascii="Arial" w:eastAsiaTheme="majorEastAsia" w:hAnsi="Arial" w:cstheme="majorBidi"/>
      <w:i/>
      <w:iCs/>
      <w:color w:val="2F5496" w:themeColor="accent1" w:themeShade="BF"/>
      <w:sz w:val="22"/>
      <w:szCs w:val="24"/>
    </w:rPr>
  </w:style>
  <w:style w:type="paragraph" w:styleId="ListParagraph">
    <w:name w:val="List Paragraph"/>
    <w:aliases w:val="List Paragraph11,Recommendation,List Paragraph1,Bullet point,CV text,Dot pt,F5 List Paragraph,FooterText,L,List Paragraph111,List Paragraph2,Medium Grid 1 - Accent 21,NFP GP Bulleted List,Numbered Paragraph,Table text,numbered,列出段,列出段落"/>
    <w:basedOn w:val="Normal"/>
    <w:link w:val="ListParagraphChar"/>
    <w:uiPriority w:val="34"/>
    <w:qFormat/>
    <w:pPr>
      <w:ind w:left="720"/>
      <w:contextualSpacing/>
    </w:pPr>
  </w:style>
  <w:style w:type="paragraph" w:customStyle="1" w:styleId="paragraph">
    <w:name w:val="paragraph"/>
    <w:basedOn w:val="Normal"/>
    <w:next w:val="Normal"/>
    <w:rsid w:val="006668E3"/>
    <w:pPr>
      <w:spacing w:before="100" w:beforeAutospacing="1" w:after="100" w:afterAutospacing="1"/>
    </w:pPr>
    <w:rPr>
      <w:rFonts w:eastAsia="Times New Roman"/>
      <w:lang w:val="en-AU" w:eastAsia="en-AU"/>
    </w:rPr>
  </w:style>
  <w:style w:type="character" w:customStyle="1" w:styleId="normaltextrun">
    <w:name w:val="normaltextrun"/>
    <w:basedOn w:val="DefaultParagraphFont"/>
    <w:rsid w:val="00A44D9A"/>
  </w:style>
  <w:style w:type="character" w:customStyle="1" w:styleId="eop">
    <w:name w:val="eop"/>
    <w:basedOn w:val="DefaultParagraphFont"/>
    <w:rsid w:val="00A44D9A"/>
  </w:style>
  <w:style w:type="paragraph" w:customStyle="1" w:styleId="indent">
    <w:name w:val="indent"/>
    <w:basedOn w:val="NormalWeb"/>
    <w:qFormat/>
    <w:rsid w:val="002C31B7"/>
    <w:pPr>
      <w:spacing w:before="120" w:after="100" w:afterAutospacing="1"/>
      <w:ind w:left="720"/>
    </w:pPr>
    <w:rPr>
      <w:rFonts w:cs="Arial"/>
      <w:i/>
      <w:iCs/>
    </w:rPr>
  </w:style>
  <w:style w:type="paragraph" w:styleId="NormalWeb">
    <w:name w:val="Normal (Web)"/>
    <w:basedOn w:val="Normal"/>
    <w:uiPriority w:val="99"/>
    <w:semiHidden/>
    <w:unhideWhenUsed/>
    <w:rsid w:val="008F5859"/>
  </w:style>
  <w:style w:type="paragraph" w:customStyle="1" w:styleId="bullettedlist">
    <w:name w:val="bulletted list"/>
    <w:basedOn w:val="Normal"/>
    <w:qFormat/>
    <w:rsid w:val="00E3580A"/>
    <w:pPr>
      <w:numPr>
        <w:numId w:val="6"/>
      </w:numPr>
      <w:spacing w:before="60"/>
      <w:ind w:left="357" w:hanging="357"/>
    </w:pPr>
    <w:rPr>
      <w:rFonts w:cs="Arial"/>
    </w:rPr>
  </w:style>
  <w:style w:type="character" w:customStyle="1" w:styleId="Heading1Char">
    <w:name w:val="Heading 1 Char"/>
    <w:basedOn w:val="DefaultParagraphFont"/>
    <w:link w:val="Heading1"/>
    <w:uiPriority w:val="9"/>
    <w:rsid w:val="002C31B7"/>
    <w:rPr>
      <w:rFonts w:ascii="Arial" w:eastAsiaTheme="minorEastAsia" w:hAnsi="Arial"/>
      <w:b/>
      <w:bCs/>
      <w:color w:val="2F5496" w:themeColor="accent1" w:themeShade="BF"/>
      <w:kern w:val="36"/>
      <w:sz w:val="36"/>
      <w:szCs w:val="48"/>
    </w:rPr>
  </w:style>
  <w:style w:type="character" w:customStyle="1" w:styleId="Heading3Char">
    <w:name w:val="Heading 3 Char"/>
    <w:basedOn w:val="DefaultParagraphFont"/>
    <w:link w:val="Heading3"/>
    <w:uiPriority w:val="9"/>
    <w:rsid w:val="00B157BA"/>
    <w:rPr>
      <w:rFonts w:ascii="Arial" w:eastAsiaTheme="majorEastAsia" w:hAnsi="Arial" w:cstheme="majorBidi"/>
      <w:b/>
      <w:color w:val="2F5496" w:themeColor="accent1" w:themeShade="BF"/>
      <w:sz w:val="28"/>
      <w:szCs w:val="24"/>
    </w:rPr>
  </w:style>
  <w:style w:type="paragraph" w:styleId="Title">
    <w:name w:val="Title"/>
    <w:basedOn w:val="Normal"/>
    <w:next w:val="Normal"/>
    <w:link w:val="TitleChar"/>
    <w:uiPriority w:val="10"/>
    <w:qFormat/>
    <w:rsid w:val="002C31B7"/>
    <w:pPr>
      <w:contextualSpacing/>
    </w:pPr>
    <w:rPr>
      <w:rFonts w:eastAsiaTheme="majorEastAsia" w:cstheme="majorBidi"/>
      <w:color w:val="2F5496" w:themeColor="accent1" w:themeShade="BF"/>
      <w:spacing w:val="-10"/>
      <w:kern w:val="28"/>
      <w:sz w:val="52"/>
      <w:szCs w:val="56"/>
    </w:rPr>
  </w:style>
  <w:style w:type="character" w:customStyle="1" w:styleId="TitleChar">
    <w:name w:val="Title Char"/>
    <w:basedOn w:val="DefaultParagraphFont"/>
    <w:link w:val="Title"/>
    <w:uiPriority w:val="10"/>
    <w:rsid w:val="002C31B7"/>
    <w:rPr>
      <w:rFonts w:ascii="Arial" w:eastAsiaTheme="majorEastAsia" w:hAnsi="Arial" w:cstheme="majorBidi"/>
      <w:color w:val="2F5496" w:themeColor="accent1" w:themeShade="BF"/>
      <w:spacing w:val="-10"/>
      <w:kern w:val="28"/>
      <w:sz w:val="52"/>
      <w:szCs w:val="56"/>
    </w:rPr>
  </w:style>
  <w:style w:type="character" w:styleId="Strong">
    <w:name w:val="Strong"/>
    <w:basedOn w:val="DefaultParagraphFont"/>
    <w:uiPriority w:val="22"/>
    <w:qFormat/>
    <w:rsid w:val="002C31B7"/>
    <w:rPr>
      <w:b/>
      <w:bCs/>
    </w:rPr>
  </w:style>
  <w:style w:type="character" w:styleId="Emphasis">
    <w:name w:val="Emphasis"/>
    <w:basedOn w:val="DefaultParagraphFont"/>
    <w:uiPriority w:val="20"/>
    <w:qFormat/>
    <w:rsid w:val="002C31B7"/>
    <w:rPr>
      <w:i/>
      <w:iCs/>
    </w:rPr>
  </w:style>
  <w:style w:type="paragraph" w:styleId="TOCHeading">
    <w:name w:val="TOC Heading"/>
    <w:basedOn w:val="Heading1"/>
    <w:next w:val="Normal"/>
    <w:uiPriority w:val="39"/>
    <w:unhideWhenUsed/>
    <w:qFormat/>
    <w:rsid w:val="002C31B7"/>
    <w:pPr>
      <w:keepNext/>
      <w:keepLines/>
      <w:spacing w:after="0" w:line="259" w:lineRule="auto"/>
      <w:outlineLvl w:val="9"/>
    </w:pPr>
    <w:rPr>
      <w:rFonts w:asciiTheme="majorHAnsi" w:eastAsiaTheme="majorEastAsia" w:hAnsiTheme="majorHAnsi" w:cstheme="majorBidi"/>
      <w:b w:val="0"/>
      <w:bCs w:val="0"/>
      <w:kern w:val="0"/>
      <w:sz w:val="32"/>
      <w:szCs w:val="32"/>
    </w:rPr>
  </w:style>
  <w:style w:type="character" w:customStyle="1" w:styleId="superscript">
    <w:name w:val="superscript"/>
    <w:basedOn w:val="DefaultParagraphFont"/>
    <w:rsid w:val="00CA60BE"/>
  </w:style>
  <w:style w:type="character" w:styleId="Hyperlink">
    <w:name w:val="Hyperlink"/>
    <w:basedOn w:val="DefaultParagraphFont"/>
    <w:uiPriority w:val="99"/>
    <w:unhideWhenUsed/>
    <w:rsid w:val="00A1275D"/>
    <w:rPr>
      <w:rFonts w:ascii="Arial" w:hAnsi="Arial"/>
      <w:color w:val="0563C1" w:themeColor="hyperlink"/>
      <w:sz w:val="24"/>
      <w:u w:val="single"/>
    </w:rPr>
  </w:style>
  <w:style w:type="character" w:styleId="UnresolvedMention">
    <w:name w:val="Unresolved Mention"/>
    <w:basedOn w:val="DefaultParagraphFont"/>
    <w:uiPriority w:val="99"/>
    <w:semiHidden/>
    <w:unhideWhenUsed/>
    <w:rsid w:val="00852E4A"/>
    <w:rPr>
      <w:color w:val="605E5C"/>
      <w:shd w:val="clear" w:color="auto" w:fill="E1DFDD"/>
    </w:rPr>
  </w:style>
  <w:style w:type="paragraph" w:styleId="FootnoteText">
    <w:name w:val="footnote text"/>
    <w:basedOn w:val="Normal"/>
    <w:link w:val="FootnoteTextChar"/>
    <w:uiPriority w:val="99"/>
    <w:semiHidden/>
    <w:unhideWhenUsed/>
    <w:rsid w:val="00E01341"/>
    <w:rPr>
      <w:sz w:val="20"/>
      <w:szCs w:val="20"/>
    </w:rPr>
  </w:style>
  <w:style w:type="character" w:customStyle="1" w:styleId="FootnoteTextChar">
    <w:name w:val="Footnote Text Char"/>
    <w:basedOn w:val="DefaultParagraphFont"/>
    <w:link w:val="FootnoteText"/>
    <w:uiPriority w:val="99"/>
    <w:semiHidden/>
    <w:rsid w:val="00E01341"/>
    <w:rPr>
      <w:rFonts w:ascii="Arial" w:eastAsiaTheme="minorEastAsia" w:hAnsi="Arial"/>
    </w:rPr>
  </w:style>
  <w:style w:type="character" w:styleId="FootnoteReference">
    <w:name w:val="footnote reference"/>
    <w:basedOn w:val="DefaultParagraphFont"/>
    <w:uiPriority w:val="99"/>
    <w:semiHidden/>
    <w:unhideWhenUsed/>
    <w:rsid w:val="00E01341"/>
    <w:rPr>
      <w:vertAlign w:val="superscript"/>
    </w:rPr>
  </w:style>
  <w:style w:type="table" w:styleId="TableGrid">
    <w:name w:val="Table Grid"/>
    <w:basedOn w:val="TableNormal"/>
    <w:uiPriority w:val="39"/>
    <w:rsid w:val="00182BF4"/>
    <w:rPr>
      <w:rFonts w:asciiTheme="minorHAnsi" w:eastAsiaTheme="minorHAnsi" w:hAnsiTheme="minorHAnsi" w:cstheme="minorBidi"/>
      <w:sz w:val="24"/>
      <w:szCs w:val="24"/>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D547B"/>
    <w:pPr>
      <w:tabs>
        <w:tab w:val="center" w:pos="4513"/>
        <w:tab w:val="right" w:pos="9026"/>
      </w:tabs>
    </w:pPr>
  </w:style>
  <w:style w:type="character" w:customStyle="1" w:styleId="HeaderChar">
    <w:name w:val="Header Char"/>
    <w:basedOn w:val="DefaultParagraphFont"/>
    <w:link w:val="Header"/>
    <w:uiPriority w:val="99"/>
    <w:rsid w:val="003D547B"/>
    <w:rPr>
      <w:rFonts w:ascii="Arial" w:eastAsiaTheme="minorEastAsia" w:hAnsi="Arial"/>
      <w:sz w:val="24"/>
      <w:szCs w:val="24"/>
    </w:rPr>
  </w:style>
  <w:style w:type="paragraph" w:styleId="Footer">
    <w:name w:val="footer"/>
    <w:basedOn w:val="Normal"/>
    <w:link w:val="FooterChar"/>
    <w:uiPriority w:val="99"/>
    <w:unhideWhenUsed/>
    <w:rsid w:val="003D547B"/>
    <w:pPr>
      <w:tabs>
        <w:tab w:val="center" w:pos="4513"/>
        <w:tab w:val="right" w:pos="9026"/>
      </w:tabs>
    </w:pPr>
  </w:style>
  <w:style w:type="character" w:customStyle="1" w:styleId="FooterChar">
    <w:name w:val="Footer Char"/>
    <w:basedOn w:val="DefaultParagraphFont"/>
    <w:link w:val="Footer"/>
    <w:uiPriority w:val="99"/>
    <w:rsid w:val="003D547B"/>
    <w:rPr>
      <w:rFonts w:ascii="Arial" w:eastAsiaTheme="minorEastAsia" w:hAnsi="Arial"/>
      <w:sz w:val="24"/>
      <w:szCs w:val="24"/>
    </w:rPr>
  </w:style>
  <w:style w:type="paragraph" w:customStyle="1" w:styleId="footnotetext0">
    <w:name w:val="footnote text0"/>
    <w:basedOn w:val="FootnoteText"/>
    <w:rsid w:val="00810D82"/>
    <w:pPr>
      <w:spacing w:before="40"/>
    </w:pPr>
    <w:rPr>
      <w:i/>
      <w:sz w:val="18"/>
      <w:lang w:val="en-AU"/>
    </w:rPr>
  </w:style>
  <w:style w:type="character" w:styleId="SubtleEmphasis">
    <w:name w:val="Subtle Emphasis"/>
    <w:basedOn w:val="DefaultParagraphFont"/>
    <w:uiPriority w:val="19"/>
    <w:qFormat/>
    <w:rsid w:val="008310E5"/>
    <w:rPr>
      <w:i/>
      <w:iCs/>
      <w:color w:val="404040" w:themeColor="text1" w:themeTint="BF"/>
    </w:rPr>
  </w:style>
  <w:style w:type="paragraph" w:customStyle="1" w:styleId="Footnote">
    <w:name w:val="Footnote"/>
    <w:basedOn w:val="Normal"/>
    <w:qFormat/>
    <w:rsid w:val="008310E5"/>
    <w:pPr>
      <w:spacing w:after="120"/>
    </w:pPr>
    <w:rPr>
      <w:rFonts w:eastAsia="Arial" w:cs="Myriad Pro Light"/>
      <w:i/>
      <w:color w:val="000000"/>
      <w:sz w:val="16"/>
      <w:szCs w:val="20"/>
      <w:lang w:val="en" w:eastAsia="en-AU"/>
    </w:rPr>
  </w:style>
  <w:style w:type="paragraph" w:styleId="CommentText">
    <w:name w:val="annotation text"/>
    <w:basedOn w:val="Normal"/>
    <w:link w:val="CommentTextChar"/>
    <w:uiPriority w:val="99"/>
    <w:unhideWhenUsed/>
    <w:rsid w:val="00D7439F"/>
    <w:rPr>
      <w:rFonts w:eastAsia="Arial" w:cs="Arial"/>
      <w:sz w:val="20"/>
      <w:szCs w:val="20"/>
      <w:lang w:val="en" w:eastAsia="en-AU"/>
    </w:rPr>
  </w:style>
  <w:style w:type="character" w:customStyle="1" w:styleId="CommentTextChar">
    <w:name w:val="Comment Text Char"/>
    <w:basedOn w:val="DefaultParagraphFont"/>
    <w:link w:val="CommentText"/>
    <w:uiPriority w:val="99"/>
    <w:rsid w:val="00D7439F"/>
    <w:rPr>
      <w:rFonts w:ascii="Arial" w:eastAsia="Arial" w:hAnsi="Arial" w:cs="Arial"/>
      <w:lang w:val="en" w:eastAsia="en-AU"/>
    </w:rPr>
  </w:style>
  <w:style w:type="character" w:styleId="CommentReference">
    <w:name w:val="annotation reference"/>
    <w:basedOn w:val="DefaultParagraphFont"/>
    <w:uiPriority w:val="99"/>
    <w:semiHidden/>
    <w:unhideWhenUsed/>
    <w:rsid w:val="00D7439F"/>
    <w:rPr>
      <w:sz w:val="16"/>
      <w:szCs w:val="16"/>
    </w:rPr>
  </w:style>
  <w:style w:type="paragraph" w:customStyle="1" w:styleId="dotpoint">
    <w:name w:val="dot point"/>
    <w:basedOn w:val="paratext"/>
    <w:qFormat/>
    <w:rsid w:val="00577005"/>
    <w:pPr>
      <w:numPr>
        <w:numId w:val="12"/>
      </w:numPr>
      <w:spacing w:line="240" w:lineRule="auto"/>
      <w:ind w:left="357" w:hanging="357"/>
    </w:pPr>
  </w:style>
  <w:style w:type="paragraph" w:customStyle="1" w:styleId="paratext">
    <w:name w:val="para text"/>
    <w:basedOn w:val="Normal"/>
    <w:qFormat/>
    <w:rsid w:val="00577005"/>
    <w:pPr>
      <w:spacing w:before="120" w:line="276" w:lineRule="auto"/>
    </w:pPr>
    <w:rPr>
      <w:rFonts w:eastAsia="Arial" w:cs="Arial"/>
      <w:szCs w:val="22"/>
      <w:lang w:val="en" w:eastAsia="en-AU"/>
    </w:rPr>
  </w:style>
  <w:style w:type="paragraph" w:styleId="TOC1">
    <w:name w:val="toc 1"/>
    <w:basedOn w:val="Normal"/>
    <w:next w:val="Normal"/>
    <w:autoRedefine/>
    <w:uiPriority w:val="39"/>
    <w:unhideWhenUsed/>
    <w:rsid w:val="00F42C5C"/>
    <w:pPr>
      <w:tabs>
        <w:tab w:val="right" w:leader="dot" w:pos="9350"/>
      </w:tabs>
      <w:spacing w:after="100"/>
    </w:pPr>
  </w:style>
  <w:style w:type="paragraph" w:styleId="TOC2">
    <w:name w:val="toc 2"/>
    <w:basedOn w:val="Normal"/>
    <w:next w:val="Normal"/>
    <w:autoRedefine/>
    <w:uiPriority w:val="39"/>
    <w:unhideWhenUsed/>
    <w:rsid w:val="007A2479"/>
    <w:pPr>
      <w:tabs>
        <w:tab w:val="right" w:leader="dot" w:pos="9350"/>
      </w:tabs>
      <w:spacing w:after="100"/>
      <w:ind w:left="240"/>
    </w:pPr>
  </w:style>
  <w:style w:type="paragraph" w:styleId="TOC3">
    <w:name w:val="toc 3"/>
    <w:basedOn w:val="Normal"/>
    <w:next w:val="Normal"/>
    <w:autoRedefine/>
    <w:uiPriority w:val="39"/>
    <w:unhideWhenUsed/>
    <w:rsid w:val="00AC2CF1"/>
    <w:pPr>
      <w:spacing w:after="100"/>
      <w:ind w:left="480"/>
    </w:pPr>
  </w:style>
  <w:style w:type="paragraph" w:styleId="CommentSubject">
    <w:name w:val="annotation subject"/>
    <w:basedOn w:val="CommentText"/>
    <w:next w:val="CommentText"/>
    <w:link w:val="CommentSubjectChar"/>
    <w:uiPriority w:val="99"/>
    <w:semiHidden/>
    <w:unhideWhenUsed/>
    <w:rsid w:val="002C05A1"/>
    <w:rPr>
      <w:rFonts w:eastAsiaTheme="minorEastAsia" w:cs="Times New Roman"/>
      <w:b/>
      <w:bCs/>
      <w:lang w:val="en-US" w:eastAsia="en-US"/>
    </w:rPr>
  </w:style>
  <w:style w:type="character" w:customStyle="1" w:styleId="CommentSubjectChar">
    <w:name w:val="Comment Subject Char"/>
    <w:basedOn w:val="CommentTextChar"/>
    <w:link w:val="CommentSubject"/>
    <w:uiPriority w:val="99"/>
    <w:semiHidden/>
    <w:rsid w:val="002C05A1"/>
    <w:rPr>
      <w:rFonts w:ascii="Arial" w:eastAsiaTheme="minorEastAsia" w:hAnsi="Arial" w:cs="Arial"/>
      <w:b/>
      <w:bCs/>
      <w:lang w:val="en" w:eastAsia="en-AU"/>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992894"/>
    <w:rPr>
      <w:rFonts w:ascii="Arial" w:eastAsiaTheme="minorEastAsia" w:hAnsi="Arial"/>
      <w:sz w:val="24"/>
      <w:szCs w:val="24"/>
    </w:rPr>
  </w:style>
  <w:style w:type="character" w:styleId="FollowedHyperlink">
    <w:name w:val="FollowedHyperlink"/>
    <w:basedOn w:val="DefaultParagraphFont"/>
    <w:uiPriority w:val="99"/>
    <w:semiHidden/>
    <w:unhideWhenUsed/>
    <w:rsid w:val="00CC2B01"/>
    <w:rPr>
      <w:color w:val="954F72" w:themeColor="followedHyperlink"/>
      <w:u w:val="single"/>
    </w:rPr>
  </w:style>
  <w:style w:type="paragraph" w:customStyle="1" w:styleId="Default">
    <w:name w:val="Default"/>
    <w:rsid w:val="00096316"/>
    <w:pPr>
      <w:autoSpaceDE w:val="0"/>
      <w:autoSpaceDN w:val="0"/>
      <w:adjustRightInd w:val="0"/>
    </w:pPr>
    <w:rPr>
      <w:rFonts w:ascii="Calibri" w:hAnsi="Calibri" w:cs="Calibri"/>
      <w:color w:val="000000"/>
      <w:sz w:val="24"/>
      <w:szCs w:val="24"/>
      <w:lang w:val="en-AU"/>
    </w:rPr>
  </w:style>
  <w:style w:type="paragraph" w:customStyle="1" w:styleId="pf0">
    <w:name w:val="pf0"/>
    <w:basedOn w:val="Normal"/>
    <w:rsid w:val="003019E3"/>
    <w:pPr>
      <w:spacing w:before="100" w:beforeAutospacing="1" w:after="100" w:afterAutospacing="1"/>
    </w:pPr>
    <w:rPr>
      <w:rFonts w:ascii="Times New Roman" w:eastAsia="Times New Roman" w:hAnsi="Times New Roman"/>
      <w:lang w:val="en-AU" w:eastAsia="en-AU"/>
    </w:rPr>
  </w:style>
  <w:style w:type="character" w:customStyle="1" w:styleId="cf01">
    <w:name w:val="cf01"/>
    <w:basedOn w:val="DefaultParagraphFont"/>
    <w:rsid w:val="003019E3"/>
    <w:rPr>
      <w:rFonts w:ascii="Segoe UI" w:hAnsi="Segoe UI" w:cs="Segoe UI" w:hint="default"/>
      <w:sz w:val="18"/>
      <w:szCs w:val="18"/>
    </w:rPr>
  </w:style>
  <w:style w:type="character" w:customStyle="1" w:styleId="cf11">
    <w:name w:val="cf11"/>
    <w:basedOn w:val="DefaultParagraphFont"/>
    <w:rsid w:val="003019E3"/>
    <w:rPr>
      <w:rFonts w:ascii="Segoe UI" w:hAnsi="Segoe UI" w:cs="Segoe UI" w:hint="default"/>
      <w:b/>
      <w:bCs/>
      <w:sz w:val="18"/>
      <w:szCs w:val="18"/>
    </w:rPr>
  </w:style>
  <w:style w:type="character" w:customStyle="1" w:styleId="cf21">
    <w:name w:val="cf21"/>
    <w:basedOn w:val="DefaultParagraphFont"/>
    <w:rsid w:val="003019E3"/>
    <w:rPr>
      <w:rFonts w:ascii="Segoe UI" w:hAnsi="Segoe UI" w:cs="Segoe UI" w:hint="default"/>
      <w:i/>
      <w:iCs/>
      <w:sz w:val="18"/>
      <w:szCs w:val="18"/>
    </w:rPr>
  </w:style>
  <w:style w:type="paragraph" w:customStyle="1" w:styleId="references">
    <w:name w:val="references"/>
    <w:basedOn w:val="Normal"/>
    <w:rsid w:val="001A6F1C"/>
    <w:pPr>
      <w:spacing w:before="120" w:after="240"/>
      <w:ind w:left="720" w:hanging="720"/>
    </w:pPr>
    <w:rPr>
      <w:rFonts w:eastAsia="Times New Roman" w:cs="Arial"/>
      <w:lang w:eastAsia="en-AU"/>
    </w:rPr>
  </w:style>
  <w:style w:type="paragraph" w:customStyle="1" w:styleId="Pa18">
    <w:name w:val="Pa18"/>
    <w:basedOn w:val="Default"/>
    <w:next w:val="Default"/>
    <w:uiPriority w:val="99"/>
    <w:rsid w:val="0074110B"/>
    <w:pPr>
      <w:spacing w:line="171" w:lineRule="atLeast"/>
    </w:pPr>
    <w:rPr>
      <w:rFonts w:ascii="Atletico Medium" w:hAnsi="Atletico Medium" w:cs="Times New Roman"/>
      <w:color w:val="auto"/>
    </w:rPr>
  </w:style>
  <w:style w:type="paragraph" w:customStyle="1" w:styleId="Pa21">
    <w:name w:val="Pa21"/>
    <w:basedOn w:val="Default"/>
    <w:next w:val="Default"/>
    <w:uiPriority w:val="99"/>
    <w:rsid w:val="0074110B"/>
    <w:pPr>
      <w:spacing w:line="171" w:lineRule="atLeast"/>
    </w:pPr>
    <w:rPr>
      <w:rFonts w:ascii="Atletico Medium" w:hAnsi="Atletico Medium" w:cs="Times New Roman"/>
      <w:color w:val="auto"/>
    </w:rPr>
  </w:style>
  <w:style w:type="paragraph" w:customStyle="1" w:styleId="Pa12">
    <w:name w:val="Pa12"/>
    <w:basedOn w:val="Default"/>
    <w:next w:val="Default"/>
    <w:uiPriority w:val="99"/>
    <w:rsid w:val="0074110B"/>
    <w:pPr>
      <w:spacing w:line="171" w:lineRule="atLeast"/>
    </w:pPr>
    <w:rPr>
      <w:rFonts w:ascii="Atletico Medium" w:hAnsi="Atletico Medium" w:cs="Times New Roman"/>
      <w:color w:val="auto"/>
    </w:rPr>
  </w:style>
  <w:style w:type="table" w:styleId="ListTable4-Accent1">
    <w:name w:val="List Table 4 Accent 1"/>
    <w:basedOn w:val="TableNormal"/>
    <w:uiPriority w:val="49"/>
    <w:rsid w:val="00BF146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Tablename">
    <w:name w:val="Table name"/>
    <w:basedOn w:val="Normal"/>
    <w:rsid w:val="0055138C"/>
    <w:pPr>
      <w:spacing w:before="120" w:after="120"/>
    </w:pPr>
    <w:rPr>
      <w:b/>
      <w:i/>
      <w:iCs/>
      <w:sz w:val="20"/>
    </w:rPr>
  </w:style>
  <w:style w:type="paragraph" w:customStyle="1" w:styleId="tabletext">
    <w:name w:val="table text"/>
    <w:basedOn w:val="Normal"/>
    <w:rsid w:val="005B470A"/>
    <w:rPr>
      <w:bCs/>
      <w:sz w:val="20"/>
    </w:rPr>
  </w:style>
  <w:style w:type="table" w:styleId="ListTable3-Accent5">
    <w:name w:val="List Table 3 Accent 5"/>
    <w:basedOn w:val="TableNormal"/>
    <w:uiPriority w:val="48"/>
    <w:rsid w:val="00E96E73"/>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adcet">
    <w:name w:val="adcet"/>
    <w:basedOn w:val="TableNormal"/>
    <w:uiPriority w:val="99"/>
    <w:rsid w:val="00E96E73"/>
    <w:rPr>
      <w:rFonts w:ascii="Arial" w:hAnsi="Arial"/>
      <w:sz w:val="22"/>
    </w:rPr>
    <w:tblPr/>
  </w:style>
  <w:style w:type="table" w:customStyle="1" w:styleId="adcet1">
    <w:name w:val="adcet1"/>
    <w:basedOn w:val="TableNormal"/>
    <w:uiPriority w:val="99"/>
    <w:rsid w:val="00642319"/>
    <w:rPr>
      <w:rFonts w:ascii="Arial" w:hAnsi="Arial"/>
      <w:sz w:val="22"/>
    </w:rPr>
    <w:tblPr>
      <w:tblBorders>
        <w:top w:val="single" w:sz="8" w:space="0" w:color="1F3864" w:themeColor="accent1" w:themeShade="80"/>
        <w:left w:val="single" w:sz="8" w:space="0" w:color="1F3864" w:themeColor="accent1" w:themeShade="80"/>
        <w:bottom w:val="single" w:sz="8" w:space="0" w:color="1F3864" w:themeColor="accent1" w:themeShade="80"/>
        <w:right w:val="single" w:sz="8" w:space="0" w:color="1F3864" w:themeColor="accent1" w:themeShade="80"/>
        <w:insideH w:val="single" w:sz="8" w:space="0" w:color="1F3864" w:themeColor="accent1" w:themeShade="80"/>
        <w:insideV w:val="single" w:sz="8" w:space="0" w:color="1F3864" w:themeColor="accent1" w:themeShade="80"/>
      </w:tblBorders>
    </w:tblPr>
  </w:style>
  <w:style w:type="paragraph" w:customStyle="1" w:styleId="xmsonormal">
    <w:name w:val="x_msonormal"/>
    <w:basedOn w:val="Normal"/>
    <w:rsid w:val="0030543D"/>
    <w:pPr>
      <w:spacing w:before="100" w:beforeAutospacing="1" w:after="100" w:afterAutospacing="1"/>
    </w:pPr>
    <w:rPr>
      <w:rFonts w:ascii="Times New Roman" w:eastAsia="Times New Roman" w:hAnsi="Times New Roman"/>
      <w:lang w:val="en-AU" w:eastAsia="en-AU"/>
    </w:rPr>
  </w:style>
  <w:style w:type="paragraph" w:customStyle="1" w:styleId="Pa7">
    <w:name w:val="Pa7"/>
    <w:basedOn w:val="Default"/>
    <w:next w:val="Default"/>
    <w:uiPriority w:val="99"/>
    <w:rsid w:val="00A713FC"/>
    <w:pPr>
      <w:spacing w:line="361" w:lineRule="atLeast"/>
    </w:pPr>
    <w:rPr>
      <w:rFonts w:ascii="DINPro-Medium" w:hAnsi="DINPro-Medium" w:cs="Times New Roman"/>
      <w:color w:val="auto"/>
    </w:rPr>
  </w:style>
  <w:style w:type="paragraph" w:customStyle="1" w:styleId="Pa4">
    <w:name w:val="Pa4"/>
    <w:basedOn w:val="Default"/>
    <w:next w:val="Default"/>
    <w:uiPriority w:val="99"/>
    <w:rsid w:val="00A713FC"/>
    <w:pPr>
      <w:spacing w:line="221" w:lineRule="atLeast"/>
    </w:pPr>
    <w:rPr>
      <w:rFonts w:ascii="DINPro-Medium" w:hAnsi="DINPro-Medium" w:cs="Times New Roman"/>
      <w:color w:val="auto"/>
    </w:rPr>
  </w:style>
  <w:style w:type="character" w:customStyle="1" w:styleId="A6">
    <w:name w:val="A6"/>
    <w:uiPriority w:val="99"/>
    <w:rsid w:val="00A713FC"/>
    <w:rPr>
      <w:rFonts w:ascii="Arial" w:hAnsi="Arial" w:cs="Arial"/>
      <w:color w:val="000000"/>
      <w:sz w:val="12"/>
      <w:szCs w:val="12"/>
    </w:rPr>
  </w:style>
  <w:style w:type="paragraph" w:customStyle="1" w:styleId="Pa6">
    <w:name w:val="Pa6"/>
    <w:basedOn w:val="Default"/>
    <w:next w:val="Default"/>
    <w:uiPriority w:val="99"/>
    <w:rsid w:val="00A713FC"/>
    <w:pPr>
      <w:spacing w:line="221" w:lineRule="atLeast"/>
    </w:pPr>
    <w:rPr>
      <w:rFonts w:ascii="DINPro-Medium" w:hAnsi="DINPro-Medium" w:cs="Times New Roman"/>
      <w:color w:val="auto"/>
    </w:rPr>
  </w:style>
  <w:style w:type="paragraph" w:customStyle="1" w:styleId="Pa16">
    <w:name w:val="Pa16"/>
    <w:basedOn w:val="Default"/>
    <w:next w:val="Default"/>
    <w:uiPriority w:val="99"/>
    <w:rsid w:val="00A713FC"/>
    <w:pPr>
      <w:spacing w:line="221" w:lineRule="atLeast"/>
    </w:pPr>
    <w:rPr>
      <w:rFonts w:ascii="DINPro-Medium" w:hAnsi="DINPro-Medium" w:cs="Times New Roman"/>
      <w:color w:val="auto"/>
    </w:rPr>
  </w:style>
  <w:style w:type="paragraph" w:customStyle="1" w:styleId="Pa2">
    <w:name w:val="Pa2"/>
    <w:basedOn w:val="Default"/>
    <w:next w:val="Default"/>
    <w:uiPriority w:val="99"/>
    <w:rsid w:val="00A713FC"/>
    <w:pPr>
      <w:spacing w:line="221" w:lineRule="atLeast"/>
    </w:pPr>
    <w:rPr>
      <w:rFonts w:ascii="DINPro-Medium" w:hAnsi="DINPro-Medium" w:cs="Times New Roman"/>
      <w:color w:val="auto"/>
    </w:rPr>
  </w:style>
  <w:style w:type="character" w:customStyle="1" w:styleId="A9">
    <w:name w:val="A9"/>
    <w:uiPriority w:val="99"/>
    <w:rsid w:val="00A713FC"/>
    <w:rPr>
      <w:rFonts w:ascii="Arial" w:hAnsi="Arial" w:cs="Arial"/>
      <w:color w:val="000000"/>
      <w:sz w:val="22"/>
      <w:szCs w:val="22"/>
      <w:u w:val="single"/>
    </w:rPr>
  </w:style>
  <w:style w:type="paragraph" w:customStyle="1" w:styleId="Pa5">
    <w:name w:val="Pa5"/>
    <w:basedOn w:val="Default"/>
    <w:next w:val="Default"/>
    <w:uiPriority w:val="99"/>
    <w:rsid w:val="00A713FC"/>
    <w:pPr>
      <w:spacing w:line="221" w:lineRule="atLeast"/>
    </w:pPr>
    <w:rPr>
      <w:rFonts w:ascii="DINPro-Medium" w:hAnsi="DINPro-Medium" w:cs="Times New Roman"/>
      <w:color w:val="auto"/>
    </w:rPr>
  </w:style>
  <w:style w:type="character" w:customStyle="1" w:styleId="A2">
    <w:name w:val="A2"/>
    <w:uiPriority w:val="99"/>
    <w:rsid w:val="00A713FC"/>
    <w:rPr>
      <w:rFonts w:cs="DINPro-Medium"/>
      <w:color w:val="316784"/>
      <w:sz w:val="36"/>
      <w:szCs w:val="36"/>
    </w:rPr>
  </w:style>
  <w:style w:type="paragraph" w:customStyle="1" w:styleId="Pa19">
    <w:name w:val="Pa19"/>
    <w:basedOn w:val="Default"/>
    <w:next w:val="Default"/>
    <w:uiPriority w:val="99"/>
    <w:rsid w:val="00A713FC"/>
    <w:pPr>
      <w:spacing w:line="221" w:lineRule="atLeast"/>
    </w:pPr>
    <w:rPr>
      <w:rFonts w:ascii="DINPro-Medium" w:hAnsi="DINPro-Medium" w:cs="Times New Roman"/>
      <w:color w:val="auto"/>
    </w:rPr>
  </w:style>
  <w:style w:type="character" w:customStyle="1" w:styleId="Heading5Char">
    <w:name w:val="Heading 5 Char"/>
    <w:basedOn w:val="DefaultParagraphFont"/>
    <w:link w:val="Heading5"/>
    <w:uiPriority w:val="9"/>
    <w:rsid w:val="00713450"/>
    <w:rPr>
      <w:rFonts w:asciiTheme="majorHAnsi" w:eastAsiaTheme="majorEastAsia" w:hAnsiTheme="majorHAnsi" w:cstheme="majorBidi"/>
      <w:color w:val="2F5496" w:themeColor="accent1" w:themeShade="BF"/>
      <w:sz w:val="24"/>
      <w:szCs w:val="24"/>
    </w:rPr>
  </w:style>
  <w:style w:type="paragraph" w:styleId="NoSpacing">
    <w:name w:val="No Spacing"/>
    <w:uiPriority w:val="1"/>
    <w:qFormat/>
    <w:rsid w:val="00192F4A"/>
    <w:rPr>
      <w:rFonts w:ascii="Arial" w:eastAsiaTheme="minorEastAsia" w:hAnsi="Arial"/>
      <w:sz w:val="24"/>
      <w:szCs w:val="24"/>
    </w:rPr>
  </w:style>
  <w:style w:type="paragraph" w:styleId="Quote">
    <w:name w:val="Quote"/>
    <w:basedOn w:val="Normal"/>
    <w:next w:val="Normal"/>
    <w:link w:val="QuoteChar"/>
    <w:uiPriority w:val="29"/>
    <w:qFormat/>
    <w:rsid w:val="004016DA"/>
    <w:pPr>
      <w:spacing w:before="200" w:after="160"/>
      <w:ind w:left="864" w:right="864"/>
    </w:pPr>
    <w:rPr>
      <w:i/>
      <w:iCs/>
      <w:color w:val="404040" w:themeColor="text1" w:themeTint="BF"/>
    </w:rPr>
  </w:style>
  <w:style w:type="character" w:customStyle="1" w:styleId="QuoteChar">
    <w:name w:val="Quote Char"/>
    <w:basedOn w:val="DefaultParagraphFont"/>
    <w:link w:val="Quote"/>
    <w:uiPriority w:val="29"/>
    <w:rsid w:val="004016DA"/>
    <w:rPr>
      <w:rFonts w:ascii="Arial" w:eastAsiaTheme="minorEastAsia" w:hAnsi="Arial"/>
      <w:i/>
      <w:iCs/>
      <w:color w:val="404040" w:themeColor="text1" w:themeTint="BF"/>
      <w:sz w:val="24"/>
      <w:szCs w:val="24"/>
    </w:rPr>
  </w:style>
  <w:style w:type="character" w:customStyle="1" w:styleId="ListParagraphChar">
    <w:name w:val="List Paragraph Char"/>
    <w:aliases w:val="List Paragraph11 Char,Recommendation Char,List Paragraph1 Char,Bullet point Char,CV text Char,Dot pt Char,F5 List Paragraph Char,FooterText Char,L Char,List Paragraph111 Char,List Paragraph2 Char,Medium Grid 1 - Accent 21 Char"/>
    <w:basedOn w:val="DefaultParagraphFont"/>
    <w:link w:val="ListParagraph"/>
    <w:uiPriority w:val="34"/>
    <w:locked/>
    <w:rsid w:val="00E40FC6"/>
    <w:rPr>
      <w:rFonts w:ascii="Arial" w:eastAsiaTheme="minorEastAsia" w:hAnsi="Arial"/>
      <w:sz w:val="24"/>
      <w:szCs w:val="24"/>
    </w:rPr>
  </w:style>
  <w:style w:type="character" w:customStyle="1" w:styleId="scxw8557766">
    <w:name w:val="scxw8557766"/>
    <w:basedOn w:val="DefaultParagraphFont"/>
    <w:rsid w:val="001347B8"/>
  </w:style>
  <w:style w:type="paragraph" w:customStyle="1" w:styleId="CM36">
    <w:name w:val="CM36"/>
    <w:basedOn w:val="Default"/>
    <w:next w:val="Default"/>
    <w:uiPriority w:val="99"/>
    <w:rsid w:val="00C54532"/>
    <w:rPr>
      <w:rFonts w:ascii="Arial" w:hAnsi="Arial" w:cs="Arial"/>
      <w:color w:val="auto"/>
    </w:rPr>
  </w:style>
  <w:style w:type="paragraph" w:customStyle="1" w:styleId="CM32">
    <w:name w:val="CM32"/>
    <w:basedOn w:val="Default"/>
    <w:next w:val="Default"/>
    <w:uiPriority w:val="99"/>
    <w:rsid w:val="00D83F9C"/>
    <w:rPr>
      <w:rFonts w:ascii="Arial" w:hAnsi="Arial" w:cs="Arial"/>
      <w:color w:val="auto"/>
    </w:rPr>
  </w:style>
  <w:style w:type="paragraph" w:customStyle="1" w:styleId="CM7">
    <w:name w:val="CM7"/>
    <w:basedOn w:val="Default"/>
    <w:next w:val="Default"/>
    <w:uiPriority w:val="99"/>
    <w:rsid w:val="00D83F9C"/>
    <w:rPr>
      <w:rFonts w:ascii="Arial" w:hAnsi="Arial" w:cs="Arial"/>
      <w:color w:val="auto"/>
    </w:rPr>
  </w:style>
  <w:style w:type="paragraph" w:customStyle="1" w:styleId="CM4">
    <w:name w:val="CM4"/>
    <w:basedOn w:val="Default"/>
    <w:next w:val="Default"/>
    <w:uiPriority w:val="99"/>
    <w:rsid w:val="00E35DAB"/>
    <w:rPr>
      <w:rFonts w:ascii="Arial" w:hAnsi="Arial" w:cs="Arial"/>
      <w:color w:val="auto"/>
    </w:rPr>
  </w:style>
  <w:style w:type="paragraph" w:customStyle="1" w:styleId="numberedpara">
    <w:name w:val="numbered para"/>
    <w:basedOn w:val="Normal"/>
    <w:qFormat/>
    <w:rsid w:val="007A1E1B"/>
    <w:pPr>
      <w:numPr>
        <w:numId w:val="36"/>
      </w:numPr>
      <w:spacing w:before="240" w:after="240"/>
    </w:pPr>
    <w:rPr>
      <w:rFonts w:eastAsia="Arial" w:cs="Arial"/>
      <w:szCs w:val="22"/>
      <w:lang w:val="en" w:eastAsia="en-AU"/>
    </w:rPr>
  </w:style>
  <w:style w:type="paragraph" w:customStyle="1" w:styleId="redemphasis">
    <w:name w:val="red emphasis"/>
    <w:basedOn w:val="Normal"/>
    <w:qFormat/>
    <w:rsid w:val="004A23B2"/>
    <w:rPr>
      <w:b/>
      <w:bCs/>
      <w:color w:val="FF0000"/>
    </w:rPr>
  </w:style>
  <w:style w:type="paragraph" w:styleId="IntenseQuote">
    <w:name w:val="Intense Quote"/>
    <w:basedOn w:val="Normal"/>
    <w:next w:val="Normal"/>
    <w:link w:val="IntenseQuoteChar"/>
    <w:uiPriority w:val="30"/>
    <w:qFormat/>
    <w:rsid w:val="003157E0"/>
    <w:pPr>
      <w:pBdr>
        <w:top w:val="single" w:sz="4" w:space="10" w:color="4472C4" w:themeColor="accent1"/>
        <w:bottom w:val="single" w:sz="4" w:space="10" w:color="4472C4" w:themeColor="accent1"/>
      </w:pBdr>
      <w:spacing w:before="120" w:after="120"/>
      <w:ind w:left="284" w:right="284"/>
    </w:pPr>
    <w:rPr>
      <w:i/>
      <w:iCs/>
      <w:color w:val="2F5496" w:themeColor="accent1" w:themeShade="BF"/>
    </w:rPr>
  </w:style>
  <w:style w:type="character" w:customStyle="1" w:styleId="IntenseQuoteChar">
    <w:name w:val="Intense Quote Char"/>
    <w:basedOn w:val="DefaultParagraphFont"/>
    <w:link w:val="IntenseQuote"/>
    <w:uiPriority w:val="30"/>
    <w:rsid w:val="003157E0"/>
    <w:rPr>
      <w:rFonts w:ascii="Arial" w:eastAsiaTheme="minorEastAsia" w:hAnsi="Arial"/>
      <w:i/>
      <w:iCs/>
      <w:color w:val="2F5496" w:themeColor="accent1" w:themeShade="BF"/>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5333">
      <w:bodyDiv w:val="1"/>
      <w:marLeft w:val="0"/>
      <w:marRight w:val="0"/>
      <w:marTop w:val="0"/>
      <w:marBottom w:val="0"/>
      <w:divBdr>
        <w:top w:val="none" w:sz="0" w:space="0" w:color="auto"/>
        <w:left w:val="none" w:sz="0" w:space="0" w:color="auto"/>
        <w:bottom w:val="none" w:sz="0" w:space="0" w:color="auto"/>
        <w:right w:val="none" w:sz="0" w:space="0" w:color="auto"/>
      </w:divBdr>
    </w:div>
    <w:div w:id="48889938">
      <w:bodyDiv w:val="1"/>
      <w:marLeft w:val="0"/>
      <w:marRight w:val="0"/>
      <w:marTop w:val="0"/>
      <w:marBottom w:val="0"/>
      <w:divBdr>
        <w:top w:val="none" w:sz="0" w:space="0" w:color="auto"/>
        <w:left w:val="none" w:sz="0" w:space="0" w:color="auto"/>
        <w:bottom w:val="none" w:sz="0" w:space="0" w:color="auto"/>
        <w:right w:val="none" w:sz="0" w:space="0" w:color="auto"/>
      </w:divBdr>
    </w:div>
    <w:div w:id="108865630">
      <w:bodyDiv w:val="1"/>
      <w:marLeft w:val="0"/>
      <w:marRight w:val="0"/>
      <w:marTop w:val="0"/>
      <w:marBottom w:val="0"/>
      <w:divBdr>
        <w:top w:val="none" w:sz="0" w:space="0" w:color="auto"/>
        <w:left w:val="none" w:sz="0" w:space="0" w:color="auto"/>
        <w:bottom w:val="none" w:sz="0" w:space="0" w:color="auto"/>
        <w:right w:val="none" w:sz="0" w:space="0" w:color="auto"/>
      </w:divBdr>
      <w:divsChild>
        <w:div w:id="992418256">
          <w:marLeft w:val="0"/>
          <w:marRight w:val="0"/>
          <w:marTop w:val="0"/>
          <w:marBottom w:val="0"/>
          <w:divBdr>
            <w:top w:val="none" w:sz="0" w:space="0" w:color="auto"/>
            <w:left w:val="none" w:sz="0" w:space="0" w:color="auto"/>
            <w:bottom w:val="none" w:sz="0" w:space="0" w:color="auto"/>
            <w:right w:val="none" w:sz="0" w:space="0" w:color="auto"/>
          </w:divBdr>
        </w:div>
        <w:div w:id="1547185505">
          <w:marLeft w:val="0"/>
          <w:marRight w:val="0"/>
          <w:marTop w:val="0"/>
          <w:marBottom w:val="0"/>
          <w:divBdr>
            <w:top w:val="none" w:sz="0" w:space="0" w:color="auto"/>
            <w:left w:val="none" w:sz="0" w:space="0" w:color="auto"/>
            <w:bottom w:val="none" w:sz="0" w:space="0" w:color="auto"/>
            <w:right w:val="none" w:sz="0" w:space="0" w:color="auto"/>
          </w:divBdr>
        </w:div>
      </w:divsChild>
    </w:div>
    <w:div w:id="118109884">
      <w:bodyDiv w:val="1"/>
      <w:marLeft w:val="0"/>
      <w:marRight w:val="0"/>
      <w:marTop w:val="0"/>
      <w:marBottom w:val="0"/>
      <w:divBdr>
        <w:top w:val="none" w:sz="0" w:space="0" w:color="auto"/>
        <w:left w:val="none" w:sz="0" w:space="0" w:color="auto"/>
        <w:bottom w:val="none" w:sz="0" w:space="0" w:color="auto"/>
        <w:right w:val="none" w:sz="0" w:space="0" w:color="auto"/>
      </w:divBdr>
    </w:div>
    <w:div w:id="257911727">
      <w:bodyDiv w:val="1"/>
      <w:marLeft w:val="0"/>
      <w:marRight w:val="0"/>
      <w:marTop w:val="0"/>
      <w:marBottom w:val="0"/>
      <w:divBdr>
        <w:top w:val="none" w:sz="0" w:space="0" w:color="auto"/>
        <w:left w:val="none" w:sz="0" w:space="0" w:color="auto"/>
        <w:bottom w:val="none" w:sz="0" w:space="0" w:color="auto"/>
        <w:right w:val="none" w:sz="0" w:space="0" w:color="auto"/>
      </w:divBdr>
    </w:div>
    <w:div w:id="271594715">
      <w:bodyDiv w:val="1"/>
      <w:marLeft w:val="0"/>
      <w:marRight w:val="0"/>
      <w:marTop w:val="0"/>
      <w:marBottom w:val="0"/>
      <w:divBdr>
        <w:top w:val="none" w:sz="0" w:space="0" w:color="auto"/>
        <w:left w:val="none" w:sz="0" w:space="0" w:color="auto"/>
        <w:bottom w:val="none" w:sz="0" w:space="0" w:color="auto"/>
        <w:right w:val="none" w:sz="0" w:space="0" w:color="auto"/>
      </w:divBdr>
    </w:div>
    <w:div w:id="316541048">
      <w:bodyDiv w:val="1"/>
      <w:marLeft w:val="0"/>
      <w:marRight w:val="0"/>
      <w:marTop w:val="0"/>
      <w:marBottom w:val="0"/>
      <w:divBdr>
        <w:top w:val="none" w:sz="0" w:space="0" w:color="auto"/>
        <w:left w:val="none" w:sz="0" w:space="0" w:color="auto"/>
        <w:bottom w:val="none" w:sz="0" w:space="0" w:color="auto"/>
        <w:right w:val="none" w:sz="0" w:space="0" w:color="auto"/>
      </w:divBdr>
    </w:div>
    <w:div w:id="341517964">
      <w:bodyDiv w:val="1"/>
      <w:marLeft w:val="0"/>
      <w:marRight w:val="0"/>
      <w:marTop w:val="0"/>
      <w:marBottom w:val="0"/>
      <w:divBdr>
        <w:top w:val="none" w:sz="0" w:space="0" w:color="auto"/>
        <w:left w:val="none" w:sz="0" w:space="0" w:color="auto"/>
        <w:bottom w:val="none" w:sz="0" w:space="0" w:color="auto"/>
        <w:right w:val="none" w:sz="0" w:space="0" w:color="auto"/>
      </w:divBdr>
    </w:div>
    <w:div w:id="912466718">
      <w:bodyDiv w:val="1"/>
      <w:marLeft w:val="0"/>
      <w:marRight w:val="0"/>
      <w:marTop w:val="0"/>
      <w:marBottom w:val="0"/>
      <w:divBdr>
        <w:top w:val="none" w:sz="0" w:space="0" w:color="auto"/>
        <w:left w:val="none" w:sz="0" w:space="0" w:color="auto"/>
        <w:bottom w:val="none" w:sz="0" w:space="0" w:color="auto"/>
        <w:right w:val="none" w:sz="0" w:space="0" w:color="auto"/>
      </w:divBdr>
    </w:div>
    <w:div w:id="1327199047">
      <w:bodyDiv w:val="1"/>
      <w:marLeft w:val="0"/>
      <w:marRight w:val="0"/>
      <w:marTop w:val="0"/>
      <w:marBottom w:val="0"/>
      <w:divBdr>
        <w:top w:val="none" w:sz="0" w:space="0" w:color="auto"/>
        <w:left w:val="none" w:sz="0" w:space="0" w:color="auto"/>
        <w:bottom w:val="none" w:sz="0" w:space="0" w:color="auto"/>
        <w:right w:val="none" w:sz="0" w:space="0" w:color="auto"/>
      </w:divBdr>
    </w:div>
    <w:div w:id="1507476333">
      <w:bodyDiv w:val="1"/>
      <w:marLeft w:val="0"/>
      <w:marRight w:val="0"/>
      <w:marTop w:val="0"/>
      <w:marBottom w:val="0"/>
      <w:divBdr>
        <w:top w:val="none" w:sz="0" w:space="0" w:color="auto"/>
        <w:left w:val="none" w:sz="0" w:space="0" w:color="auto"/>
        <w:bottom w:val="none" w:sz="0" w:space="0" w:color="auto"/>
        <w:right w:val="none" w:sz="0" w:space="0" w:color="auto"/>
      </w:divBdr>
      <w:divsChild>
        <w:div w:id="237906681">
          <w:blockQuote w:val="1"/>
          <w:marLeft w:val="300"/>
          <w:marRight w:val="300"/>
          <w:marTop w:val="100"/>
          <w:marBottom w:val="100"/>
          <w:divBdr>
            <w:top w:val="none" w:sz="0" w:space="0" w:color="auto"/>
            <w:left w:val="single" w:sz="18" w:space="15" w:color="2899B2"/>
            <w:bottom w:val="none" w:sz="0" w:space="0" w:color="auto"/>
            <w:right w:val="none" w:sz="0" w:space="0" w:color="auto"/>
          </w:divBdr>
        </w:div>
        <w:div w:id="478964412">
          <w:blockQuote w:val="1"/>
          <w:marLeft w:val="300"/>
          <w:marRight w:val="300"/>
          <w:marTop w:val="100"/>
          <w:marBottom w:val="100"/>
          <w:divBdr>
            <w:top w:val="none" w:sz="0" w:space="0" w:color="auto"/>
            <w:left w:val="single" w:sz="18" w:space="15" w:color="2899B2"/>
            <w:bottom w:val="none" w:sz="0" w:space="0" w:color="auto"/>
            <w:right w:val="none" w:sz="0" w:space="0" w:color="auto"/>
          </w:divBdr>
        </w:div>
        <w:div w:id="493424014">
          <w:blockQuote w:val="1"/>
          <w:marLeft w:val="300"/>
          <w:marRight w:val="300"/>
          <w:marTop w:val="100"/>
          <w:marBottom w:val="100"/>
          <w:divBdr>
            <w:top w:val="none" w:sz="0" w:space="0" w:color="auto"/>
            <w:left w:val="single" w:sz="18" w:space="15" w:color="2899B2"/>
            <w:bottom w:val="none" w:sz="0" w:space="0" w:color="auto"/>
            <w:right w:val="none" w:sz="0" w:space="0" w:color="auto"/>
          </w:divBdr>
        </w:div>
        <w:div w:id="668872175">
          <w:blockQuote w:val="1"/>
          <w:marLeft w:val="300"/>
          <w:marRight w:val="300"/>
          <w:marTop w:val="100"/>
          <w:marBottom w:val="100"/>
          <w:divBdr>
            <w:top w:val="none" w:sz="0" w:space="0" w:color="auto"/>
            <w:left w:val="single" w:sz="18" w:space="15" w:color="2899B2"/>
            <w:bottom w:val="none" w:sz="0" w:space="0" w:color="auto"/>
            <w:right w:val="none" w:sz="0" w:space="0" w:color="auto"/>
          </w:divBdr>
        </w:div>
        <w:div w:id="813328532">
          <w:blockQuote w:val="1"/>
          <w:marLeft w:val="300"/>
          <w:marRight w:val="300"/>
          <w:marTop w:val="100"/>
          <w:marBottom w:val="100"/>
          <w:divBdr>
            <w:top w:val="none" w:sz="0" w:space="0" w:color="auto"/>
            <w:left w:val="single" w:sz="18" w:space="15" w:color="2899B2"/>
            <w:bottom w:val="none" w:sz="0" w:space="0" w:color="auto"/>
            <w:right w:val="none" w:sz="0" w:space="0" w:color="auto"/>
          </w:divBdr>
        </w:div>
        <w:div w:id="817457838">
          <w:blockQuote w:val="1"/>
          <w:marLeft w:val="300"/>
          <w:marRight w:val="300"/>
          <w:marTop w:val="100"/>
          <w:marBottom w:val="100"/>
          <w:divBdr>
            <w:top w:val="none" w:sz="0" w:space="0" w:color="auto"/>
            <w:left w:val="single" w:sz="18" w:space="15" w:color="2899B2"/>
            <w:bottom w:val="none" w:sz="0" w:space="0" w:color="auto"/>
            <w:right w:val="none" w:sz="0" w:space="0" w:color="auto"/>
          </w:divBdr>
        </w:div>
        <w:div w:id="856114082">
          <w:blockQuote w:val="1"/>
          <w:marLeft w:val="300"/>
          <w:marRight w:val="300"/>
          <w:marTop w:val="100"/>
          <w:marBottom w:val="100"/>
          <w:divBdr>
            <w:top w:val="none" w:sz="0" w:space="0" w:color="auto"/>
            <w:left w:val="single" w:sz="18" w:space="15" w:color="2899B2"/>
            <w:bottom w:val="none" w:sz="0" w:space="0" w:color="auto"/>
            <w:right w:val="none" w:sz="0" w:space="0" w:color="auto"/>
          </w:divBdr>
        </w:div>
        <w:div w:id="1102529460">
          <w:blockQuote w:val="1"/>
          <w:marLeft w:val="300"/>
          <w:marRight w:val="300"/>
          <w:marTop w:val="100"/>
          <w:marBottom w:val="100"/>
          <w:divBdr>
            <w:top w:val="none" w:sz="0" w:space="0" w:color="auto"/>
            <w:left w:val="single" w:sz="18" w:space="15" w:color="2899B2"/>
            <w:bottom w:val="none" w:sz="0" w:space="0" w:color="auto"/>
            <w:right w:val="none" w:sz="0" w:space="0" w:color="auto"/>
          </w:divBdr>
        </w:div>
        <w:div w:id="1226836041">
          <w:blockQuote w:val="1"/>
          <w:marLeft w:val="300"/>
          <w:marRight w:val="300"/>
          <w:marTop w:val="100"/>
          <w:marBottom w:val="100"/>
          <w:divBdr>
            <w:top w:val="none" w:sz="0" w:space="0" w:color="auto"/>
            <w:left w:val="single" w:sz="18" w:space="15" w:color="2899B2"/>
            <w:bottom w:val="none" w:sz="0" w:space="0" w:color="auto"/>
            <w:right w:val="none" w:sz="0" w:space="0" w:color="auto"/>
          </w:divBdr>
        </w:div>
        <w:div w:id="1517573257">
          <w:blockQuote w:val="1"/>
          <w:marLeft w:val="300"/>
          <w:marRight w:val="300"/>
          <w:marTop w:val="100"/>
          <w:marBottom w:val="100"/>
          <w:divBdr>
            <w:top w:val="none" w:sz="0" w:space="0" w:color="auto"/>
            <w:left w:val="single" w:sz="18" w:space="15" w:color="2899B2"/>
            <w:bottom w:val="none" w:sz="0" w:space="0" w:color="auto"/>
            <w:right w:val="none" w:sz="0" w:space="0" w:color="auto"/>
          </w:divBdr>
        </w:div>
        <w:div w:id="1716586484">
          <w:blockQuote w:val="1"/>
          <w:marLeft w:val="300"/>
          <w:marRight w:val="300"/>
          <w:marTop w:val="100"/>
          <w:marBottom w:val="100"/>
          <w:divBdr>
            <w:top w:val="none" w:sz="0" w:space="0" w:color="auto"/>
            <w:left w:val="single" w:sz="18" w:space="15" w:color="2899B2"/>
            <w:bottom w:val="none" w:sz="0" w:space="0" w:color="auto"/>
            <w:right w:val="none" w:sz="0" w:space="0" w:color="auto"/>
          </w:divBdr>
        </w:div>
        <w:div w:id="1831091724">
          <w:blockQuote w:val="1"/>
          <w:marLeft w:val="300"/>
          <w:marRight w:val="300"/>
          <w:marTop w:val="100"/>
          <w:marBottom w:val="100"/>
          <w:divBdr>
            <w:top w:val="none" w:sz="0" w:space="0" w:color="auto"/>
            <w:left w:val="single" w:sz="18" w:space="15" w:color="2899B2"/>
            <w:bottom w:val="none" w:sz="0" w:space="0" w:color="auto"/>
            <w:right w:val="none" w:sz="0" w:space="0" w:color="auto"/>
          </w:divBdr>
        </w:div>
        <w:div w:id="2100707805">
          <w:blockQuote w:val="1"/>
          <w:marLeft w:val="300"/>
          <w:marRight w:val="300"/>
          <w:marTop w:val="100"/>
          <w:marBottom w:val="100"/>
          <w:divBdr>
            <w:top w:val="none" w:sz="0" w:space="0" w:color="auto"/>
            <w:left w:val="single" w:sz="18" w:space="15" w:color="2899B2"/>
            <w:bottom w:val="none" w:sz="0" w:space="0" w:color="auto"/>
            <w:right w:val="none" w:sz="0" w:space="0" w:color="auto"/>
          </w:divBdr>
        </w:div>
      </w:divsChild>
    </w:div>
    <w:div w:id="1893613096">
      <w:bodyDiv w:val="1"/>
      <w:marLeft w:val="0"/>
      <w:marRight w:val="0"/>
      <w:marTop w:val="0"/>
      <w:marBottom w:val="0"/>
      <w:divBdr>
        <w:top w:val="none" w:sz="0" w:space="0" w:color="auto"/>
        <w:left w:val="none" w:sz="0" w:space="0" w:color="auto"/>
        <w:bottom w:val="none" w:sz="0" w:space="0" w:color="auto"/>
        <w:right w:val="none" w:sz="0" w:space="0" w:color="auto"/>
      </w:divBdr>
    </w:div>
    <w:div w:id="1964996594">
      <w:bodyDiv w:val="1"/>
      <w:marLeft w:val="0"/>
      <w:marRight w:val="0"/>
      <w:marTop w:val="0"/>
      <w:marBottom w:val="0"/>
      <w:divBdr>
        <w:top w:val="none" w:sz="0" w:space="0" w:color="auto"/>
        <w:left w:val="none" w:sz="0" w:space="0" w:color="auto"/>
        <w:bottom w:val="none" w:sz="0" w:space="0" w:color="auto"/>
        <w:right w:val="none" w:sz="0" w:space="0" w:color="auto"/>
      </w:divBdr>
      <w:divsChild>
        <w:div w:id="155659039">
          <w:marLeft w:val="0"/>
          <w:marRight w:val="0"/>
          <w:marTop w:val="0"/>
          <w:marBottom w:val="0"/>
          <w:divBdr>
            <w:top w:val="none" w:sz="0" w:space="0" w:color="auto"/>
            <w:left w:val="none" w:sz="0" w:space="0" w:color="auto"/>
            <w:bottom w:val="none" w:sz="0" w:space="0" w:color="auto"/>
            <w:right w:val="none" w:sz="0" w:space="0" w:color="auto"/>
          </w:divBdr>
        </w:div>
        <w:div w:id="163590072">
          <w:marLeft w:val="0"/>
          <w:marRight w:val="0"/>
          <w:marTop w:val="0"/>
          <w:marBottom w:val="0"/>
          <w:divBdr>
            <w:top w:val="none" w:sz="0" w:space="0" w:color="auto"/>
            <w:left w:val="none" w:sz="0" w:space="0" w:color="auto"/>
            <w:bottom w:val="none" w:sz="0" w:space="0" w:color="auto"/>
            <w:right w:val="none" w:sz="0" w:space="0" w:color="auto"/>
          </w:divBdr>
        </w:div>
        <w:div w:id="240994163">
          <w:marLeft w:val="0"/>
          <w:marRight w:val="0"/>
          <w:marTop w:val="0"/>
          <w:marBottom w:val="0"/>
          <w:divBdr>
            <w:top w:val="none" w:sz="0" w:space="0" w:color="auto"/>
            <w:left w:val="none" w:sz="0" w:space="0" w:color="auto"/>
            <w:bottom w:val="none" w:sz="0" w:space="0" w:color="auto"/>
            <w:right w:val="none" w:sz="0" w:space="0" w:color="auto"/>
          </w:divBdr>
        </w:div>
        <w:div w:id="530610970">
          <w:marLeft w:val="0"/>
          <w:marRight w:val="0"/>
          <w:marTop w:val="0"/>
          <w:marBottom w:val="0"/>
          <w:divBdr>
            <w:top w:val="none" w:sz="0" w:space="0" w:color="auto"/>
            <w:left w:val="none" w:sz="0" w:space="0" w:color="auto"/>
            <w:bottom w:val="none" w:sz="0" w:space="0" w:color="auto"/>
            <w:right w:val="none" w:sz="0" w:space="0" w:color="auto"/>
          </w:divBdr>
        </w:div>
        <w:div w:id="774402428">
          <w:marLeft w:val="0"/>
          <w:marRight w:val="0"/>
          <w:marTop w:val="0"/>
          <w:marBottom w:val="0"/>
          <w:divBdr>
            <w:top w:val="none" w:sz="0" w:space="0" w:color="auto"/>
            <w:left w:val="none" w:sz="0" w:space="0" w:color="auto"/>
            <w:bottom w:val="none" w:sz="0" w:space="0" w:color="auto"/>
            <w:right w:val="none" w:sz="0" w:space="0" w:color="auto"/>
          </w:divBdr>
        </w:div>
        <w:div w:id="797336952">
          <w:marLeft w:val="0"/>
          <w:marRight w:val="0"/>
          <w:marTop w:val="0"/>
          <w:marBottom w:val="0"/>
          <w:divBdr>
            <w:top w:val="none" w:sz="0" w:space="0" w:color="auto"/>
            <w:left w:val="none" w:sz="0" w:space="0" w:color="auto"/>
            <w:bottom w:val="none" w:sz="0" w:space="0" w:color="auto"/>
            <w:right w:val="none" w:sz="0" w:space="0" w:color="auto"/>
          </w:divBdr>
        </w:div>
        <w:div w:id="859513933">
          <w:marLeft w:val="0"/>
          <w:marRight w:val="0"/>
          <w:marTop w:val="0"/>
          <w:marBottom w:val="0"/>
          <w:divBdr>
            <w:top w:val="none" w:sz="0" w:space="0" w:color="auto"/>
            <w:left w:val="none" w:sz="0" w:space="0" w:color="auto"/>
            <w:bottom w:val="none" w:sz="0" w:space="0" w:color="auto"/>
            <w:right w:val="none" w:sz="0" w:space="0" w:color="auto"/>
          </w:divBdr>
        </w:div>
        <w:div w:id="913661007">
          <w:marLeft w:val="0"/>
          <w:marRight w:val="0"/>
          <w:marTop w:val="0"/>
          <w:marBottom w:val="0"/>
          <w:divBdr>
            <w:top w:val="none" w:sz="0" w:space="0" w:color="auto"/>
            <w:left w:val="none" w:sz="0" w:space="0" w:color="auto"/>
            <w:bottom w:val="none" w:sz="0" w:space="0" w:color="auto"/>
            <w:right w:val="none" w:sz="0" w:space="0" w:color="auto"/>
          </w:divBdr>
        </w:div>
        <w:div w:id="951982398">
          <w:marLeft w:val="0"/>
          <w:marRight w:val="0"/>
          <w:marTop w:val="0"/>
          <w:marBottom w:val="0"/>
          <w:divBdr>
            <w:top w:val="none" w:sz="0" w:space="0" w:color="auto"/>
            <w:left w:val="none" w:sz="0" w:space="0" w:color="auto"/>
            <w:bottom w:val="none" w:sz="0" w:space="0" w:color="auto"/>
            <w:right w:val="none" w:sz="0" w:space="0" w:color="auto"/>
          </w:divBdr>
        </w:div>
        <w:div w:id="1046761461">
          <w:marLeft w:val="0"/>
          <w:marRight w:val="0"/>
          <w:marTop w:val="0"/>
          <w:marBottom w:val="0"/>
          <w:divBdr>
            <w:top w:val="none" w:sz="0" w:space="0" w:color="auto"/>
            <w:left w:val="none" w:sz="0" w:space="0" w:color="auto"/>
            <w:bottom w:val="none" w:sz="0" w:space="0" w:color="auto"/>
            <w:right w:val="none" w:sz="0" w:space="0" w:color="auto"/>
          </w:divBdr>
        </w:div>
        <w:div w:id="1070422670">
          <w:marLeft w:val="0"/>
          <w:marRight w:val="0"/>
          <w:marTop w:val="0"/>
          <w:marBottom w:val="0"/>
          <w:divBdr>
            <w:top w:val="none" w:sz="0" w:space="0" w:color="auto"/>
            <w:left w:val="none" w:sz="0" w:space="0" w:color="auto"/>
            <w:bottom w:val="none" w:sz="0" w:space="0" w:color="auto"/>
            <w:right w:val="none" w:sz="0" w:space="0" w:color="auto"/>
          </w:divBdr>
        </w:div>
        <w:div w:id="1355686440">
          <w:marLeft w:val="0"/>
          <w:marRight w:val="0"/>
          <w:marTop w:val="0"/>
          <w:marBottom w:val="0"/>
          <w:divBdr>
            <w:top w:val="none" w:sz="0" w:space="0" w:color="auto"/>
            <w:left w:val="none" w:sz="0" w:space="0" w:color="auto"/>
            <w:bottom w:val="none" w:sz="0" w:space="0" w:color="auto"/>
            <w:right w:val="none" w:sz="0" w:space="0" w:color="auto"/>
          </w:divBdr>
        </w:div>
        <w:div w:id="1530293160">
          <w:marLeft w:val="0"/>
          <w:marRight w:val="0"/>
          <w:marTop w:val="0"/>
          <w:marBottom w:val="0"/>
          <w:divBdr>
            <w:top w:val="none" w:sz="0" w:space="0" w:color="auto"/>
            <w:left w:val="none" w:sz="0" w:space="0" w:color="auto"/>
            <w:bottom w:val="none" w:sz="0" w:space="0" w:color="auto"/>
            <w:right w:val="none" w:sz="0" w:space="0" w:color="auto"/>
          </w:divBdr>
        </w:div>
        <w:div w:id="1583875700">
          <w:marLeft w:val="0"/>
          <w:marRight w:val="0"/>
          <w:marTop w:val="0"/>
          <w:marBottom w:val="0"/>
          <w:divBdr>
            <w:top w:val="none" w:sz="0" w:space="0" w:color="auto"/>
            <w:left w:val="none" w:sz="0" w:space="0" w:color="auto"/>
            <w:bottom w:val="none" w:sz="0" w:space="0" w:color="auto"/>
            <w:right w:val="none" w:sz="0" w:space="0" w:color="auto"/>
          </w:divBdr>
        </w:div>
        <w:div w:id="1773433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isabilityawareness.com.au/courses/introduction-to-disability-awareness/" TargetMode="External"/><Relationship Id="rId21" Type="http://schemas.openxmlformats.org/officeDocument/2006/relationships/hyperlink" Target="https://www.asqa.gov.au/how-we-regulate/regulatory-priorities/asqas-regulatory-risk-priorities-2022-23" TargetMode="External"/><Relationship Id="rId42" Type="http://schemas.openxmlformats.org/officeDocument/2006/relationships/hyperlink" Target="https://www.adcet.edu.au/disability-practitioner/reasonable-adjustments" TargetMode="External"/><Relationship Id="rId47" Type="http://schemas.openxmlformats.org/officeDocument/2006/relationships/hyperlink" Target="https://www.adcet.edu.au/resource/11182/accessible-it-procurement-in-higher-education-caudit" TargetMode="External"/><Relationship Id="rId63" Type="http://schemas.openxmlformats.org/officeDocument/2006/relationships/hyperlink" Target="https://education.qld.gov.au/about-us/reporting-data-research/data/disability-data-collection" TargetMode="External"/><Relationship Id="rId68"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legislation.gov.au/Details/F2022L00347" TargetMode="External"/><Relationship Id="rId29" Type="http://schemas.openxmlformats.org/officeDocument/2006/relationships/hyperlink" Target="https://www.adcet.edu.au/resource/11182/accessible-it-procurement-in-higher-education-caudit" TargetMode="External"/><Relationship Id="rId11" Type="http://schemas.openxmlformats.org/officeDocument/2006/relationships/hyperlink" Target="mailto:ee.reps@aph.gov.au" TargetMode="External"/><Relationship Id="rId24" Type="http://schemas.openxmlformats.org/officeDocument/2006/relationships/hyperlink" Target="https://www.adcet.edu.au/disability-practitioner/your-role/disability-action-plans" TargetMode="External"/><Relationship Id="rId32" Type="http://schemas.openxmlformats.org/officeDocument/2006/relationships/hyperlink" Target="https://www.adcet.edu.au/inclusive-teaching" TargetMode="External"/><Relationship Id="rId37" Type="http://schemas.openxmlformats.org/officeDocument/2006/relationships/hyperlink" Target="https://www.adcet.edu.au/students-with-disability/planning-for-post-secondary-education/career-planning" TargetMode="External"/><Relationship Id="rId40" Type="http://schemas.openxmlformats.org/officeDocument/2006/relationships/hyperlink" Target="https://www.adcet.edu.au/students-with-disability/planning-for-post-secondary-education/ndis-and-further-education-resource" TargetMode="External"/><Relationship Id="rId45" Type="http://schemas.openxmlformats.org/officeDocument/2006/relationships/hyperlink" Target="https://disabilityawareness.com.au/courses/program-1-vet-staff-supporting-students-with-disability/" TargetMode="External"/><Relationship Id="rId53" Type="http://schemas.openxmlformats.org/officeDocument/2006/relationships/hyperlink" Target="http://www.abs.gov.au/statistics/health/disability/disability-ageing-and-carers-australia-summary-findings/latest-release" TargetMode="External"/><Relationship Id="rId58" Type="http://schemas.openxmlformats.org/officeDocument/2006/relationships/hyperlink" Target="http://www.fpdn.org.au" TargetMode="External"/><Relationship Id="rId66" Type="http://schemas.openxmlformats.org/officeDocument/2006/relationships/hyperlink" Target="https://www.qilt.edu.au/surveys/graduate-outcomes-survey-(gos)" TargetMode="External"/><Relationship Id="rId5" Type="http://schemas.openxmlformats.org/officeDocument/2006/relationships/numbering" Target="numbering.xml"/><Relationship Id="rId61" Type="http://schemas.openxmlformats.org/officeDocument/2006/relationships/hyperlink" Target="https://files.eric.ed.gov/fulltext/ED561748.pdf" TargetMode="External"/><Relationship Id="rId19" Type="http://schemas.openxmlformats.org/officeDocument/2006/relationships/hyperlink" Target="https://humanrights.gov.au/our-work/disability-rights/register-disability-discrimination-act-action-plans" TargetMode="External"/><Relationship Id="rId14" Type="http://schemas.openxmlformats.org/officeDocument/2006/relationships/hyperlink" Target="http://www.adcet.edu.au" TargetMode="External"/><Relationship Id="rId22" Type="http://schemas.openxmlformats.org/officeDocument/2006/relationships/hyperlink" Target="https://www.asqa.gov.au/guidance-resources" TargetMode="External"/><Relationship Id="rId27" Type="http://schemas.openxmlformats.org/officeDocument/2006/relationships/hyperlink" Target="https://disabilityawareness.com.au/courses/program-1-vet-staff-supporting-students-with-disability/" TargetMode="External"/><Relationship Id="rId30" Type="http://schemas.openxmlformats.org/officeDocument/2006/relationships/hyperlink" Target="https://www.adcet.edu.au/our-work/adcet-assist" TargetMode="External"/><Relationship Id="rId35" Type="http://schemas.openxmlformats.org/officeDocument/2006/relationships/hyperlink" Target="https://www.adcet.edu.au/students-with-disability/planning-for-post-secondary-education" TargetMode="External"/><Relationship Id="rId43" Type="http://schemas.openxmlformats.org/officeDocument/2006/relationships/hyperlink" Target="https://www.adcet.edu.au/disability-practitioner/legislation-standards" TargetMode="External"/><Relationship Id="rId48" Type="http://schemas.openxmlformats.org/officeDocument/2006/relationships/hyperlink" Target="https://www.adcet.edu.au/our-work/adcet-assist" TargetMode="External"/><Relationship Id="rId56" Type="http://schemas.openxmlformats.org/officeDocument/2006/relationships/hyperlink" Target="https://www.humanrights.gov.au/our-work/publications" TargetMode="External"/><Relationship Id="rId64" Type="http://schemas.openxmlformats.org/officeDocument/2006/relationships/hyperlink" Target="https://www.nationalskillscommission.gov.au/insights/projecting-employment-2026" TargetMode="Externa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disabilityawareness.com.au/elearning/udl-in-tertiary-education/"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legislation.gov.au/Details/F2010L00668" TargetMode="External"/><Relationship Id="rId25" Type="http://schemas.openxmlformats.org/officeDocument/2006/relationships/hyperlink" Target="https://disabilityawareness.com.au/" TargetMode="External"/><Relationship Id="rId33" Type="http://schemas.openxmlformats.org/officeDocument/2006/relationships/hyperlink" Target="https://disabilityawareness.com.au/elearning/udl-in-tertiary-education/" TargetMode="External"/><Relationship Id="rId38" Type="http://schemas.openxmlformats.org/officeDocument/2006/relationships/hyperlink" Target="https://www.adcet.edu.au/disability-practitioner/reasonable-adjustments" TargetMode="External"/><Relationship Id="rId46" Type="http://schemas.openxmlformats.org/officeDocument/2006/relationships/hyperlink" Target="https://disabilityawareness.com.au/courses/program-2-vet-educators-supporting-students-with-disability/" TargetMode="External"/><Relationship Id="rId59" Type="http://schemas.openxmlformats.org/officeDocument/2006/relationships/hyperlink" Target="https://www.cast.org/" TargetMode="External"/><Relationship Id="rId67" Type="http://schemas.openxmlformats.org/officeDocument/2006/relationships/header" Target="header1.xml"/><Relationship Id="rId20" Type="http://schemas.openxmlformats.org/officeDocument/2006/relationships/hyperlink" Target="https://www.asqa.gov.au/resources/fact-sheets/providing-quality-training-and-assessment-services-to-students-with-disabilities" TargetMode="External"/><Relationship Id="rId41" Type="http://schemas.openxmlformats.org/officeDocument/2006/relationships/hyperlink" Target="https://www.adcet.edu.au/disability-practitioner/your-role/disability-action-plans" TargetMode="External"/><Relationship Id="rId54" Type="http://schemas.openxmlformats.org/officeDocument/2006/relationships/hyperlink" Target="http://www.acola.org" TargetMode="External"/><Relationship Id="rId62" Type="http://schemas.openxmlformats.org/officeDocument/2006/relationships/hyperlink" Target="https://www.latrobe.edu.au/arcshs/work/writing-themselves-in-4"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adcet.edu.au/20-years-with-adcet/our-impact" TargetMode="External"/><Relationship Id="rId23" Type="http://schemas.openxmlformats.org/officeDocument/2006/relationships/hyperlink" Target="https://www.asqa.gov.au/rtos/users-guide-standards-rtos-2015/self-assessment-tool" TargetMode="External"/><Relationship Id="rId28" Type="http://schemas.openxmlformats.org/officeDocument/2006/relationships/hyperlink" Target="https://disabilityawareness.com.au/courses/program-2-vet-educators-supporting-students-with-disability/" TargetMode="External"/><Relationship Id="rId36" Type="http://schemas.openxmlformats.org/officeDocument/2006/relationships/hyperlink" Target="https://www.adcet.edu.au/our-work/disability-awareness" TargetMode="External"/><Relationship Id="rId49" Type="http://schemas.openxmlformats.org/officeDocument/2006/relationships/hyperlink" Target="https://www.adcet.edu.au/inclusive-technology" TargetMode="External"/><Relationship Id="rId57" Type="http://schemas.openxmlformats.org/officeDocument/2006/relationships/hyperlink" Target="https://www.aihw.gov.au/reports/disability/people-with-disability-in-australia" TargetMode="External"/><Relationship Id="rId10" Type="http://schemas.openxmlformats.org/officeDocument/2006/relationships/endnotes" Target="endnotes.xml"/><Relationship Id="rId31" Type="http://schemas.openxmlformats.org/officeDocument/2006/relationships/hyperlink" Target="https://www.adcet.edu.au/inclusive-technology" TargetMode="External"/><Relationship Id="rId44" Type="http://schemas.openxmlformats.org/officeDocument/2006/relationships/hyperlink" Target="https://disabilityawareness.com.au/" TargetMode="External"/><Relationship Id="rId52" Type="http://schemas.openxmlformats.org/officeDocument/2006/relationships/hyperlink" Target="https://disability.royalcommission.gov.au/publications/education/responses-first-education-and-learning-issues-paper" TargetMode="External"/><Relationship Id="rId60" Type="http://schemas.openxmlformats.org/officeDocument/2006/relationships/hyperlink" Target="https://www.dese.gov.au/higher-education-statistics/resources/2020-section-11-equity-groups" TargetMode="External"/><Relationship Id="rId65" Type="http://schemas.openxmlformats.org/officeDocument/2006/relationships/hyperlink" Target="https://www.ncver.edu.au/research-and-statistics/publications/all-publications/student-equity-in-vet-2020-participation-achievement-and-outcomes"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darlene.mclennan@utas.edu.au" TargetMode="External"/><Relationship Id="rId18" Type="http://schemas.openxmlformats.org/officeDocument/2006/relationships/hyperlink" Target="https://www.wgea.gov.au/what-we-do/reporting" TargetMode="External"/><Relationship Id="rId39" Type="http://schemas.openxmlformats.org/officeDocument/2006/relationships/hyperlink" Target="https://www.adcet.edu.au/disability-practitioner/legislation-standards" TargetMode="External"/><Relationship Id="rId34" Type="http://schemas.openxmlformats.org/officeDocument/2006/relationships/hyperlink" Target="https://www.nccd.edu.au/" TargetMode="External"/><Relationship Id="rId50" Type="http://schemas.openxmlformats.org/officeDocument/2006/relationships/hyperlink" Target="https://www.adcet.edu.au/inclusive-teaching" TargetMode="External"/><Relationship Id="rId55" Type="http://schemas.openxmlformats.org/officeDocument/2006/relationships/hyperlink" Target="https://www.adcet.edu.au/inclusive-teaching/understanding-disability/vet-statistic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legislation.gov.au/Details/F2005L00767" TargetMode="External"/><Relationship Id="rId2" Type="http://schemas.openxmlformats.org/officeDocument/2006/relationships/hyperlink" Target="https://www.legislation.gov.au/Details/C2018C00125" TargetMode="External"/><Relationship Id="rId1" Type="http://schemas.openxmlformats.org/officeDocument/2006/relationships/hyperlink" Target="https://www.nationalskillscommission.gov.au/insights/projecting-employment-202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73BD3F1AF6ADA448334D10C5CD314B2" ma:contentTypeVersion="15" ma:contentTypeDescription="Create a new document." ma:contentTypeScope="" ma:versionID="7538ded6fda24eb2f915478361b93c1a">
  <xsd:schema xmlns:xsd="http://www.w3.org/2001/XMLSchema" xmlns:xs="http://www.w3.org/2001/XMLSchema" xmlns:p="http://schemas.microsoft.com/office/2006/metadata/properties" xmlns:ns2="c2d6c0e6-fd6a-45a9-a4b1-c512eb672d92" xmlns:ns3="09b04498-f037-4aef-9cc1-070b789713e0" xmlns:ns4="2d221494-178b-4357-bea6-3a87c5967eb4" targetNamespace="http://schemas.microsoft.com/office/2006/metadata/properties" ma:root="true" ma:fieldsID="29479798de7c302b700c1d215ddf139e" ns2:_="" ns3:_="" ns4:_="">
    <xsd:import namespace="c2d6c0e6-fd6a-45a9-a4b1-c512eb672d92"/>
    <xsd:import namespace="09b04498-f037-4aef-9cc1-070b789713e0"/>
    <xsd:import namespace="2d221494-178b-4357-bea6-3a87c5967e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d6c0e6-fd6a-45a9-a4b1-c512eb672d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be76f96-e7f0-4e7c-b4d8-bf0f4c547e1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b04498-f037-4aef-9cc1-070b789713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221494-178b-4357-bea6-3a87c5967eb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9d151d6-4d0a-4561-9819-c67159153e14}" ma:internalName="TaxCatchAll" ma:showField="CatchAllData" ma:web="09b04498-f037-4aef-9cc1-070b789713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2d6c0e6-fd6a-45a9-a4b1-c512eb672d92">
      <Terms xmlns="http://schemas.microsoft.com/office/infopath/2007/PartnerControls"/>
    </lcf76f155ced4ddcb4097134ff3c332f>
    <TaxCatchAll xmlns="2d221494-178b-4357-bea6-3a87c5967eb4" xsi:nil="true"/>
  </documentManagement>
</p:properties>
</file>

<file path=customXml/itemProps1.xml><?xml version="1.0" encoding="utf-8"?>
<ds:datastoreItem xmlns:ds="http://schemas.openxmlformats.org/officeDocument/2006/customXml" ds:itemID="{3759913F-32D4-496A-B083-A82D1F81B8DD}">
  <ds:schemaRefs>
    <ds:schemaRef ds:uri="http://schemas.microsoft.com/sharepoint/v3/contenttype/forms"/>
  </ds:schemaRefs>
</ds:datastoreItem>
</file>

<file path=customXml/itemProps2.xml><?xml version="1.0" encoding="utf-8"?>
<ds:datastoreItem xmlns:ds="http://schemas.openxmlformats.org/officeDocument/2006/customXml" ds:itemID="{0A861FA4-3845-4130-83E8-65C94858FE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d6c0e6-fd6a-45a9-a4b1-c512eb672d92"/>
    <ds:schemaRef ds:uri="09b04498-f037-4aef-9cc1-070b789713e0"/>
    <ds:schemaRef ds:uri="2d221494-178b-4357-bea6-3a87c5967e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19FB04-20B5-4F27-915A-68577AFA9C2A}">
  <ds:schemaRefs>
    <ds:schemaRef ds:uri="http://schemas.openxmlformats.org/officeDocument/2006/bibliography"/>
  </ds:schemaRefs>
</ds:datastoreItem>
</file>

<file path=customXml/itemProps4.xml><?xml version="1.0" encoding="utf-8"?>
<ds:datastoreItem xmlns:ds="http://schemas.openxmlformats.org/officeDocument/2006/customXml" ds:itemID="{D4A936F8-E8CB-4732-ADF3-7B4D7E3D0EDD}">
  <ds:schemaRefs>
    <ds:schemaRef ds:uri="http://purl.org/dc/dcmitype/"/>
    <ds:schemaRef ds:uri="http://purl.org/dc/terms/"/>
    <ds:schemaRef ds:uri="http://purl.org/dc/elements/1.1/"/>
    <ds:schemaRef ds:uri="http://schemas.microsoft.com/office/infopath/2007/PartnerControls"/>
    <ds:schemaRef ds:uri="http://schemas.openxmlformats.org/package/2006/metadata/core-properties"/>
    <ds:schemaRef ds:uri="2d221494-178b-4357-bea6-3a87c5967eb4"/>
    <ds:schemaRef ds:uri="http://schemas.microsoft.com/office/2006/documentManagement/types"/>
    <ds:schemaRef ds:uri="http://schemas.microsoft.com/office/2006/metadata/properties"/>
    <ds:schemaRef ds:uri="09b04498-f037-4aef-9cc1-070b789713e0"/>
    <ds:schemaRef ds:uri="c2d6c0e6-fd6a-45a9-a4b1-c512eb672d9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6892</Words>
  <Characters>39289</Characters>
  <Application>Microsoft Office Word</Application>
  <DocSecurity>0</DocSecurity>
  <Lines>327</Lines>
  <Paragraphs>92</Paragraphs>
  <ScaleCrop>false</ScaleCrop>
  <Company/>
  <LinksUpToDate>false</LinksUpToDate>
  <CharactersWithSpaces>46089</CharactersWithSpaces>
  <SharedDoc>false</SharedDoc>
  <HLinks>
    <vt:vector size="444" baseType="variant">
      <vt:variant>
        <vt:i4>6553636</vt:i4>
      </vt:variant>
      <vt:variant>
        <vt:i4>258</vt:i4>
      </vt:variant>
      <vt:variant>
        <vt:i4>0</vt:i4>
      </vt:variant>
      <vt:variant>
        <vt:i4>5</vt:i4>
      </vt:variant>
      <vt:variant>
        <vt:lpwstr>https://www.qilt.edu.au/surveys/graduate-outcomes-survey-(gos)</vt:lpwstr>
      </vt:variant>
      <vt:variant>
        <vt:lpwstr/>
      </vt:variant>
      <vt:variant>
        <vt:i4>786515</vt:i4>
      </vt:variant>
      <vt:variant>
        <vt:i4>255</vt:i4>
      </vt:variant>
      <vt:variant>
        <vt:i4>0</vt:i4>
      </vt:variant>
      <vt:variant>
        <vt:i4>5</vt:i4>
      </vt:variant>
      <vt:variant>
        <vt:lpwstr>https://www.ncver.edu.au/research-and-statistics/publications/all-publications/student-equity-in-vet-2020-participation-achievement-and-outcomes</vt:lpwstr>
      </vt:variant>
      <vt:variant>
        <vt:lpwstr/>
      </vt:variant>
      <vt:variant>
        <vt:i4>2556020</vt:i4>
      </vt:variant>
      <vt:variant>
        <vt:i4>252</vt:i4>
      </vt:variant>
      <vt:variant>
        <vt:i4>0</vt:i4>
      </vt:variant>
      <vt:variant>
        <vt:i4>5</vt:i4>
      </vt:variant>
      <vt:variant>
        <vt:lpwstr>https://www.nationalskillscommission.gov.au/insights/projecting-employment-2026</vt:lpwstr>
      </vt:variant>
      <vt:variant>
        <vt:lpwstr/>
      </vt:variant>
      <vt:variant>
        <vt:i4>5570582</vt:i4>
      </vt:variant>
      <vt:variant>
        <vt:i4>249</vt:i4>
      </vt:variant>
      <vt:variant>
        <vt:i4>0</vt:i4>
      </vt:variant>
      <vt:variant>
        <vt:i4>5</vt:i4>
      </vt:variant>
      <vt:variant>
        <vt:lpwstr>https://education.qld.gov.au/about-us/reporting-data-research/data/disability-data-collection</vt:lpwstr>
      </vt:variant>
      <vt:variant>
        <vt:lpwstr/>
      </vt:variant>
      <vt:variant>
        <vt:i4>6619184</vt:i4>
      </vt:variant>
      <vt:variant>
        <vt:i4>246</vt:i4>
      </vt:variant>
      <vt:variant>
        <vt:i4>0</vt:i4>
      </vt:variant>
      <vt:variant>
        <vt:i4>5</vt:i4>
      </vt:variant>
      <vt:variant>
        <vt:lpwstr>https://www.latrobe.edu.au/arcshs/work/writing-themselves-in-4</vt:lpwstr>
      </vt:variant>
      <vt:variant>
        <vt:lpwstr/>
      </vt:variant>
      <vt:variant>
        <vt:i4>4063338</vt:i4>
      </vt:variant>
      <vt:variant>
        <vt:i4>243</vt:i4>
      </vt:variant>
      <vt:variant>
        <vt:i4>0</vt:i4>
      </vt:variant>
      <vt:variant>
        <vt:i4>5</vt:i4>
      </vt:variant>
      <vt:variant>
        <vt:lpwstr>https://files.eric.ed.gov/fulltext/ED561748.pdf</vt:lpwstr>
      </vt:variant>
      <vt:variant>
        <vt:lpwstr/>
      </vt:variant>
      <vt:variant>
        <vt:i4>7405623</vt:i4>
      </vt:variant>
      <vt:variant>
        <vt:i4>240</vt:i4>
      </vt:variant>
      <vt:variant>
        <vt:i4>0</vt:i4>
      </vt:variant>
      <vt:variant>
        <vt:i4>5</vt:i4>
      </vt:variant>
      <vt:variant>
        <vt:lpwstr>https://www.dese.gov.au/higher-education-statistics/resources/2020-section-11-equity-groups</vt:lpwstr>
      </vt:variant>
      <vt:variant>
        <vt:lpwstr/>
      </vt:variant>
      <vt:variant>
        <vt:i4>5570572</vt:i4>
      </vt:variant>
      <vt:variant>
        <vt:i4>237</vt:i4>
      </vt:variant>
      <vt:variant>
        <vt:i4>0</vt:i4>
      </vt:variant>
      <vt:variant>
        <vt:i4>5</vt:i4>
      </vt:variant>
      <vt:variant>
        <vt:lpwstr>https://www.cast.org/</vt:lpwstr>
      </vt:variant>
      <vt:variant>
        <vt:lpwstr/>
      </vt:variant>
      <vt:variant>
        <vt:i4>3014695</vt:i4>
      </vt:variant>
      <vt:variant>
        <vt:i4>234</vt:i4>
      </vt:variant>
      <vt:variant>
        <vt:i4>0</vt:i4>
      </vt:variant>
      <vt:variant>
        <vt:i4>5</vt:i4>
      </vt:variant>
      <vt:variant>
        <vt:lpwstr>http://www.fpdn.org.au/</vt:lpwstr>
      </vt:variant>
      <vt:variant>
        <vt:lpwstr/>
      </vt:variant>
      <vt:variant>
        <vt:i4>3473520</vt:i4>
      </vt:variant>
      <vt:variant>
        <vt:i4>231</vt:i4>
      </vt:variant>
      <vt:variant>
        <vt:i4>0</vt:i4>
      </vt:variant>
      <vt:variant>
        <vt:i4>5</vt:i4>
      </vt:variant>
      <vt:variant>
        <vt:lpwstr>https://www.aihw.gov.au/reports/disability/people-with-disability-in-australia</vt:lpwstr>
      </vt:variant>
      <vt:variant>
        <vt:lpwstr/>
      </vt:variant>
      <vt:variant>
        <vt:i4>131143</vt:i4>
      </vt:variant>
      <vt:variant>
        <vt:i4>228</vt:i4>
      </vt:variant>
      <vt:variant>
        <vt:i4>0</vt:i4>
      </vt:variant>
      <vt:variant>
        <vt:i4>5</vt:i4>
      </vt:variant>
      <vt:variant>
        <vt:lpwstr>https://www.humanrights.gov.au/our-work/publications</vt:lpwstr>
      </vt:variant>
      <vt:variant>
        <vt:lpwstr/>
      </vt:variant>
      <vt:variant>
        <vt:i4>3538989</vt:i4>
      </vt:variant>
      <vt:variant>
        <vt:i4>225</vt:i4>
      </vt:variant>
      <vt:variant>
        <vt:i4>0</vt:i4>
      </vt:variant>
      <vt:variant>
        <vt:i4>5</vt:i4>
      </vt:variant>
      <vt:variant>
        <vt:lpwstr>https://www.adcet.edu.au/inclusive-teaching/understanding-disability/vet-statistics</vt:lpwstr>
      </vt:variant>
      <vt:variant>
        <vt:lpwstr/>
      </vt:variant>
      <vt:variant>
        <vt:i4>4980739</vt:i4>
      </vt:variant>
      <vt:variant>
        <vt:i4>222</vt:i4>
      </vt:variant>
      <vt:variant>
        <vt:i4>0</vt:i4>
      </vt:variant>
      <vt:variant>
        <vt:i4>5</vt:i4>
      </vt:variant>
      <vt:variant>
        <vt:lpwstr>http://www.acola.org/</vt:lpwstr>
      </vt:variant>
      <vt:variant>
        <vt:lpwstr/>
      </vt:variant>
      <vt:variant>
        <vt:i4>524295</vt:i4>
      </vt:variant>
      <vt:variant>
        <vt:i4>219</vt:i4>
      </vt:variant>
      <vt:variant>
        <vt:i4>0</vt:i4>
      </vt:variant>
      <vt:variant>
        <vt:i4>5</vt:i4>
      </vt:variant>
      <vt:variant>
        <vt:lpwstr>http://www.abs.gov.au/statistics/health/disability/disability-ageing-and-carers-australia-summary-findings/latest-release</vt:lpwstr>
      </vt:variant>
      <vt:variant>
        <vt:lpwstr/>
      </vt:variant>
      <vt:variant>
        <vt:i4>1048660</vt:i4>
      </vt:variant>
      <vt:variant>
        <vt:i4>216</vt:i4>
      </vt:variant>
      <vt:variant>
        <vt:i4>0</vt:i4>
      </vt:variant>
      <vt:variant>
        <vt:i4>5</vt:i4>
      </vt:variant>
      <vt:variant>
        <vt:lpwstr>https://disability.royalcommission.gov.au/publications/education/responses-first-education-and-learning-issues-paper</vt:lpwstr>
      </vt:variant>
      <vt:variant>
        <vt:lpwstr/>
      </vt:variant>
      <vt:variant>
        <vt:i4>3932215</vt:i4>
      </vt:variant>
      <vt:variant>
        <vt:i4>213</vt:i4>
      </vt:variant>
      <vt:variant>
        <vt:i4>0</vt:i4>
      </vt:variant>
      <vt:variant>
        <vt:i4>5</vt:i4>
      </vt:variant>
      <vt:variant>
        <vt:lpwstr>https://disabilityawareness.com.au/elearning/udl-in-tertiary-education/</vt:lpwstr>
      </vt:variant>
      <vt:variant>
        <vt:lpwstr/>
      </vt:variant>
      <vt:variant>
        <vt:i4>3670061</vt:i4>
      </vt:variant>
      <vt:variant>
        <vt:i4>210</vt:i4>
      </vt:variant>
      <vt:variant>
        <vt:i4>0</vt:i4>
      </vt:variant>
      <vt:variant>
        <vt:i4>5</vt:i4>
      </vt:variant>
      <vt:variant>
        <vt:lpwstr>https://www.adcet.edu.au/inclusive-teaching</vt:lpwstr>
      </vt:variant>
      <vt:variant>
        <vt:lpwstr/>
      </vt:variant>
      <vt:variant>
        <vt:i4>5832783</vt:i4>
      </vt:variant>
      <vt:variant>
        <vt:i4>207</vt:i4>
      </vt:variant>
      <vt:variant>
        <vt:i4>0</vt:i4>
      </vt:variant>
      <vt:variant>
        <vt:i4>5</vt:i4>
      </vt:variant>
      <vt:variant>
        <vt:lpwstr>https://www.adcet.edu.au/inclusive-technology</vt:lpwstr>
      </vt:variant>
      <vt:variant>
        <vt:lpwstr/>
      </vt:variant>
      <vt:variant>
        <vt:i4>2949155</vt:i4>
      </vt:variant>
      <vt:variant>
        <vt:i4>204</vt:i4>
      </vt:variant>
      <vt:variant>
        <vt:i4>0</vt:i4>
      </vt:variant>
      <vt:variant>
        <vt:i4>5</vt:i4>
      </vt:variant>
      <vt:variant>
        <vt:lpwstr>https://www.adcet.edu.au/our-work/adcet-assist</vt:lpwstr>
      </vt:variant>
      <vt:variant>
        <vt:lpwstr/>
      </vt:variant>
      <vt:variant>
        <vt:i4>5505098</vt:i4>
      </vt:variant>
      <vt:variant>
        <vt:i4>201</vt:i4>
      </vt:variant>
      <vt:variant>
        <vt:i4>0</vt:i4>
      </vt:variant>
      <vt:variant>
        <vt:i4>5</vt:i4>
      </vt:variant>
      <vt:variant>
        <vt:lpwstr>https://www.adcet.edu.au/resource/11182/accessible-it-procurement-in-higher-education-caudit</vt:lpwstr>
      </vt:variant>
      <vt:variant>
        <vt:lpwstr/>
      </vt:variant>
      <vt:variant>
        <vt:i4>2097270</vt:i4>
      </vt:variant>
      <vt:variant>
        <vt:i4>198</vt:i4>
      </vt:variant>
      <vt:variant>
        <vt:i4>0</vt:i4>
      </vt:variant>
      <vt:variant>
        <vt:i4>5</vt:i4>
      </vt:variant>
      <vt:variant>
        <vt:lpwstr>https://disabilityawareness.com.au/courses/program-2-vet-educators-supporting-students-with-disability/</vt:lpwstr>
      </vt:variant>
      <vt:variant>
        <vt:lpwstr/>
      </vt:variant>
      <vt:variant>
        <vt:i4>3801189</vt:i4>
      </vt:variant>
      <vt:variant>
        <vt:i4>195</vt:i4>
      </vt:variant>
      <vt:variant>
        <vt:i4>0</vt:i4>
      </vt:variant>
      <vt:variant>
        <vt:i4>5</vt:i4>
      </vt:variant>
      <vt:variant>
        <vt:lpwstr>https://disabilityawareness.com.au/courses/program-1-vet-staff-supporting-students-with-disability/</vt:lpwstr>
      </vt:variant>
      <vt:variant>
        <vt:lpwstr/>
      </vt:variant>
      <vt:variant>
        <vt:i4>6422577</vt:i4>
      </vt:variant>
      <vt:variant>
        <vt:i4>192</vt:i4>
      </vt:variant>
      <vt:variant>
        <vt:i4>0</vt:i4>
      </vt:variant>
      <vt:variant>
        <vt:i4>5</vt:i4>
      </vt:variant>
      <vt:variant>
        <vt:lpwstr>https://disabilityawareness.com.au/</vt:lpwstr>
      </vt:variant>
      <vt:variant>
        <vt:lpwstr/>
      </vt:variant>
      <vt:variant>
        <vt:i4>8126564</vt:i4>
      </vt:variant>
      <vt:variant>
        <vt:i4>189</vt:i4>
      </vt:variant>
      <vt:variant>
        <vt:i4>0</vt:i4>
      </vt:variant>
      <vt:variant>
        <vt:i4>5</vt:i4>
      </vt:variant>
      <vt:variant>
        <vt:lpwstr>https://www.adcet.edu.au/disability-practitioner/legislation-standards</vt:lpwstr>
      </vt:variant>
      <vt:variant>
        <vt:lpwstr/>
      </vt:variant>
      <vt:variant>
        <vt:i4>3997737</vt:i4>
      </vt:variant>
      <vt:variant>
        <vt:i4>186</vt:i4>
      </vt:variant>
      <vt:variant>
        <vt:i4>0</vt:i4>
      </vt:variant>
      <vt:variant>
        <vt:i4>5</vt:i4>
      </vt:variant>
      <vt:variant>
        <vt:lpwstr>https://www.adcet.edu.au/disability-practitioner/reasonable-adjustments</vt:lpwstr>
      </vt:variant>
      <vt:variant>
        <vt:lpwstr/>
      </vt:variant>
      <vt:variant>
        <vt:i4>7864357</vt:i4>
      </vt:variant>
      <vt:variant>
        <vt:i4>183</vt:i4>
      </vt:variant>
      <vt:variant>
        <vt:i4>0</vt:i4>
      </vt:variant>
      <vt:variant>
        <vt:i4>5</vt:i4>
      </vt:variant>
      <vt:variant>
        <vt:lpwstr>https://www.adcet.edu.au/disability-practitioner/your-role/disability-action-plans</vt:lpwstr>
      </vt:variant>
      <vt:variant>
        <vt:lpwstr/>
      </vt:variant>
      <vt:variant>
        <vt:i4>6815782</vt:i4>
      </vt:variant>
      <vt:variant>
        <vt:i4>180</vt:i4>
      </vt:variant>
      <vt:variant>
        <vt:i4>0</vt:i4>
      </vt:variant>
      <vt:variant>
        <vt:i4>5</vt:i4>
      </vt:variant>
      <vt:variant>
        <vt:lpwstr>https://www.adcet.edu.au/students-with-disability/planning-for-post-secondary-education/ndis-and-further-education-resource</vt:lpwstr>
      </vt:variant>
      <vt:variant>
        <vt:lpwstr/>
      </vt:variant>
      <vt:variant>
        <vt:i4>8126564</vt:i4>
      </vt:variant>
      <vt:variant>
        <vt:i4>177</vt:i4>
      </vt:variant>
      <vt:variant>
        <vt:i4>0</vt:i4>
      </vt:variant>
      <vt:variant>
        <vt:i4>5</vt:i4>
      </vt:variant>
      <vt:variant>
        <vt:lpwstr>https://www.adcet.edu.au/disability-practitioner/legislation-standards</vt:lpwstr>
      </vt:variant>
      <vt:variant>
        <vt:lpwstr/>
      </vt:variant>
      <vt:variant>
        <vt:i4>3997737</vt:i4>
      </vt:variant>
      <vt:variant>
        <vt:i4>174</vt:i4>
      </vt:variant>
      <vt:variant>
        <vt:i4>0</vt:i4>
      </vt:variant>
      <vt:variant>
        <vt:i4>5</vt:i4>
      </vt:variant>
      <vt:variant>
        <vt:lpwstr>https://www.adcet.edu.au/disability-practitioner/reasonable-adjustments</vt:lpwstr>
      </vt:variant>
      <vt:variant>
        <vt:lpwstr/>
      </vt:variant>
      <vt:variant>
        <vt:i4>7471229</vt:i4>
      </vt:variant>
      <vt:variant>
        <vt:i4>171</vt:i4>
      </vt:variant>
      <vt:variant>
        <vt:i4>0</vt:i4>
      </vt:variant>
      <vt:variant>
        <vt:i4>5</vt:i4>
      </vt:variant>
      <vt:variant>
        <vt:lpwstr>https://www.adcet.edu.au/students-with-disability/planning-for-post-secondary-education/career-planning</vt:lpwstr>
      </vt:variant>
      <vt:variant>
        <vt:lpwstr/>
      </vt:variant>
      <vt:variant>
        <vt:i4>7143532</vt:i4>
      </vt:variant>
      <vt:variant>
        <vt:i4>168</vt:i4>
      </vt:variant>
      <vt:variant>
        <vt:i4>0</vt:i4>
      </vt:variant>
      <vt:variant>
        <vt:i4>5</vt:i4>
      </vt:variant>
      <vt:variant>
        <vt:lpwstr>https://www.adcet.edu.au/our-work/disability-awareness</vt:lpwstr>
      </vt:variant>
      <vt:variant>
        <vt:lpwstr/>
      </vt:variant>
      <vt:variant>
        <vt:i4>3801121</vt:i4>
      </vt:variant>
      <vt:variant>
        <vt:i4>165</vt:i4>
      </vt:variant>
      <vt:variant>
        <vt:i4>0</vt:i4>
      </vt:variant>
      <vt:variant>
        <vt:i4>5</vt:i4>
      </vt:variant>
      <vt:variant>
        <vt:lpwstr>https://www.adcet.edu.au/students-with-disability/planning-for-post-secondary-education</vt:lpwstr>
      </vt:variant>
      <vt:variant>
        <vt:lpwstr/>
      </vt:variant>
      <vt:variant>
        <vt:i4>1114204</vt:i4>
      </vt:variant>
      <vt:variant>
        <vt:i4>162</vt:i4>
      </vt:variant>
      <vt:variant>
        <vt:i4>0</vt:i4>
      </vt:variant>
      <vt:variant>
        <vt:i4>5</vt:i4>
      </vt:variant>
      <vt:variant>
        <vt:lpwstr>https://www.nccd.edu.au/</vt:lpwstr>
      </vt:variant>
      <vt:variant>
        <vt:lpwstr/>
      </vt:variant>
      <vt:variant>
        <vt:i4>1179708</vt:i4>
      </vt:variant>
      <vt:variant>
        <vt:i4>159</vt:i4>
      </vt:variant>
      <vt:variant>
        <vt:i4>0</vt:i4>
      </vt:variant>
      <vt:variant>
        <vt:i4>5</vt:i4>
      </vt:variant>
      <vt:variant>
        <vt:lpwstr/>
      </vt:variant>
      <vt:variant>
        <vt:lpwstr>_ISSUE_2:_a</vt:lpwstr>
      </vt:variant>
      <vt:variant>
        <vt:i4>3932215</vt:i4>
      </vt:variant>
      <vt:variant>
        <vt:i4>156</vt:i4>
      </vt:variant>
      <vt:variant>
        <vt:i4>0</vt:i4>
      </vt:variant>
      <vt:variant>
        <vt:i4>5</vt:i4>
      </vt:variant>
      <vt:variant>
        <vt:lpwstr>https://disabilityawareness.com.au/elearning/udl-in-tertiary-education/</vt:lpwstr>
      </vt:variant>
      <vt:variant>
        <vt:lpwstr/>
      </vt:variant>
      <vt:variant>
        <vt:i4>3670061</vt:i4>
      </vt:variant>
      <vt:variant>
        <vt:i4>153</vt:i4>
      </vt:variant>
      <vt:variant>
        <vt:i4>0</vt:i4>
      </vt:variant>
      <vt:variant>
        <vt:i4>5</vt:i4>
      </vt:variant>
      <vt:variant>
        <vt:lpwstr>https://www.adcet.edu.au/inclusive-teaching</vt:lpwstr>
      </vt:variant>
      <vt:variant>
        <vt:lpwstr/>
      </vt:variant>
      <vt:variant>
        <vt:i4>5832783</vt:i4>
      </vt:variant>
      <vt:variant>
        <vt:i4>150</vt:i4>
      </vt:variant>
      <vt:variant>
        <vt:i4>0</vt:i4>
      </vt:variant>
      <vt:variant>
        <vt:i4>5</vt:i4>
      </vt:variant>
      <vt:variant>
        <vt:lpwstr>https://www.adcet.edu.au/inclusive-technology</vt:lpwstr>
      </vt:variant>
      <vt:variant>
        <vt:lpwstr/>
      </vt:variant>
      <vt:variant>
        <vt:i4>2949155</vt:i4>
      </vt:variant>
      <vt:variant>
        <vt:i4>147</vt:i4>
      </vt:variant>
      <vt:variant>
        <vt:i4>0</vt:i4>
      </vt:variant>
      <vt:variant>
        <vt:i4>5</vt:i4>
      </vt:variant>
      <vt:variant>
        <vt:lpwstr>https://www.adcet.edu.au/our-work/adcet-assist</vt:lpwstr>
      </vt:variant>
      <vt:variant>
        <vt:lpwstr/>
      </vt:variant>
      <vt:variant>
        <vt:i4>5505098</vt:i4>
      </vt:variant>
      <vt:variant>
        <vt:i4>144</vt:i4>
      </vt:variant>
      <vt:variant>
        <vt:i4>0</vt:i4>
      </vt:variant>
      <vt:variant>
        <vt:i4>5</vt:i4>
      </vt:variant>
      <vt:variant>
        <vt:lpwstr>https://www.adcet.edu.au/resource/11182/accessible-it-procurement-in-higher-education-caudit</vt:lpwstr>
      </vt:variant>
      <vt:variant>
        <vt:lpwstr/>
      </vt:variant>
      <vt:variant>
        <vt:i4>2097270</vt:i4>
      </vt:variant>
      <vt:variant>
        <vt:i4>141</vt:i4>
      </vt:variant>
      <vt:variant>
        <vt:i4>0</vt:i4>
      </vt:variant>
      <vt:variant>
        <vt:i4>5</vt:i4>
      </vt:variant>
      <vt:variant>
        <vt:lpwstr>https://disabilityawareness.com.au/courses/program-2-vet-educators-supporting-students-with-disability/</vt:lpwstr>
      </vt:variant>
      <vt:variant>
        <vt:lpwstr/>
      </vt:variant>
      <vt:variant>
        <vt:i4>3801189</vt:i4>
      </vt:variant>
      <vt:variant>
        <vt:i4>138</vt:i4>
      </vt:variant>
      <vt:variant>
        <vt:i4>0</vt:i4>
      </vt:variant>
      <vt:variant>
        <vt:i4>5</vt:i4>
      </vt:variant>
      <vt:variant>
        <vt:lpwstr>https://disabilityawareness.com.au/courses/program-1-vet-staff-supporting-students-with-disability/</vt:lpwstr>
      </vt:variant>
      <vt:variant>
        <vt:lpwstr/>
      </vt:variant>
      <vt:variant>
        <vt:i4>6094862</vt:i4>
      </vt:variant>
      <vt:variant>
        <vt:i4>135</vt:i4>
      </vt:variant>
      <vt:variant>
        <vt:i4>0</vt:i4>
      </vt:variant>
      <vt:variant>
        <vt:i4>5</vt:i4>
      </vt:variant>
      <vt:variant>
        <vt:lpwstr>https://disabilityawareness.com.au/courses/introduction-to-disability-awareness/</vt:lpwstr>
      </vt:variant>
      <vt:variant>
        <vt:lpwstr/>
      </vt:variant>
      <vt:variant>
        <vt:i4>6422577</vt:i4>
      </vt:variant>
      <vt:variant>
        <vt:i4>132</vt:i4>
      </vt:variant>
      <vt:variant>
        <vt:i4>0</vt:i4>
      </vt:variant>
      <vt:variant>
        <vt:i4>5</vt:i4>
      </vt:variant>
      <vt:variant>
        <vt:lpwstr>https://disabilityawareness.com.au/</vt:lpwstr>
      </vt:variant>
      <vt:variant>
        <vt:lpwstr/>
      </vt:variant>
      <vt:variant>
        <vt:i4>7864357</vt:i4>
      </vt:variant>
      <vt:variant>
        <vt:i4>129</vt:i4>
      </vt:variant>
      <vt:variant>
        <vt:i4>0</vt:i4>
      </vt:variant>
      <vt:variant>
        <vt:i4>5</vt:i4>
      </vt:variant>
      <vt:variant>
        <vt:lpwstr>https://www.adcet.edu.au/disability-practitioner/your-role/disability-action-plans</vt:lpwstr>
      </vt:variant>
      <vt:variant>
        <vt:lpwstr/>
      </vt:variant>
      <vt:variant>
        <vt:i4>1376338</vt:i4>
      </vt:variant>
      <vt:variant>
        <vt:i4>126</vt:i4>
      </vt:variant>
      <vt:variant>
        <vt:i4>0</vt:i4>
      </vt:variant>
      <vt:variant>
        <vt:i4>5</vt:i4>
      </vt:variant>
      <vt:variant>
        <vt:lpwstr>https://www.asqa.gov.au/rtos/users-guide-standards-rtos-2015/self-assessment-tool</vt:lpwstr>
      </vt:variant>
      <vt:variant>
        <vt:lpwstr/>
      </vt:variant>
      <vt:variant>
        <vt:i4>8061046</vt:i4>
      </vt:variant>
      <vt:variant>
        <vt:i4>123</vt:i4>
      </vt:variant>
      <vt:variant>
        <vt:i4>0</vt:i4>
      </vt:variant>
      <vt:variant>
        <vt:i4>5</vt:i4>
      </vt:variant>
      <vt:variant>
        <vt:lpwstr>https://www.asqa.gov.au/guidance-resources</vt:lpwstr>
      </vt:variant>
      <vt:variant>
        <vt:lpwstr/>
      </vt:variant>
      <vt:variant>
        <vt:i4>3539059</vt:i4>
      </vt:variant>
      <vt:variant>
        <vt:i4>120</vt:i4>
      </vt:variant>
      <vt:variant>
        <vt:i4>0</vt:i4>
      </vt:variant>
      <vt:variant>
        <vt:i4>5</vt:i4>
      </vt:variant>
      <vt:variant>
        <vt:lpwstr>https://www.asqa.gov.au/how-we-regulate/regulatory-priorities/asqas-regulatory-risk-priorities-2022-23</vt:lpwstr>
      </vt:variant>
      <vt:variant>
        <vt:lpwstr/>
      </vt:variant>
      <vt:variant>
        <vt:i4>3670131</vt:i4>
      </vt:variant>
      <vt:variant>
        <vt:i4>117</vt:i4>
      </vt:variant>
      <vt:variant>
        <vt:i4>0</vt:i4>
      </vt:variant>
      <vt:variant>
        <vt:i4>5</vt:i4>
      </vt:variant>
      <vt:variant>
        <vt:lpwstr>https://www.asqa.gov.au/resources/fact-sheets/providing-quality-training-and-assessment-services-to-students-with-disabilities</vt:lpwstr>
      </vt:variant>
      <vt:variant>
        <vt:lpwstr/>
      </vt:variant>
      <vt:variant>
        <vt:i4>1048668</vt:i4>
      </vt:variant>
      <vt:variant>
        <vt:i4>114</vt:i4>
      </vt:variant>
      <vt:variant>
        <vt:i4>0</vt:i4>
      </vt:variant>
      <vt:variant>
        <vt:i4>5</vt:i4>
      </vt:variant>
      <vt:variant>
        <vt:lpwstr>https://humanrights.gov.au/our-work/disability-rights/register-disability-discrimination-act-action-plans</vt:lpwstr>
      </vt:variant>
      <vt:variant>
        <vt:lpwstr/>
      </vt:variant>
      <vt:variant>
        <vt:i4>4587597</vt:i4>
      </vt:variant>
      <vt:variant>
        <vt:i4>111</vt:i4>
      </vt:variant>
      <vt:variant>
        <vt:i4>0</vt:i4>
      </vt:variant>
      <vt:variant>
        <vt:i4>5</vt:i4>
      </vt:variant>
      <vt:variant>
        <vt:lpwstr>https://www.wgea.gov.au/what-we-do/reporting</vt:lpwstr>
      </vt:variant>
      <vt:variant>
        <vt:lpwstr/>
      </vt:variant>
      <vt:variant>
        <vt:i4>8060975</vt:i4>
      </vt:variant>
      <vt:variant>
        <vt:i4>108</vt:i4>
      </vt:variant>
      <vt:variant>
        <vt:i4>0</vt:i4>
      </vt:variant>
      <vt:variant>
        <vt:i4>5</vt:i4>
      </vt:variant>
      <vt:variant>
        <vt:lpwstr>https://www.legislation.gov.au/Details/F2010L00668</vt:lpwstr>
      </vt:variant>
      <vt:variant>
        <vt:lpwstr/>
      </vt:variant>
      <vt:variant>
        <vt:i4>7536686</vt:i4>
      </vt:variant>
      <vt:variant>
        <vt:i4>105</vt:i4>
      </vt:variant>
      <vt:variant>
        <vt:i4>0</vt:i4>
      </vt:variant>
      <vt:variant>
        <vt:i4>5</vt:i4>
      </vt:variant>
      <vt:variant>
        <vt:lpwstr>https://www.legislation.gov.au/Details/F2022L00347</vt:lpwstr>
      </vt:variant>
      <vt:variant>
        <vt:lpwstr/>
      </vt:variant>
      <vt:variant>
        <vt:i4>7143527</vt:i4>
      </vt:variant>
      <vt:variant>
        <vt:i4>102</vt:i4>
      </vt:variant>
      <vt:variant>
        <vt:i4>0</vt:i4>
      </vt:variant>
      <vt:variant>
        <vt:i4>5</vt:i4>
      </vt:variant>
      <vt:variant>
        <vt:lpwstr>https://www.adcet.edu.au/20-years-with-adcet/our-impact</vt:lpwstr>
      </vt:variant>
      <vt:variant>
        <vt:lpwstr/>
      </vt:variant>
      <vt:variant>
        <vt:i4>1703995</vt:i4>
      </vt:variant>
      <vt:variant>
        <vt:i4>95</vt:i4>
      </vt:variant>
      <vt:variant>
        <vt:i4>0</vt:i4>
      </vt:variant>
      <vt:variant>
        <vt:i4>5</vt:i4>
      </vt:variant>
      <vt:variant>
        <vt:lpwstr/>
      </vt:variant>
      <vt:variant>
        <vt:lpwstr>_Toc128578523</vt:lpwstr>
      </vt:variant>
      <vt:variant>
        <vt:i4>1703995</vt:i4>
      </vt:variant>
      <vt:variant>
        <vt:i4>89</vt:i4>
      </vt:variant>
      <vt:variant>
        <vt:i4>0</vt:i4>
      </vt:variant>
      <vt:variant>
        <vt:i4>5</vt:i4>
      </vt:variant>
      <vt:variant>
        <vt:lpwstr/>
      </vt:variant>
      <vt:variant>
        <vt:lpwstr>_Toc128578522</vt:lpwstr>
      </vt:variant>
      <vt:variant>
        <vt:i4>1703995</vt:i4>
      </vt:variant>
      <vt:variant>
        <vt:i4>83</vt:i4>
      </vt:variant>
      <vt:variant>
        <vt:i4>0</vt:i4>
      </vt:variant>
      <vt:variant>
        <vt:i4>5</vt:i4>
      </vt:variant>
      <vt:variant>
        <vt:lpwstr/>
      </vt:variant>
      <vt:variant>
        <vt:lpwstr>_Toc128578521</vt:lpwstr>
      </vt:variant>
      <vt:variant>
        <vt:i4>1703995</vt:i4>
      </vt:variant>
      <vt:variant>
        <vt:i4>77</vt:i4>
      </vt:variant>
      <vt:variant>
        <vt:i4>0</vt:i4>
      </vt:variant>
      <vt:variant>
        <vt:i4>5</vt:i4>
      </vt:variant>
      <vt:variant>
        <vt:lpwstr/>
      </vt:variant>
      <vt:variant>
        <vt:lpwstr>_Toc128578520</vt:lpwstr>
      </vt:variant>
      <vt:variant>
        <vt:i4>1638459</vt:i4>
      </vt:variant>
      <vt:variant>
        <vt:i4>71</vt:i4>
      </vt:variant>
      <vt:variant>
        <vt:i4>0</vt:i4>
      </vt:variant>
      <vt:variant>
        <vt:i4>5</vt:i4>
      </vt:variant>
      <vt:variant>
        <vt:lpwstr/>
      </vt:variant>
      <vt:variant>
        <vt:lpwstr>_Toc128578519</vt:lpwstr>
      </vt:variant>
      <vt:variant>
        <vt:i4>1638459</vt:i4>
      </vt:variant>
      <vt:variant>
        <vt:i4>65</vt:i4>
      </vt:variant>
      <vt:variant>
        <vt:i4>0</vt:i4>
      </vt:variant>
      <vt:variant>
        <vt:i4>5</vt:i4>
      </vt:variant>
      <vt:variant>
        <vt:lpwstr/>
      </vt:variant>
      <vt:variant>
        <vt:lpwstr>_Toc128578518</vt:lpwstr>
      </vt:variant>
      <vt:variant>
        <vt:i4>1638459</vt:i4>
      </vt:variant>
      <vt:variant>
        <vt:i4>59</vt:i4>
      </vt:variant>
      <vt:variant>
        <vt:i4>0</vt:i4>
      </vt:variant>
      <vt:variant>
        <vt:i4>5</vt:i4>
      </vt:variant>
      <vt:variant>
        <vt:lpwstr/>
      </vt:variant>
      <vt:variant>
        <vt:lpwstr>_Toc128578517</vt:lpwstr>
      </vt:variant>
      <vt:variant>
        <vt:i4>1638459</vt:i4>
      </vt:variant>
      <vt:variant>
        <vt:i4>53</vt:i4>
      </vt:variant>
      <vt:variant>
        <vt:i4>0</vt:i4>
      </vt:variant>
      <vt:variant>
        <vt:i4>5</vt:i4>
      </vt:variant>
      <vt:variant>
        <vt:lpwstr/>
      </vt:variant>
      <vt:variant>
        <vt:lpwstr>_Toc128578516</vt:lpwstr>
      </vt:variant>
      <vt:variant>
        <vt:i4>1638459</vt:i4>
      </vt:variant>
      <vt:variant>
        <vt:i4>47</vt:i4>
      </vt:variant>
      <vt:variant>
        <vt:i4>0</vt:i4>
      </vt:variant>
      <vt:variant>
        <vt:i4>5</vt:i4>
      </vt:variant>
      <vt:variant>
        <vt:lpwstr/>
      </vt:variant>
      <vt:variant>
        <vt:lpwstr>_Toc128578515</vt:lpwstr>
      </vt:variant>
      <vt:variant>
        <vt:i4>1638459</vt:i4>
      </vt:variant>
      <vt:variant>
        <vt:i4>41</vt:i4>
      </vt:variant>
      <vt:variant>
        <vt:i4>0</vt:i4>
      </vt:variant>
      <vt:variant>
        <vt:i4>5</vt:i4>
      </vt:variant>
      <vt:variant>
        <vt:lpwstr/>
      </vt:variant>
      <vt:variant>
        <vt:lpwstr>_Toc128578514</vt:lpwstr>
      </vt:variant>
      <vt:variant>
        <vt:i4>1638459</vt:i4>
      </vt:variant>
      <vt:variant>
        <vt:i4>35</vt:i4>
      </vt:variant>
      <vt:variant>
        <vt:i4>0</vt:i4>
      </vt:variant>
      <vt:variant>
        <vt:i4>5</vt:i4>
      </vt:variant>
      <vt:variant>
        <vt:lpwstr/>
      </vt:variant>
      <vt:variant>
        <vt:lpwstr>_Toc128578513</vt:lpwstr>
      </vt:variant>
      <vt:variant>
        <vt:i4>1638459</vt:i4>
      </vt:variant>
      <vt:variant>
        <vt:i4>29</vt:i4>
      </vt:variant>
      <vt:variant>
        <vt:i4>0</vt:i4>
      </vt:variant>
      <vt:variant>
        <vt:i4>5</vt:i4>
      </vt:variant>
      <vt:variant>
        <vt:lpwstr/>
      </vt:variant>
      <vt:variant>
        <vt:lpwstr>_Toc128578512</vt:lpwstr>
      </vt:variant>
      <vt:variant>
        <vt:i4>1638459</vt:i4>
      </vt:variant>
      <vt:variant>
        <vt:i4>23</vt:i4>
      </vt:variant>
      <vt:variant>
        <vt:i4>0</vt:i4>
      </vt:variant>
      <vt:variant>
        <vt:i4>5</vt:i4>
      </vt:variant>
      <vt:variant>
        <vt:lpwstr/>
      </vt:variant>
      <vt:variant>
        <vt:lpwstr>_Toc128578511</vt:lpwstr>
      </vt:variant>
      <vt:variant>
        <vt:i4>1638459</vt:i4>
      </vt:variant>
      <vt:variant>
        <vt:i4>17</vt:i4>
      </vt:variant>
      <vt:variant>
        <vt:i4>0</vt:i4>
      </vt:variant>
      <vt:variant>
        <vt:i4>5</vt:i4>
      </vt:variant>
      <vt:variant>
        <vt:lpwstr/>
      </vt:variant>
      <vt:variant>
        <vt:lpwstr>_Toc128578510</vt:lpwstr>
      </vt:variant>
      <vt:variant>
        <vt:i4>1572923</vt:i4>
      </vt:variant>
      <vt:variant>
        <vt:i4>11</vt:i4>
      </vt:variant>
      <vt:variant>
        <vt:i4>0</vt:i4>
      </vt:variant>
      <vt:variant>
        <vt:i4>5</vt:i4>
      </vt:variant>
      <vt:variant>
        <vt:lpwstr/>
      </vt:variant>
      <vt:variant>
        <vt:lpwstr>_Toc128578509</vt:lpwstr>
      </vt:variant>
      <vt:variant>
        <vt:i4>196672</vt:i4>
      </vt:variant>
      <vt:variant>
        <vt:i4>6</vt:i4>
      </vt:variant>
      <vt:variant>
        <vt:i4>0</vt:i4>
      </vt:variant>
      <vt:variant>
        <vt:i4>5</vt:i4>
      </vt:variant>
      <vt:variant>
        <vt:lpwstr>http://www.adcet.edu.au/</vt:lpwstr>
      </vt:variant>
      <vt:variant>
        <vt:lpwstr/>
      </vt:variant>
      <vt:variant>
        <vt:i4>4980849</vt:i4>
      </vt:variant>
      <vt:variant>
        <vt:i4>3</vt:i4>
      </vt:variant>
      <vt:variant>
        <vt:i4>0</vt:i4>
      </vt:variant>
      <vt:variant>
        <vt:i4>5</vt:i4>
      </vt:variant>
      <vt:variant>
        <vt:lpwstr>mailto:darlene.mclennan@utas.edu.au</vt:lpwstr>
      </vt:variant>
      <vt:variant>
        <vt:lpwstr/>
      </vt:variant>
      <vt:variant>
        <vt:i4>4587634</vt:i4>
      </vt:variant>
      <vt:variant>
        <vt:i4>0</vt:i4>
      </vt:variant>
      <vt:variant>
        <vt:i4>0</vt:i4>
      </vt:variant>
      <vt:variant>
        <vt:i4>5</vt:i4>
      </vt:variant>
      <vt:variant>
        <vt:lpwstr>mailto:ee.reps@aph.gov.au</vt:lpwstr>
      </vt:variant>
      <vt:variant>
        <vt:lpwstr/>
      </vt:variant>
      <vt:variant>
        <vt:i4>7340078</vt:i4>
      </vt:variant>
      <vt:variant>
        <vt:i4>6</vt:i4>
      </vt:variant>
      <vt:variant>
        <vt:i4>0</vt:i4>
      </vt:variant>
      <vt:variant>
        <vt:i4>5</vt:i4>
      </vt:variant>
      <vt:variant>
        <vt:lpwstr>https://www.legislation.gov.au/Details/F2005L00767</vt:lpwstr>
      </vt:variant>
      <vt:variant>
        <vt:lpwstr/>
      </vt:variant>
      <vt:variant>
        <vt:i4>8126500</vt:i4>
      </vt:variant>
      <vt:variant>
        <vt:i4>3</vt:i4>
      </vt:variant>
      <vt:variant>
        <vt:i4>0</vt:i4>
      </vt:variant>
      <vt:variant>
        <vt:i4>5</vt:i4>
      </vt:variant>
      <vt:variant>
        <vt:lpwstr>https://www.legislation.gov.au/Details/C2018C00125</vt:lpwstr>
      </vt:variant>
      <vt:variant>
        <vt:lpwstr/>
      </vt:variant>
      <vt:variant>
        <vt:i4>2556020</vt:i4>
      </vt:variant>
      <vt:variant>
        <vt:i4>0</vt:i4>
      </vt:variant>
      <vt:variant>
        <vt:i4>0</vt:i4>
      </vt:variant>
      <vt:variant>
        <vt:i4>5</vt:i4>
      </vt:variant>
      <vt:variant>
        <vt:lpwstr>https://www.nationalskillscommission.gov.au/insights/projecting-employment-2026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Gabrielle O'Brien</dc:creator>
  <cp:keywords/>
  <dc:description/>
  <cp:lastModifiedBy>Kylie Geard</cp:lastModifiedBy>
  <cp:revision>2</cp:revision>
  <dcterms:created xsi:type="dcterms:W3CDTF">2023-05-12T01:27:00Z</dcterms:created>
  <dcterms:modified xsi:type="dcterms:W3CDTF">2023-05-12T01:27:00Z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0x010100A73BD3F1AF6ADA448334D10C5CD314B2</vt:lpwstr>
  </property>
  <property fmtid="{D5CDD505-2E9C-101B-9397-08002B2CF9AE}" pid="3" name="MediaServiceImageTags">
    <vt:lpwstr/>
  </property>
</Properties>
</file>