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A38E" w14:textId="77777777" w:rsidR="00E01D0A" w:rsidRDefault="00E01D0A" w:rsidP="00E537FF">
      <w:pPr>
        <w:rPr>
          <w:bdr w:val="none" w:sz="0" w:space="0" w:color="auto" w:frame="1"/>
          <w:shd w:val="clear" w:color="auto" w:fill="FFFFFF"/>
        </w:rPr>
      </w:pPr>
    </w:p>
    <w:p w14:paraId="61EE7429" w14:textId="77777777" w:rsidR="00E01D0A" w:rsidRDefault="00E01D0A" w:rsidP="00E537FF">
      <w:pPr>
        <w:rPr>
          <w:bdr w:val="none" w:sz="0" w:space="0" w:color="auto" w:frame="1"/>
          <w:shd w:val="clear" w:color="auto" w:fill="FFFFFF"/>
        </w:rPr>
      </w:pPr>
    </w:p>
    <w:p w14:paraId="1C755F6E" w14:textId="418D39C8" w:rsidR="00FE5AA5" w:rsidRPr="001B5A8F" w:rsidRDefault="00FE5AA5" w:rsidP="00E537FF">
      <w:pPr>
        <w:rPr>
          <w:bdr w:val="none" w:sz="0" w:space="0" w:color="auto" w:frame="1"/>
          <w:shd w:val="clear" w:color="auto" w:fill="FFFFFF"/>
        </w:rPr>
      </w:pPr>
      <w:r w:rsidRPr="001B5A8F">
        <w:rPr>
          <w:bdr w:val="none" w:sz="0" w:space="0" w:color="auto" w:frame="1"/>
          <w:shd w:val="clear" w:color="auto" w:fill="FFFFFF"/>
        </w:rPr>
        <w:t xml:space="preserve">Mary O’Kane </w:t>
      </w:r>
    </w:p>
    <w:p w14:paraId="2CF8C93F" w14:textId="77777777" w:rsidR="00FE5AA5" w:rsidRPr="001B5A8F" w:rsidRDefault="00FE5AA5" w:rsidP="00E537FF">
      <w:pPr>
        <w:rPr>
          <w:bdr w:val="none" w:sz="0" w:space="0" w:color="auto" w:frame="1"/>
          <w:shd w:val="clear" w:color="auto" w:fill="FFFFFF"/>
        </w:rPr>
      </w:pPr>
      <w:r w:rsidRPr="001B5A8F">
        <w:rPr>
          <w:bdr w:val="none" w:sz="0" w:space="0" w:color="auto" w:frame="1"/>
          <w:shd w:val="clear" w:color="auto" w:fill="FFFFFF"/>
        </w:rPr>
        <w:t>Chair, Australian Universities Accord</w:t>
      </w:r>
    </w:p>
    <w:p w14:paraId="5957DC0D" w14:textId="77777777" w:rsidR="00FE5AA5" w:rsidRPr="001B5A8F" w:rsidRDefault="00FE5AA5" w:rsidP="00E537FF">
      <w:pPr>
        <w:rPr>
          <w:bdr w:val="none" w:sz="0" w:space="0" w:color="auto" w:frame="1"/>
          <w:shd w:val="clear" w:color="auto" w:fill="FFFFFF"/>
        </w:rPr>
      </w:pPr>
      <w:r w:rsidRPr="001B5A8F">
        <w:rPr>
          <w:bdr w:val="none" w:sz="0" w:space="0" w:color="auto" w:frame="1"/>
          <w:shd w:val="clear" w:color="auto" w:fill="FFFFFF"/>
        </w:rPr>
        <w:t>Higher Education Division</w:t>
      </w:r>
    </w:p>
    <w:p w14:paraId="4D0EE765" w14:textId="2F43DBE6" w:rsidR="00FE5AA5" w:rsidRPr="001B5A8F" w:rsidRDefault="00FE5AA5" w:rsidP="00E537FF">
      <w:pPr>
        <w:rPr>
          <w:bdr w:val="none" w:sz="0" w:space="0" w:color="auto" w:frame="1"/>
          <w:shd w:val="clear" w:color="auto" w:fill="FFFFFF"/>
        </w:rPr>
      </w:pPr>
      <w:r w:rsidRPr="001B5A8F">
        <w:rPr>
          <w:bdr w:val="none" w:sz="0" w:space="0" w:color="auto" w:frame="1"/>
          <w:shd w:val="clear" w:color="auto" w:fill="FFFFFF"/>
        </w:rPr>
        <w:t>Australian Government Department of Education</w:t>
      </w:r>
    </w:p>
    <w:p w14:paraId="77E79D5F" w14:textId="77777777" w:rsidR="00FE5AA5" w:rsidRPr="001B5A8F" w:rsidRDefault="00FE5AA5" w:rsidP="00E537FF"/>
    <w:p w14:paraId="176113BE" w14:textId="77777777" w:rsidR="0030543D" w:rsidRPr="001B5A8F" w:rsidRDefault="0030543D" w:rsidP="00E537FF"/>
    <w:p w14:paraId="5FC8BE77" w14:textId="05831E33" w:rsidR="05A9750D" w:rsidRPr="001B5A8F" w:rsidRDefault="05A9750D" w:rsidP="3442F175">
      <w:pPr>
        <w:spacing w:line="259" w:lineRule="auto"/>
      </w:pPr>
      <w:r w:rsidRPr="001B5A8F">
        <w:t>11 April 2023</w:t>
      </w:r>
    </w:p>
    <w:p w14:paraId="31B52E13" w14:textId="77777777" w:rsidR="002711F5" w:rsidRPr="001B5A8F" w:rsidRDefault="002711F5" w:rsidP="00E537FF"/>
    <w:p w14:paraId="40005425" w14:textId="77777777" w:rsidR="0030543D" w:rsidRPr="001B5A8F" w:rsidRDefault="0030543D" w:rsidP="00E537FF"/>
    <w:p w14:paraId="56943A9F" w14:textId="77777777" w:rsidR="0030543D" w:rsidRPr="001B5A8F" w:rsidRDefault="0030543D" w:rsidP="00E537FF"/>
    <w:p w14:paraId="497987EC" w14:textId="67A8ECE0" w:rsidR="00FE5AA5" w:rsidRPr="001B5A8F" w:rsidRDefault="002711F5" w:rsidP="00E537FF">
      <w:r w:rsidRPr="001B5A8F">
        <w:t xml:space="preserve">Dear </w:t>
      </w:r>
      <w:r w:rsidR="00E537FF" w:rsidRPr="001B5A8F">
        <w:t>Mary O’Kane and m</w:t>
      </w:r>
      <w:r w:rsidRPr="001B5A8F">
        <w:t>embers of the Australian Universities Accord Panel</w:t>
      </w:r>
    </w:p>
    <w:p w14:paraId="1D3D2D31" w14:textId="77777777" w:rsidR="00FE5AA5" w:rsidRPr="001B5A8F" w:rsidRDefault="00FE5AA5" w:rsidP="00E537FF">
      <w:pPr>
        <w:rPr>
          <w:bdr w:val="none" w:sz="0" w:space="0" w:color="auto" w:frame="1"/>
          <w:shd w:val="clear" w:color="auto" w:fill="FFFFFF"/>
        </w:rPr>
      </w:pPr>
    </w:p>
    <w:p w14:paraId="463B3E5B" w14:textId="5FC295BE" w:rsidR="00182BF4" w:rsidRPr="001B5A8F" w:rsidRDefault="00E537FF" w:rsidP="3442F175">
      <w:pPr>
        <w:rPr>
          <w:rFonts w:eastAsia="Calibri"/>
          <w:b/>
          <w:bCs/>
        </w:rPr>
      </w:pPr>
      <w:r w:rsidRPr="001B5A8F">
        <w:rPr>
          <w:rFonts w:eastAsia="Calibri"/>
          <w:b/>
          <w:bCs/>
        </w:rPr>
        <w:t xml:space="preserve">Re: </w:t>
      </w:r>
      <w:r w:rsidR="00182BF4" w:rsidRPr="001B5A8F">
        <w:rPr>
          <w:rFonts w:eastAsia="Calibri"/>
          <w:b/>
          <w:bCs/>
        </w:rPr>
        <w:t xml:space="preserve">ADCET submission for the University Accord: </w:t>
      </w:r>
      <w:r w:rsidR="6167FCD8" w:rsidRPr="001B5A8F">
        <w:rPr>
          <w:rFonts w:eastAsia="Calibri"/>
          <w:b/>
          <w:bCs/>
        </w:rPr>
        <w:t>Discussion Paper Questions</w:t>
      </w:r>
    </w:p>
    <w:p w14:paraId="3188FCE7" w14:textId="77777777" w:rsidR="00BC56A0" w:rsidRPr="001B5A8F" w:rsidRDefault="00BC56A0" w:rsidP="20EC95FB"/>
    <w:p w14:paraId="6A370BA0" w14:textId="5D48497F" w:rsidR="00A63E74" w:rsidRPr="001B5A8F" w:rsidRDefault="002C312D" w:rsidP="00C008F7">
      <w:pPr>
        <w:pStyle w:val="paragraph"/>
        <w:spacing w:before="0" w:beforeAutospacing="0" w:after="0" w:afterAutospacing="0"/>
        <w:textAlignment w:val="baseline"/>
        <w:rPr>
          <w:rStyle w:val="eop"/>
          <w:rFonts w:cs="Arial"/>
        </w:rPr>
      </w:pPr>
      <w:r w:rsidRPr="001B5A8F">
        <w:t>ADCET</w:t>
      </w:r>
      <w:r w:rsidR="00533A01" w:rsidRPr="001B5A8F">
        <w:t xml:space="preserve"> (</w:t>
      </w:r>
      <w:r w:rsidR="001046F3" w:rsidRPr="001B5A8F">
        <w:t xml:space="preserve">Australian Disability Clearinghouse on Education and Training) </w:t>
      </w:r>
      <w:r w:rsidR="00533A01" w:rsidRPr="001B5A8F">
        <w:t xml:space="preserve">is Australia’s leading resource </w:t>
      </w:r>
      <w:r w:rsidR="001C2C89">
        <w:rPr>
          <w:rStyle w:val="normaltextrun"/>
          <w:rFonts w:cs="Arial"/>
        </w:rPr>
        <w:t>for</w:t>
      </w:r>
      <w:r w:rsidR="00533A01" w:rsidRPr="001B5A8F">
        <w:rPr>
          <w:rStyle w:val="normaltextrun"/>
          <w:rFonts w:cs="Arial"/>
        </w:rPr>
        <w:t xml:space="preserve"> disability practitioners, educators and students </w:t>
      </w:r>
      <w:r w:rsidR="00D079DE" w:rsidRPr="001B5A8F">
        <w:rPr>
          <w:rStyle w:val="normaltextrun"/>
          <w:rFonts w:cs="Arial"/>
        </w:rPr>
        <w:t>(and their families)</w:t>
      </w:r>
      <w:r w:rsidR="00DC0368" w:rsidRPr="001B5A8F">
        <w:rPr>
          <w:rStyle w:val="normaltextrun"/>
          <w:rFonts w:cs="Arial"/>
        </w:rPr>
        <w:t xml:space="preserve"> to navigate </w:t>
      </w:r>
      <w:r w:rsidR="00533A01" w:rsidRPr="001B5A8F">
        <w:rPr>
          <w:rStyle w:val="normaltextrun"/>
          <w:rFonts w:cs="Arial"/>
        </w:rPr>
        <w:t>post-secondary education and training opportunities.</w:t>
      </w:r>
      <w:r w:rsidR="00533A01" w:rsidRPr="001B5A8F">
        <w:rPr>
          <w:rStyle w:val="eop"/>
          <w:rFonts w:cs="Arial"/>
        </w:rPr>
        <w:t> </w:t>
      </w:r>
    </w:p>
    <w:p w14:paraId="320AAC84" w14:textId="77777777" w:rsidR="00A63E74" w:rsidRPr="001B5A8F" w:rsidRDefault="00A63E74" w:rsidP="00C008F7">
      <w:pPr>
        <w:pStyle w:val="paragraph"/>
        <w:spacing w:before="0" w:beforeAutospacing="0" w:after="0" w:afterAutospacing="0"/>
        <w:textAlignment w:val="baseline"/>
        <w:rPr>
          <w:rStyle w:val="eop"/>
          <w:rFonts w:cs="Arial"/>
        </w:rPr>
      </w:pPr>
    </w:p>
    <w:p w14:paraId="14594215" w14:textId="394C6120" w:rsidR="008F1978" w:rsidRPr="001B5A8F" w:rsidRDefault="008F1978" w:rsidP="00C008F7">
      <w:pPr>
        <w:pStyle w:val="paragraph"/>
        <w:spacing w:before="0" w:beforeAutospacing="0" w:after="0" w:afterAutospacing="0"/>
        <w:textAlignment w:val="baseline"/>
        <w:rPr>
          <w:rStyle w:val="eop"/>
          <w:rFonts w:cs="Arial"/>
        </w:rPr>
      </w:pPr>
      <w:r w:rsidRPr="001B5A8F">
        <w:rPr>
          <w:rFonts w:cs="Arial"/>
        </w:rPr>
        <w:t>ADCET welcomes the opportunity to contribute to this important consultation on the future of Australia’s Higher Education System</w:t>
      </w:r>
      <w:r w:rsidR="504709D4" w:rsidRPr="001B5A8F">
        <w:rPr>
          <w:rFonts w:cs="Arial"/>
        </w:rPr>
        <w:t>.</w:t>
      </w:r>
    </w:p>
    <w:p w14:paraId="684A7F4E" w14:textId="77777777" w:rsidR="008F1978" w:rsidRPr="001B5A8F" w:rsidRDefault="008F1978" w:rsidP="00C008F7">
      <w:pPr>
        <w:pStyle w:val="paragraph"/>
        <w:spacing w:before="0" w:beforeAutospacing="0" w:after="0" w:afterAutospacing="0"/>
        <w:textAlignment w:val="baseline"/>
        <w:rPr>
          <w:rStyle w:val="eop"/>
          <w:rFonts w:cs="Arial"/>
        </w:rPr>
      </w:pPr>
    </w:p>
    <w:p w14:paraId="7482016A" w14:textId="691524AD" w:rsidR="000B3872" w:rsidRPr="001B5A8F" w:rsidRDefault="00A63E74" w:rsidP="000B3872">
      <w:pPr>
        <w:rPr>
          <w:lang w:val="en-AU" w:eastAsia="en-AU"/>
        </w:rPr>
      </w:pPr>
      <w:r w:rsidRPr="001B5A8F">
        <w:rPr>
          <w:lang w:val="en-AU" w:eastAsia="en-AU"/>
        </w:rPr>
        <w:t xml:space="preserve">Please </w:t>
      </w:r>
      <w:r w:rsidR="004D1554" w:rsidRPr="001B5A8F">
        <w:rPr>
          <w:lang w:val="en-AU" w:eastAsia="en-AU"/>
        </w:rPr>
        <w:t>do not</w:t>
      </w:r>
      <w:r w:rsidRPr="001B5A8F">
        <w:rPr>
          <w:lang w:val="en-AU" w:eastAsia="en-AU"/>
        </w:rPr>
        <w:t xml:space="preserve"> hesitate to contact us for any </w:t>
      </w:r>
      <w:r w:rsidR="00394356" w:rsidRPr="001B5A8F">
        <w:rPr>
          <w:lang w:val="en-AU" w:eastAsia="en-AU"/>
        </w:rPr>
        <w:t xml:space="preserve">further detail, </w:t>
      </w:r>
      <w:r w:rsidRPr="001B5A8F">
        <w:rPr>
          <w:lang w:val="en-AU" w:eastAsia="en-AU"/>
        </w:rPr>
        <w:t>clarification or questions.</w:t>
      </w:r>
    </w:p>
    <w:p w14:paraId="71EA9145" w14:textId="77777777" w:rsidR="00A63E74" w:rsidRPr="001B5A8F" w:rsidRDefault="00A63E74" w:rsidP="000B3872">
      <w:pPr>
        <w:rPr>
          <w:lang w:val="en-AU" w:eastAsia="en-AU"/>
        </w:rPr>
      </w:pPr>
    </w:p>
    <w:p w14:paraId="52EAB273" w14:textId="2ABEB41C" w:rsidR="00A63E74" w:rsidRPr="001B5A8F" w:rsidRDefault="00A63E74" w:rsidP="000B3872">
      <w:pPr>
        <w:rPr>
          <w:lang w:val="en-AU" w:eastAsia="en-AU"/>
        </w:rPr>
      </w:pPr>
      <w:r w:rsidRPr="001B5A8F">
        <w:rPr>
          <w:lang w:val="en-AU" w:eastAsia="en-AU"/>
        </w:rPr>
        <w:t>Regards</w:t>
      </w:r>
    </w:p>
    <w:p w14:paraId="0095917D" w14:textId="77777777" w:rsidR="0030543D" w:rsidRPr="001B5A8F" w:rsidRDefault="0030543D" w:rsidP="000B3872">
      <w:pPr>
        <w:rPr>
          <w:lang w:val="en-AU" w:eastAsia="en-AU"/>
        </w:rPr>
      </w:pPr>
    </w:p>
    <w:p w14:paraId="315DFA25" w14:textId="1857600C" w:rsidR="0030543D" w:rsidRPr="001B5A8F" w:rsidRDefault="0030543D" w:rsidP="000B3872">
      <w:pPr>
        <w:rPr>
          <w:lang w:val="en-AU" w:eastAsia="en-AU"/>
        </w:rPr>
      </w:pPr>
    </w:p>
    <w:p w14:paraId="5706CE69" w14:textId="77777777" w:rsidR="0030543D" w:rsidRPr="001B5A8F" w:rsidRDefault="0030543D" w:rsidP="000B3872">
      <w:pPr>
        <w:rPr>
          <w:lang w:val="en-AU" w:eastAsia="en-AU"/>
        </w:rPr>
      </w:pPr>
    </w:p>
    <w:p w14:paraId="193369D5" w14:textId="11B98550" w:rsidR="00A63E74" w:rsidRPr="001B5A8F" w:rsidRDefault="00A63E74" w:rsidP="000B3872">
      <w:pPr>
        <w:rPr>
          <w:lang w:val="en-AU" w:eastAsia="en-AU"/>
        </w:rPr>
      </w:pPr>
      <w:r w:rsidRPr="001B5A8F">
        <w:rPr>
          <w:lang w:val="en-AU" w:eastAsia="en-AU"/>
        </w:rPr>
        <w:t>Darlene McLennan</w:t>
      </w:r>
    </w:p>
    <w:p w14:paraId="3DA033F0" w14:textId="18EEDB74" w:rsidR="00A63E74" w:rsidRPr="001B5A8F" w:rsidRDefault="00A63E74" w:rsidP="000B3872">
      <w:pPr>
        <w:rPr>
          <w:lang w:val="en-AU" w:eastAsia="en-AU"/>
        </w:rPr>
      </w:pPr>
      <w:r w:rsidRPr="001B5A8F">
        <w:rPr>
          <w:lang w:val="en-AU" w:eastAsia="en-AU"/>
        </w:rPr>
        <w:t>Manager, ADCET</w:t>
      </w:r>
    </w:p>
    <w:p w14:paraId="2F743B84" w14:textId="77777777" w:rsidR="0030543D" w:rsidRPr="001B5A8F" w:rsidRDefault="0030543D" w:rsidP="000B3872">
      <w:pPr>
        <w:rPr>
          <w:lang w:val="en-AU" w:eastAsia="en-AU"/>
        </w:rPr>
      </w:pPr>
    </w:p>
    <w:p w14:paraId="6392B54D" w14:textId="3EA79C95" w:rsidR="0030543D" w:rsidRPr="001B5A8F" w:rsidRDefault="0030543D" w:rsidP="0030543D">
      <w:r w:rsidRPr="001B5A8F">
        <w:t>Phone: 0419 154 368</w:t>
      </w:r>
    </w:p>
    <w:p w14:paraId="79C77F87" w14:textId="60FD435D" w:rsidR="0030543D" w:rsidRPr="001B5A8F" w:rsidRDefault="0030543D" w:rsidP="0030543D">
      <w:r w:rsidRPr="001B5A8F">
        <w:t xml:space="preserve">Email: </w:t>
      </w:r>
      <w:hyperlink r:id="rId11" w:history="1">
        <w:r w:rsidRPr="001B5A8F">
          <w:rPr>
            <w:rStyle w:val="Hyperlink"/>
          </w:rPr>
          <w:t>darlene.mclennan@utas.edu.au</w:t>
        </w:r>
      </w:hyperlink>
    </w:p>
    <w:p w14:paraId="2B6C1AD3" w14:textId="31D292BB" w:rsidR="0030543D" w:rsidRPr="001B5A8F" w:rsidRDefault="0030543D" w:rsidP="0030543D">
      <w:r w:rsidRPr="001B5A8F">
        <w:t xml:space="preserve">Web: </w:t>
      </w:r>
      <w:hyperlink r:id="rId12" w:history="1">
        <w:r w:rsidRPr="001B5A8F">
          <w:rPr>
            <w:rStyle w:val="Hyperlink"/>
          </w:rPr>
          <w:t>www.adcet.edu.au</w:t>
        </w:r>
      </w:hyperlink>
    </w:p>
    <w:p w14:paraId="600E6358" w14:textId="77777777" w:rsidR="0030543D" w:rsidRPr="001B5A8F" w:rsidRDefault="0030543D" w:rsidP="000B3872">
      <w:pPr>
        <w:rPr>
          <w:lang w:val="en-AU" w:eastAsia="en-AU"/>
        </w:rPr>
      </w:pPr>
    </w:p>
    <w:p w14:paraId="3C40D4E2" w14:textId="77777777" w:rsidR="00A63E74" w:rsidRPr="001B5A8F" w:rsidRDefault="00A63E74" w:rsidP="000B3872">
      <w:pPr>
        <w:rPr>
          <w:lang w:val="en-AU" w:eastAsia="en-AU"/>
        </w:rPr>
      </w:pPr>
    </w:p>
    <w:p w14:paraId="3ED27FD9" w14:textId="77777777" w:rsidR="00A63E74" w:rsidRPr="001B5A8F" w:rsidRDefault="00A63E74" w:rsidP="000B3872">
      <w:pPr>
        <w:rPr>
          <w:lang w:val="en-AU" w:eastAsia="en-AU"/>
        </w:rPr>
      </w:pPr>
    </w:p>
    <w:p w14:paraId="6E3BEA05" w14:textId="77777777" w:rsidR="00A63E74" w:rsidRPr="001B5A8F" w:rsidRDefault="00A63E74" w:rsidP="000B3872">
      <w:pPr>
        <w:rPr>
          <w:lang w:val="en-AU" w:eastAsia="en-AU"/>
        </w:rPr>
      </w:pPr>
    </w:p>
    <w:p w14:paraId="58CC0664" w14:textId="261DFF4C" w:rsidR="00A63E74" w:rsidRPr="001B5A8F" w:rsidRDefault="00A63E74">
      <w:pPr>
        <w:rPr>
          <w:lang w:val="en-AU" w:eastAsia="en-AU"/>
        </w:rPr>
      </w:pPr>
      <w:r w:rsidRPr="001B5A8F">
        <w:rPr>
          <w:lang w:val="en-AU" w:eastAsia="en-AU"/>
        </w:rPr>
        <w:br w:type="page"/>
      </w:r>
    </w:p>
    <w:p w14:paraId="2B7EE0C3" w14:textId="77777777" w:rsidR="00AC0CE9" w:rsidRPr="001B5A8F" w:rsidRDefault="00AC0CE9">
      <w:pPr>
        <w:rPr>
          <w:lang w:val="en-AU" w:eastAsia="en-AU"/>
        </w:rPr>
      </w:pPr>
    </w:p>
    <w:sdt>
      <w:sdtPr>
        <w:rPr>
          <w:rFonts w:ascii="Arial" w:eastAsiaTheme="minorEastAsia" w:hAnsi="Arial" w:cs="Times New Roman"/>
          <w:color w:val="auto"/>
          <w:sz w:val="24"/>
          <w:szCs w:val="24"/>
        </w:rPr>
        <w:id w:val="-31660363"/>
        <w:docPartObj>
          <w:docPartGallery w:val="Table of Contents"/>
          <w:docPartUnique/>
        </w:docPartObj>
      </w:sdtPr>
      <w:sdtEndPr>
        <w:rPr>
          <w:b/>
          <w:bCs/>
          <w:noProof/>
        </w:rPr>
      </w:sdtEndPr>
      <w:sdtContent>
        <w:p w14:paraId="1E82EDB5" w14:textId="2AEBE4E9" w:rsidR="00B22756" w:rsidRPr="001B5A8F" w:rsidRDefault="00B22756">
          <w:pPr>
            <w:pStyle w:val="TOCHeading"/>
          </w:pPr>
          <w:r w:rsidRPr="001B5A8F">
            <w:t>Contents</w:t>
          </w:r>
        </w:p>
        <w:p w14:paraId="13EF8E10" w14:textId="68CAF904" w:rsidR="005818AC" w:rsidRDefault="00B22756">
          <w:pPr>
            <w:pStyle w:val="TOC1"/>
            <w:rPr>
              <w:rFonts w:asciiTheme="minorHAnsi" w:hAnsiTheme="minorHAnsi" w:cstheme="minorBidi"/>
              <w:noProof/>
              <w:sz w:val="22"/>
              <w:szCs w:val="22"/>
              <w:lang w:val="en-AU" w:eastAsia="en-AU"/>
            </w:rPr>
          </w:pPr>
          <w:r w:rsidRPr="001B5A8F">
            <w:fldChar w:fldCharType="begin"/>
          </w:r>
          <w:r w:rsidRPr="001B5A8F">
            <w:instrText xml:space="preserve"> TOC \o "1-3" \h \z \u </w:instrText>
          </w:r>
          <w:r w:rsidRPr="001B5A8F">
            <w:fldChar w:fldCharType="separate"/>
          </w:r>
          <w:hyperlink w:anchor="_Toc132139884" w:history="1">
            <w:r w:rsidR="005818AC" w:rsidRPr="00903EB7">
              <w:rPr>
                <w:rStyle w:val="Hyperlink"/>
                <w:noProof/>
                <w:lang w:eastAsia="en-AU"/>
              </w:rPr>
              <w:t>About our submission</w:t>
            </w:r>
            <w:r w:rsidR="005818AC">
              <w:rPr>
                <w:noProof/>
                <w:webHidden/>
              </w:rPr>
              <w:tab/>
            </w:r>
            <w:r w:rsidR="005818AC">
              <w:rPr>
                <w:noProof/>
                <w:webHidden/>
              </w:rPr>
              <w:fldChar w:fldCharType="begin"/>
            </w:r>
            <w:r w:rsidR="005818AC">
              <w:rPr>
                <w:noProof/>
                <w:webHidden/>
              </w:rPr>
              <w:instrText xml:space="preserve"> PAGEREF _Toc132139884 \h </w:instrText>
            </w:r>
            <w:r w:rsidR="005818AC">
              <w:rPr>
                <w:noProof/>
                <w:webHidden/>
              </w:rPr>
            </w:r>
            <w:r w:rsidR="005818AC">
              <w:rPr>
                <w:noProof/>
                <w:webHidden/>
              </w:rPr>
              <w:fldChar w:fldCharType="separate"/>
            </w:r>
            <w:r w:rsidR="005818AC">
              <w:rPr>
                <w:noProof/>
                <w:webHidden/>
              </w:rPr>
              <w:t>4</w:t>
            </w:r>
            <w:r w:rsidR="005818AC">
              <w:rPr>
                <w:noProof/>
                <w:webHidden/>
              </w:rPr>
              <w:fldChar w:fldCharType="end"/>
            </w:r>
          </w:hyperlink>
        </w:p>
        <w:p w14:paraId="6829B727" w14:textId="2F38E5FD" w:rsidR="005818AC" w:rsidRDefault="00000000">
          <w:pPr>
            <w:pStyle w:val="TOC1"/>
            <w:rPr>
              <w:rFonts w:asciiTheme="minorHAnsi" w:hAnsiTheme="minorHAnsi" w:cstheme="minorBidi"/>
              <w:noProof/>
              <w:sz w:val="22"/>
              <w:szCs w:val="22"/>
              <w:lang w:val="en-AU" w:eastAsia="en-AU"/>
            </w:rPr>
          </w:pPr>
          <w:hyperlink w:anchor="_Toc132139885" w:history="1">
            <w:r w:rsidR="005818AC" w:rsidRPr="00903EB7">
              <w:rPr>
                <w:rStyle w:val="Hyperlink"/>
                <w:noProof/>
                <w:lang w:val="en-AU" w:eastAsia="en-AU"/>
              </w:rPr>
              <w:t>Part 1: The role and importance of ADCET</w:t>
            </w:r>
            <w:r w:rsidR="005818AC">
              <w:rPr>
                <w:noProof/>
                <w:webHidden/>
              </w:rPr>
              <w:tab/>
            </w:r>
            <w:r w:rsidR="005818AC">
              <w:rPr>
                <w:noProof/>
                <w:webHidden/>
              </w:rPr>
              <w:fldChar w:fldCharType="begin"/>
            </w:r>
            <w:r w:rsidR="005818AC">
              <w:rPr>
                <w:noProof/>
                <w:webHidden/>
              </w:rPr>
              <w:instrText xml:space="preserve"> PAGEREF _Toc132139885 \h </w:instrText>
            </w:r>
            <w:r w:rsidR="005818AC">
              <w:rPr>
                <w:noProof/>
                <w:webHidden/>
              </w:rPr>
            </w:r>
            <w:r w:rsidR="005818AC">
              <w:rPr>
                <w:noProof/>
                <w:webHidden/>
              </w:rPr>
              <w:fldChar w:fldCharType="separate"/>
            </w:r>
            <w:r w:rsidR="005818AC">
              <w:rPr>
                <w:noProof/>
                <w:webHidden/>
              </w:rPr>
              <w:t>5</w:t>
            </w:r>
            <w:r w:rsidR="005818AC">
              <w:rPr>
                <w:noProof/>
                <w:webHidden/>
              </w:rPr>
              <w:fldChar w:fldCharType="end"/>
            </w:r>
          </w:hyperlink>
        </w:p>
        <w:p w14:paraId="23644DFA" w14:textId="707CBEA9" w:rsidR="005818AC" w:rsidRDefault="00000000" w:rsidP="00D24C9B">
          <w:pPr>
            <w:pStyle w:val="TOC2"/>
            <w:rPr>
              <w:rFonts w:asciiTheme="minorHAnsi" w:hAnsiTheme="minorHAnsi" w:cstheme="minorBidi"/>
              <w:sz w:val="22"/>
              <w:szCs w:val="22"/>
              <w:lang w:val="en-AU" w:eastAsia="en-AU"/>
            </w:rPr>
          </w:pPr>
          <w:hyperlink w:anchor="_Toc132139886" w:history="1">
            <w:r w:rsidR="005818AC" w:rsidRPr="00903EB7">
              <w:rPr>
                <w:rStyle w:val="Hyperlink"/>
                <w:rFonts w:cs="Arial"/>
              </w:rPr>
              <w:t>ADCET funding</w:t>
            </w:r>
            <w:r w:rsidR="005818AC">
              <w:rPr>
                <w:webHidden/>
              </w:rPr>
              <w:tab/>
            </w:r>
            <w:r w:rsidR="005818AC">
              <w:rPr>
                <w:webHidden/>
              </w:rPr>
              <w:fldChar w:fldCharType="begin"/>
            </w:r>
            <w:r w:rsidR="005818AC">
              <w:rPr>
                <w:webHidden/>
              </w:rPr>
              <w:instrText xml:space="preserve"> PAGEREF _Toc132139886 \h </w:instrText>
            </w:r>
            <w:r w:rsidR="005818AC">
              <w:rPr>
                <w:webHidden/>
              </w:rPr>
            </w:r>
            <w:r w:rsidR="005818AC">
              <w:rPr>
                <w:webHidden/>
              </w:rPr>
              <w:fldChar w:fldCharType="separate"/>
            </w:r>
            <w:r w:rsidR="005818AC">
              <w:rPr>
                <w:webHidden/>
              </w:rPr>
              <w:t>6</w:t>
            </w:r>
            <w:r w:rsidR="005818AC">
              <w:rPr>
                <w:webHidden/>
              </w:rPr>
              <w:fldChar w:fldCharType="end"/>
            </w:r>
          </w:hyperlink>
        </w:p>
        <w:p w14:paraId="5A103E7E" w14:textId="2BC39120" w:rsidR="005818AC" w:rsidRDefault="00000000">
          <w:pPr>
            <w:pStyle w:val="TOC1"/>
            <w:rPr>
              <w:rFonts w:asciiTheme="minorHAnsi" w:hAnsiTheme="minorHAnsi" w:cstheme="minorBidi"/>
              <w:noProof/>
              <w:sz w:val="22"/>
              <w:szCs w:val="22"/>
              <w:lang w:val="en-AU" w:eastAsia="en-AU"/>
            </w:rPr>
          </w:pPr>
          <w:hyperlink w:anchor="_Toc132139887" w:history="1">
            <w:r w:rsidR="005818AC" w:rsidRPr="00903EB7">
              <w:rPr>
                <w:rStyle w:val="Hyperlink"/>
                <w:noProof/>
              </w:rPr>
              <w:t>Part 2: Structural reform</w:t>
            </w:r>
            <w:r w:rsidR="005818AC">
              <w:rPr>
                <w:noProof/>
                <w:webHidden/>
              </w:rPr>
              <w:tab/>
            </w:r>
            <w:r w:rsidR="005818AC">
              <w:rPr>
                <w:noProof/>
                <w:webHidden/>
              </w:rPr>
              <w:fldChar w:fldCharType="begin"/>
            </w:r>
            <w:r w:rsidR="005818AC">
              <w:rPr>
                <w:noProof/>
                <w:webHidden/>
              </w:rPr>
              <w:instrText xml:space="preserve"> PAGEREF _Toc132139887 \h </w:instrText>
            </w:r>
            <w:r w:rsidR="005818AC">
              <w:rPr>
                <w:noProof/>
                <w:webHidden/>
              </w:rPr>
            </w:r>
            <w:r w:rsidR="005818AC">
              <w:rPr>
                <w:noProof/>
                <w:webHidden/>
              </w:rPr>
              <w:fldChar w:fldCharType="separate"/>
            </w:r>
            <w:r w:rsidR="005818AC">
              <w:rPr>
                <w:noProof/>
                <w:webHidden/>
              </w:rPr>
              <w:t>9</w:t>
            </w:r>
            <w:r w:rsidR="005818AC">
              <w:rPr>
                <w:noProof/>
                <w:webHidden/>
              </w:rPr>
              <w:fldChar w:fldCharType="end"/>
            </w:r>
          </w:hyperlink>
        </w:p>
        <w:p w14:paraId="3C3A5D56" w14:textId="5875490B" w:rsidR="005818AC" w:rsidRDefault="00000000" w:rsidP="00D24C9B">
          <w:pPr>
            <w:pStyle w:val="TOC2"/>
            <w:rPr>
              <w:rFonts w:asciiTheme="minorHAnsi" w:hAnsiTheme="minorHAnsi" w:cstheme="minorBidi"/>
              <w:sz w:val="22"/>
              <w:szCs w:val="22"/>
              <w:lang w:val="en-AU" w:eastAsia="en-AU"/>
            </w:rPr>
          </w:pPr>
          <w:hyperlink w:anchor="_Toc132139888" w:history="1">
            <w:r w:rsidR="005818AC" w:rsidRPr="00903EB7">
              <w:rPr>
                <w:rStyle w:val="Hyperlink"/>
              </w:rPr>
              <w:t>Key priorities for structural reform</w:t>
            </w:r>
            <w:r w:rsidR="005818AC">
              <w:rPr>
                <w:webHidden/>
              </w:rPr>
              <w:tab/>
            </w:r>
            <w:r w:rsidR="005818AC">
              <w:rPr>
                <w:webHidden/>
              </w:rPr>
              <w:fldChar w:fldCharType="begin"/>
            </w:r>
            <w:r w:rsidR="005818AC">
              <w:rPr>
                <w:webHidden/>
              </w:rPr>
              <w:instrText xml:space="preserve"> PAGEREF _Toc132139888 \h </w:instrText>
            </w:r>
            <w:r w:rsidR="005818AC">
              <w:rPr>
                <w:webHidden/>
              </w:rPr>
            </w:r>
            <w:r w:rsidR="005818AC">
              <w:rPr>
                <w:webHidden/>
              </w:rPr>
              <w:fldChar w:fldCharType="separate"/>
            </w:r>
            <w:r w:rsidR="005818AC">
              <w:rPr>
                <w:webHidden/>
              </w:rPr>
              <w:t>9</w:t>
            </w:r>
            <w:r w:rsidR="005818AC">
              <w:rPr>
                <w:webHidden/>
              </w:rPr>
              <w:fldChar w:fldCharType="end"/>
            </w:r>
          </w:hyperlink>
        </w:p>
        <w:p w14:paraId="261B85DC" w14:textId="1894E287" w:rsidR="005818AC" w:rsidRDefault="00000000" w:rsidP="00D24C9B">
          <w:pPr>
            <w:pStyle w:val="TOC2"/>
            <w:rPr>
              <w:rFonts w:asciiTheme="minorHAnsi" w:hAnsiTheme="minorHAnsi" w:cstheme="minorBidi"/>
              <w:sz w:val="22"/>
              <w:szCs w:val="22"/>
              <w:lang w:val="en-AU" w:eastAsia="en-AU"/>
            </w:rPr>
          </w:pPr>
          <w:hyperlink w:anchor="_Toc132139889" w:history="1">
            <w:r w:rsidR="005818AC" w:rsidRPr="00903EB7">
              <w:rPr>
                <w:rStyle w:val="Hyperlink"/>
                <w:lang w:val="en-AU" w:eastAsia="en-AU"/>
              </w:rPr>
              <w:t>Driving data and performance</w:t>
            </w:r>
            <w:r w:rsidR="005818AC">
              <w:rPr>
                <w:webHidden/>
              </w:rPr>
              <w:tab/>
            </w:r>
            <w:r w:rsidR="005818AC">
              <w:rPr>
                <w:webHidden/>
              </w:rPr>
              <w:fldChar w:fldCharType="begin"/>
            </w:r>
            <w:r w:rsidR="005818AC">
              <w:rPr>
                <w:webHidden/>
              </w:rPr>
              <w:instrText xml:space="preserve"> PAGEREF _Toc132139889 \h </w:instrText>
            </w:r>
            <w:r w:rsidR="005818AC">
              <w:rPr>
                <w:webHidden/>
              </w:rPr>
            </w:r>
            <w:r w:rsidR="005818AC">
              <w:rPr>
                <w:webHidden/>
              </w:rPr>
              <w:fldChar w:fldCharType="separate"/>
            </w:r>
            <w:r w:rsidR="005818AC">
              <w:rPr>
                <w:webHidden/>
              </w:rPr>
              <w:t>11</w:t>
            </w:r>
            <w:r w:rsidR="005818AC">
              <w:rPr>
                <w:webHidden/>
              </w:rPr>
              <w:fldChar w:fldCharType="end"/>
            </w:r>
          </w:hyperlink>
        </w:p>
        <w:p w14:paraId="08EB05B1" w14:textId="74DC0B60" w:rsidR="005818AC" w:rsidRDefault="00000000">
          <w:pPr>
            <w:pStyle w:val="TOC1"/>
            <w:rPr>
              <w:rFonts w:asciiTheme="minorHAnsi" w:hAnsiTheme="minorHAnsi" w:cstheme="minorBidi"/>
              <w:noProof/>
              <w:sz w:val="22"/>
              <w:szCs w:val="22"/>
              <w:lang w:val="en-AU" w:eastAsia="en-AU"/>
            </w:rPr>
          </w:pPr>
          <w:hyperlink w:anchor="_Toc132139890" w:history="1">
            <w:r w:rsidR="005818AC" w:rsidRPr="00903EB7">
              <w:rPr>
                <w:rStyle w:val="Hyperlink"/>
                <w:noProof/>
              </w:rPr>
              <w:t>Part 3: Access, participation, retention and success</w:t>
            </w:r>
            <w:r w:rsidR="005818AC">
              <w:rPr>
                <w:noProof/>
                <w:webHidden/>
              </w:rPr>
              <w:tab/>
            </w:r>
            <w:r w:rsidR="005818AC">
              <w:rPr>
                <w:noProof/>
                <w:webHidden/>
              </w:rPr>
              <w:fldChar w:fldCharType="begin"/>
            </w:r>
            <w:r w:rsidR="005818AC">
              <w:rPr>
                <w:noProof/>
                <w:webHidden/>
              </w:rPr>
              <w:instrText xml:space="preserve"> PAGEREF _Toc132139890 \h </w:instrText>
            </w:r>
            <w:r w:rsidR="005818AC">
              <w:rPr>
                <w:noProof/>
                <w:webHidden/>
              </w:rPr>
            </w:r>
            <w:r w:rsidR="005818AC">
              <w:rPr>
                <w:noProof/>
                <w:webHidden/>
              </w:rPr>
              <w:fldChar w:fldCharType="separate"/>
            </w:r>
            <w:r w:rsidR="005818AC">
              <w:rPr>
                <w:noProof/>
                <w:webHidden/>
              </w:rPr>
              <w:t>13</w:t>
            </w:r>
            <w:r w:rsidR="005818AC">
              <w:rPr>
                <w:noProof/>
                <w:webHidden/>
              </w:rPr>
              <w:fldChar w:fldCharType="end"/>
            </w:r>
          </w:hyperlink>
        </w:p>
        <w:p w14:paraId="3B4616B1" w14:textId="0F8F26CC" w:rsidR="005818AC" w:rsidRDefault="00000000" w:rsidP="00D24C9B">
          <w:pPr>
            <w:pStyle w:val="TOC2"/>
            <w:rPr>
              <w:rFonts w:asciiTheme="minorHAnsi" w:hAnsiTheme="minorHAnsi" w:cstheme="minorBidi"/>
              <w:sz w:val="22"/>
              <w:szCs w:val="22"/>
              <w:lang w:val="en-AU" w:eastAsia="en-AU"/>
            </w:rPr>
          </w:pPr>
          <w:hyperlink w:anchor="_Toc132139891" w:history="1">
            <w:r w:rsidR="005818AC" w:rsidRPr="00903EB7">
              <w:rPr>
                <w:rStyle w:val="Hyperlink"/>
              </w:rPr>
              <w:t>Access</w:t>
            </w:r>
            <w:r w:rsidR="005818AC">
              <w:rPr>
                <w:webHidden/>
              </w:rPr>
              <w:tab/>
            </w:r>
            <w:r w:rsidR="005818AC">
              <w:rPr>
                <w:webHidden/>
              </w:rPr>
              <w:fldChar w:fldCharType="begin"/>
            </w:r>
            <w:r w:rsidR="005818AC">
              <w:rPr>
                <w:webHidden/>
              </w:rPr>
              <w:instrText xml:space="preserve"> PAGEREF _Toc132139891 \h </w:instrText>
            </w:r>
            <w:r w:rsidR="005818AC">
              <w:rPr>
                <w:webHidden/>
              </w:rPr>
            </w:r>
            <w:r w:rsidR="005818AC">
              <w:rPr>
                <w:webHidden/>
              </w:rPr>
              <w:fldChar w:fldCharType="separate"/>
            </w:r>
            <w:r w:rsidR="005818AC">
              <w:rPr>
                <w:webHidden/>
              </w:rPr>
              <w:t>13</w:t>
            </w:r>
            <w:r w:rsidR="005818AC">
              <w:rPr>
                <w:webHidden/>
              </w:rPr>
              <w:fldChar w:fldCharType="end"/>
            </w:r>
          </w:hyperlink>
        </w:p>
        <w:p w14:paraId="0AE15168" w14:textId="3A159458" w:rsidR="005818AC" w:rsidRDefault="00000000" w:rsidP="00D24C9B">
          <w:pPr>
            <w:pStyle w:val="TOC2"/>
            <w:rPr>
              <w:rFonts w:asciiTheme="minorHAnsi" w:hAnsiTheme="minorHAnsi" w:cstheme="minorBidi"/>
              <w:sz w:val="22"/>
              <w:szCs w:val="22"/>
              <w:lang w:val="en-AU" w:eastAsia="en-AU"/>
            </w:rPr>
          </w:pPr>
          <w:hyperlink w:anchor="_Toc132139892" w:history="1">
            <w:r w:rsidR="005818AC" w:rsidRPr="00903EB7">
              <w:rPr>
                <w:rStyle w:val="Hyperlink"/>
              </w:rPr>
              <w:t>Participation, Retention and Success</w:t>
            </w:r>
            <w:r w:rsidR="005818AC">
              <w:rPr>
                <w:webHidden/>
              </w:rPr>
              <w:tab/>
            </w:r>
            <w:r w:rsidR="005818AC">
              <w:rPr>
                <w:webHidden/>
              </w:rPr>
              <w:fldChar w:fldCharType="begin"/>
            </w:r>
            <w:r w:rsidR="005818AC">
              <w:rPr>
                <w:webHidden/>
              </w:rPr>
              <w:instrText xml:space="preserve"> PAGEREF _Toc132139892 \h </w:instrText>
            </w:r>
            <w:r w:rsidR="005818AC">
              <w:rPr>
                <w:webHidden/>
              </w:rPr>
            </w:r>
            <w:r w:rsidR="005818AC">
              <w:rPr>
                <w:webHidden/>
              </w:rPr>
              <w:fldChar w:fldCharType="separate"/>
            </w:r>
            <w:r w:rsidR="005818AC">
              <w:rPr>
                <w:webHidden/>
              </w:rPr>
              <w:t>14</w:t>
            </w:r>
            <w:r w:rsidR="005818AC">
              <w:rPr>
                <w:webHidden/>
              </w:rPr>
              <w:fldChar w:fldCharType="end"/>
            </w:r>
          </w:hyperlink>
        </w:p>
        <w:p w14:paraId="00FCB2BD" w14:textId="15B1D236" w:rsidR="005818AC" w:rsidRDefault="00000000" w:rsidP="00D24C9B">
          <w:pPr>
            <w:pStyle w:val="TOC2"/>
            <w:rPr>
              <w:rFonts w:asciiTheme="minorHAnsi" w:hAnsiTheme="minorHAnsi" w:cstheme="minorBidi"/>
              <w:sz w:val="22"/>
              <w:szCs w:val="22"/>
              <w:lang w:val="en-AU" w:eastAsia="en-AU"/>
            </w:rPr>
          </w:pPr>
          <w:hyperlink w:anchor="_Toc132139893" w:history="1">
            <w:r w:rsidR="005818AC" w:rsidRPr="00903EB7">
              <w:rPr>
                <w:rStyle w:val="Hyperlink"/>
              </w:rPr>
              <w:t>Graduate Employment</w:t>
            </w:r>
            <w:r w:rsidR="005818AC">
              <w:rPr>
                <w:webHidden/>
              </w:rPr>
              <w:tab/>
            </w:r>
            <w:r w:rsidR="005818AC">
              <w:rPr>
                <w:webHidden/>
              </w:rPr>
              <w:fldChar w:fldCharType="begin"/>
            </w:r>
            <w:r w:rsidR="005818AC">
              <w:rPr>
                <w:webHidden/>
              </w:rPr>
              <w:instrText xml:space="preserve"> PAGEREF _Toc132139893 \h </w:instrText>
            </w:r>
            <w:r w:rsidR="005818AC">
              <w:rPr>
                <w:webHidden/>
              </w:rPr>
            </w:r>
            <w:r w:rsidR="005818AC">
              <w:rPr>
                <w:webHidden/>
              </w:rPr>
              <w:fldChar w:fldCharType="separate"/>
            </w:r>
            <w:r w:rsidR="005818AC">
              <w:rPr>
                <w:webHidden/>
              </w:rPr>
              <w:t>15</w:t>
            </w:r>
            <w:r w:rsidR="005818AC">
              <w:rPr>
                <w:webHidden/>
              </w:rPr>
              <w:fldChar w:fldCharType="end"/>
            </w:r>
          </w:hyperlink>
        </w:p>
        <w:p w14:paraId="7961B9B9" w14:textId="41038DBC" w:rsidR="005818AC" w:rsidRDefault="00000000">
          <w:pPr>
            <w:pStyle w:val="TOC1"/>
            <w:rPr>
              <w:rFonts w:asciiTheme="minorHAnsi" w:hAnsiTheme="minorHAnsi" w:cstheme="minorBidi"/>
              <w:noProof/>
              <w:sz w:val="22"/>
              <w:szCs w:val="22"/>
              <w:lang w:val="en-AU" w:eastAsia="en-AU"/>
            </w:rPr>
          </w:pPr>
          <w:hyperlink w:anchor="_Toc132139894" w:history="1">
            <w:r w:rsidR="005818AC" w:rsidRPr="00903EB7">
              <w:rPr>
                <w:rStyle w:val="Hyperlink"/>
                <w:noProof/>
              </w:rPr>
              <w:t>Part 4: Cross-sectoral alignment</w:t>
            </w:r>
            <w:r w:rsidR="005818AC">
              <w:rPr>
                <w:noProof/>
                <w:webHidden/>
              </w:rPr>
              <w:tab/>
            </w:r>
            <w:r w:rsidR="005818AC">
              <w:rPr>
                <w:noProof/>
                <w:webHidden/>
              </w:rPr>
              <w:fldChar w:fldCharType="begin"/>
            </w:r>
            <w:r w:rsidR="005818AC">
              <w:rPr>
                <w:noProof/>
                <w:webHidden/>
              </w:rPr>
              <w:instrText xml:space="preserve"> PAGEREF _Toc132139894 \h </w:instrText>
            </w:r>
            <w:r w:rsidR="005818AC">
              <w:rPr>
                <w:noProof/>
                <w:webHidden/>
              </w:rPr>
            </w:r>
            <w:r w:rsidR="005818AC">
              <w:rPr>
                <w:noProof/>
                <w:webHidden/>
              </w:rPr>
              <w:fldChar w:fldCharType="separate"/>
            </w:r>
            <w:r w:rsidR="005818AC">
              <w:rPr>
                <w:noProof/>
                <w:webHidden/>
              </w:rPr>
              <w:t>17</w:t>
            </w:r>
            <w:r w:rsidR="005818AC">
              <w:rPr>
                <w:noProof/>
                <w:webHidden/>
              </w:rPr>
              <w:fldChar w:fldCharType="end"/>
            </w:r>
          </w:hyperlink>
        </w:p>
        <w:p w14:paraId="351EEFD6" w14:textId="15A77662" w:rsidR="005818AC" w:rsidRDefault="00000000">
          <w:pPr>
            <w:pStyle w:val="TOC1"/>
            <w:rPr>
              <w:rFonts w:asciiTheme="minorHAnsi" w:hAnsiTheme="minorHAnsi" w:cstheme="minorBidi"/>
              <w:noProof/>
              <w:sz w:val="22"/>
              <w:szCs w:val="22"/>
              <w:lang w:val="en-AU" w:eastAsia="en-AU"/>
            </w:rPr>
          </w:pPr>
          <w:hyperlink w:anchor="_Toc132139895" w:history="1">
            <w:r w:rsidR="005818AC" w:rsidRPr="00903EB7">
              <w:rPr>
                <w:rStyle w:val="Hyperlink"/>
                <w:noProof/>
                <w:lang w:val="en-AU" w:eastAsia="en-AU"/>
              </w:rPr>
              <w:t>Summary of recommendations</w:t>
            </w:r>
            <w:r w:rsidR="005818AC">
              <w:rPr>
                <w:noProof/>
                <w:webHidden/>
              </w:rPr>
              <w:tab/>
            </w:r>
            <w:r w:rsidR="005818AC">
              <w:rPr>
                <w:noProof/>
                <w:webHidden/>
              </w:rPr>
              <w:fldChar w:fldCharType="begin"/>
            </w:r>
            <w:r w:rsidR="005818AC">
              <w:rPr>
                <w:noProof/>
                <w:webHidden/>
              </w:rPr>
              <w:instrText xml:space="preserve"> PAGEREF _Toc132139895 \h </w:instrText>
            </w:r>
            <w:r w:rsidR="005818AC">
              <w:rPr>
                <w:noProof/>
                <w:webHidden/>
              </w:rPr>
            </w:r>
            <w:r w:rsidR="005818AC">
              <w:rPr>
                <w:noProof/>
                <w:webHidden/>
              </w:rPr>
              <w:fldChar w:fldCharType="separate"/>
            </w:r>
            <w:r w:rsidR="005818AC">
              <w:rPr>
                <w:noProof/>
                <w:webHidden/>
              </w:rPr>
              <w:t>20</w:t>
            </w:r>
            <w:r w:rsidR="005818AC">
              <w:rPr>
                <w:noProof/>
                <w:webHidden/>
              </w:rPr>
              <w:fldChar w:fldCharType="end"/>
            </w:r>
          </w:hyperlink>
        </w:p>
        <w:p w14:paraId="7EE3ACE5" w14:textId="00E0C698" w:rsidR="005818AC" w:rsidRDefault="00000000">
          <w:pPr>
            <w:pStyle w:val="TOC1"/>
            <w:rPr>
              <w:rFonts w:asciiTheme="minorHAnsi" w:hAnsiTheme="minorHAnsi" w:cstheme="minorBidi"/>
              <w:noProof/>
              <w:sz w:val="22"/>
              <w:szCs w:val="22"/>
              <w:lang w:val="en-AU" w:eastAsia="en-AU"/>
            </w:rPr>
          </w:pPr>
          <w:hyperlink w:anchor="_Toc132139896" w:history="1">
            <w:r w:rsidR="005818AC" w:rsidRPr="00903EB7">
              <w:rPr>
                <w:rStyle w:val="Hyperlink"/>
                <w:noProof/>
              </w:rPr>
              <w:t>References</w:t>
            </w:r>
            <w:r w:rsidR="005818AC">
              <w:rPr>
                <w:noProof/>
                <w:webHidden/>
              </w:rPr>
              <w:tab/>
            </w:r>
            <w:r w:rsidR="005818AC">
              <w:rPr>
                <w:noProof/>
                <w:webHidden/>
              </w:rPr>
              <w:fldChar w:fldCharType="begin"/>
            </w:r>
            <w:r w:rsidR="005818AC">
              <w:rPr>
                <w:noProof/>
                <w:webHidden/>
              </w:rPr>
              <w:instrText xml:space="preserve"> PAGEREF _Toc132139896 \h </w:instrText>
            </w:r>
            <w:r w:rsidR="005818AC">
              <w:rPr>
                <w:noProof/>
                <w:webHidden/>
              </w:rPr>
            </w:r>
            <w:r w:rsidR="005818AC">
              <w:rPr>
                <w:noProof/>
                <w:webHidden/>
              </w:rPr>
              <w:fldChar w:fldCharType="separate"/>
            </w:r>
            <w:r w:rsidR="005818AC">
              <w:rPr>
                <w:noProof/>
                <w:webHidden/>
              </w:rPr>
              <w:t>22</w:t>
            </w:r>
            <w:r w:rsidR="005818AC">
              <w:rPr>
                <w:noProof/>
                <w:webHidden/>
              </w:rPr>
              <w:fldChar w:fldCharType="end"/>
            </w:r>
          </w:hyperlink>
        </w:p>
        <w:p w14:paraId="7F6CCA51" w14:textId="791F920B" w:rsidR="005818AC" w:rsidRDefault="00000000">
          <w:pPr>
            <w:pStyle w:val="TOC1"/>
            <w:rPr>
              <w:rFonts w:asciiTheme="minorHAnsi" w:hAnsiTheme="minorHAnsi" w:cstheme="minorBidi"/>
              <w:noProof/>
              <w:sz w:val="22"/>
              <w:szCs w:val="22"/>
              <w:lang w:val="en-AU" w:eastAsia="en-AU"/>
            </w:rPr>
          </w:pPr>
          <w:hyperlink w:anchor="_Toc132139897" w:history="1">
            <w:r w:rsidR="005818AC" w:rsidRPr="00903EB7">
              <w:rPr>
                <w:rStyle w:val="Hyperlink"/>
                <w:noProof/>
              </w:rPr>
              <w:t xml:space="preserve">Appendix 1: Expanding ADCET: </w:t>
            </w:r>
            <w:r w:rsidR="005818AC" w:rsidRPr="00903EB7">
              <w:rPr>
                <w:rStyle w:val="Hyperlink"/>
                <w:rFonts w:cs="Arial"/>
                <w:noProof/>
              </w:rPr>
              <w:t>a Bold Idea for Student Equity in Higher Education</w:t>
            </w:r>
            <w:r w:rsidR="005818AC">
              <w:rPr>
                <w:noProof/>
                <w:webHidden/>
              </w:rPr>
              <w:tab/>
            </w:r>
            <w:r w:rsidR="005818AC">
              <w:rPr>
                <w:noProof/>
                <w:webHidden/>
              </w:rPr>
              <w:fldChar w:fldCharType="begin"/>
            </w:r>
            <w:r w:rsidR="005818AC">
              <w:rPr>
                <w:noProof/>
                <w:webHidden/>
              </w:rPr>
              <w:instrText xml:space="preserve"> PAGEREF _Toc132139897 \h </w:instrText>
            </w:r>
            <w:r w:rsidR="005818AC">
              <w:rPr>
                <w:noProof/>
                <w:webHidden/>
              </w:rPr>
            </w:r>
            <w:r w:rsidR="005818AC">
              <w:rPr>
                <w:noProof/>
                <w:webHidden/>
              </w:rPr>
              <w:fldChar w:fldCharType="separate"/>
            </w:r>
            <w:r w:rsidR="005818AC">
              <w:rPr>
                <w:noProof/>
                <w:webHidden/>
              </w:rPr>
              <w:t>23</w:t>
            </w:r>
            <w:r w:rsidR="005818AC">
              <w:rPr>
                <w:noProof/>
                <w:webHidden/>
              </w:rPr>
              <w:fldChar w:fldCharType="end"/>
            </w:r>
          </w:hyperlink>
        </w:p>
        <w:p w14:paraId="1B1928AB" w14:textId="18F65715" w:rsidR="005818AC" w:rsidRDefault="00000000">
          <w:pPr>
            <w:pStyle w:val="TOC1"/>
            <w:rPr>
              <w:rFonts w:asciiTheme="minorHAnsi" w:hAnsiTheme="minorHAnsi" w:cstheme="minorBidi"/>
              <w:noProof/>
              <w:sz w:val="22"/>
              <w:szCs w:val="22"/>
              <w:lang w:val="en-AU" w:eastAsia="en-AU"/>
            </w:rPr>
          </w:pPr>
          <w:hyperlink w:anchor="_Toc132139919" w:history="1">
            <w:r w:rsidR="005818AC" w:rsidRPr="00903EB7">
              <w:rPr>
                <w:rStyle w:val="Hyperlink"/>
                <w:noProof/>
              </w:rPr>
              <w:t>Appendix 2: Key statistics</w:t>
            </w:r>
            <w:r w:rsidR="005818AC">
              <w:rPr>
                <w:noProof/>
                <w:webHidden/>
              </w:rPr>
              <w:tab/>
            </w:r>
            <w:r w:rsidR="005818AC">
              <w:rPr>
                <w:noProof/>
                <w:webHidden/>
              </w:rPr>
              <w:fldChar w:fldCharType="begin"/>
            </w:r>
            <w:r w:rsidR="005818AC">
              <w:rPr>
                <w:noProof/>
                <w:webHidden/>
              </w:rPr>
              <w:instrText xml:space="preserve"> PAGEREF _Toc132139919 \h </w:instrText>
            </w:r>
            <w:r w:rsidR="005818AC">
              <w:rPr>
                <w:noProof/>
                <w:webHidden/>
              </w:rPr>
            </w:r>
            <w:r w:rsidR="005818AC">
              <w:rPr>
                <w:noProof/>
                <w:webHidden/>
              </w:rPr>
              <w:fldChar w:fldCharType="separate"/>
            </w:r>
            <w:r w:rsidR="005818AC">
              <w:rPr>
                <w:noProof/>
                <w:webHidden/>
              </w:rPr>
              <w:t>37</w:t>
            </w:r>
            <w:r w:rsidR="005818AC">
              <w:rPr>
                <w:noProof/>
                <w:webHidden/>
              </w:rPr>
              <w:fldChar w:fldCharType="end"/>
            </w:r>
          </w:hyperlink>
        </w:p>
        <w:p w14:paraId="1FE5EA95" w14:textId="2F39D8D3" w:rsidR="00B22756" w:rsidRPr="001B5A8F" w:rsidRDefault="00B22756">
          <w:r w:rsidRPr="001B5A8F">
            <w:rPr>
              <w:b/>
              <w:bCs/>
              <w:noProof/>
            </w:rPr>
            <w:fldChar w:fldCharType="end"/>
          </w:r>
        </w:p>
      </w:sdtContent>
    </w:sdt>
    <w:p w14:paraId="12008BBC" w14:textId="77777777" w:rsidR="00B22756" w:rsidRPr="001B5A8F" w:rsidRDefault="00B22756">
      <w:pPr>
        <w:rPr>
          <w:rFonts w:eastAsia="Times New Roman" w:cs="Arial"/>
          <w:b/>
          <w:bCs/>
          <w:color w:val="2F5496"/>
          <w:sz w:val="32"/>
          <w:szCs w:val="32"/>
          <w:lang w:eastAsia="en-AU"/>
        </w:rPr>
      </w:pPr>
      <w:r w:rsidRPr="001B5A8F">
        <w:rPr>
          <w:rFonts w:eastAsia="Times New Roman" w:cs="Arial"/>
          <w:b/>
          <w:bCs/>
          <w:color w:val="2F5496"/>
          <w:sz w:val="32"/>
          <w:szCs w:val="32"/>
          <w:lang w:eastAsia="en-AU"/>
        </w:rPr>
        <w:br w:type="page"/>
      </w:r>
    </w:p>
    <w:p w14:paraId="4BF929CD" w14:textId="274EB849" w:rsidR="00DC0BA4" w:rsidRPr="001B5A8F" w:rsidRDefault="00DC0BA4" w:rsidP="002C0E51">
      <w:pPr>
        <w:pStyle w:val="Heading1"/>
        <w:rPr>
          <w:rFonts w:ascii="Segoe UI" w:hAnsi="Segoe UI" w:cs="Segoe UI"/>
          <w:sz w:val="18"/>
          <w:szCs w:val="18"/>
          <w:lang w:val="en-AU" w:eastAsia="en-AU"/>
        </w:rPr>
      </w:pPr>
      <w:bookmarkStart w:id="0" w:name="_Toc132100480"/>
      <w:bookmarkStart w:id="1" w:name="_Toc132125061"/>
      <w:bookmarkStart w:id="2" w:name="_Toc132139884"/>
      <w:bookmarkStart w:id="3" w:name="_Toc132139944"/>
      <w:r w:rsidRPr="001B5A8F">
        <w:rPr>
          <w:lang w:eastAsia="en-AU"/>
        </w:rPr>
        <w:lastRenderedPageBreak/>
        <w:t>About our submission</w:t>
      </w:r>
      <w:bookmarkEnd w:id="0"/>
      <w:bookmarkEnd w:id="1"/>
      <w:bookmarkEnd w:id="2"/>
      <w:bookmarkEnd w:id="3"/>
      <w:r w:rsidRPr="001B5A8F">
        <w:rPr>
          <w:lang w:val="en-AU" w:eastAsia="en-AU"/>
        </w:rPr>
        <w:t> </w:t>
      </w:r>
    </w:p>
    <w:p w14:paraId="4ACEC18C" w14:textId="77777777" w:rsidR="00507DB8" w:rsidRPr="001B5A8F" w:rsidRDefault="00507DB8" w:rsidP="00DC0BA4">
      <w:pPr>
        <w:textAlignment w:val="baseline"/>
        <w:rPr>
          <w:rFonts w:eastAsia="Times New Roman" w:cs="Arial"/>
          <w:lang w:eastAsia="en-AU"/>
        </w:rPr>
      </w:pPr>
    </w:p>
    <w:p w14:paraId="30C5827A" w14:textId="31C53DBC" w:rsidR="00DC0BA4" w:rsidRPr="001B5A8F" w:rsidRDefault="00DC0BA4" w:rsidP="00DC0BA4">
      <w:pPr>
        <w:textAlignment w:val="baseline"/>
        <w:rPr>
          <w:rFonts w:ascii="Segoe UI" w:eastAsia="Times New Roman" w:hAnsi="Segoe UI" w:cs="Segoe UI"/>
          <w:sz w:val="18"/>
          <w:szCs w:val="18"/>
          <w:lang w:val="en-AU" w:eastAsia="en-AU"/>
        </w:rPr>
      </w:pPr>
      <w:r w:rsidRPr="001B5A8F">
        <w:rPr>
          <w:rFonts w:eastAsia="Times New Roman" w:cs="Arial"/>
          <w:lang w:eastAsia="en-AU"/>
        </w:rPr>
        <w:t>It is of the utmost importance that the Universit</w:t>
      </w:r>
      <w:r w:rsidR="00EB06BC">
        <w:rPr>
          <w:rFonts w:eastAsia="Times New Roman" w:cs="Arial"/>
          <w:lang w:eastAsia="en-AU"/>
        </w:rPr>
        <w:t xml:space="preserve">ies </w:t>
      </w:r>
      <w:r w:rsidRPr="001B5A8F">
        <w:rPr>
          <w:rFonts w:eastAsia="Times New Roman" w:cs="Arial"/>
          <w:lang w:eastAsia="en-AU"/>
        </w:rPr>
        <w:t>Accord and potential reforms be viewed through an inclusive lens. Diversity and inclusion in our higher education system should be at the centre of all decisions relating to this review. </w:t>
      </w:r>
      <w:r w:rsidRPr="001B5A8F">
        <w:rPr>
          <w:rFonts w:eastAsia="Times New Roman" w:cs="Arial"/>
          <w:lang w:val="en-AU" w:eastAsia="en-AU"/>
        </w:rPr>
        <w:t> </w:t>
      </w:r>
    </w:p>
    <w:p w14:paraId="242B5678" w14:textId="77777777" w:rsidR="00DC0BA4" w:rsidRPr="001B5A8F" w:rsidRDefault="00DC0BA4" w:rsidP="00DC0BA4">
      <w:pPr>
        <w:textAlignment w:val="baseline"/>
        <w:rPr>
          <w:rFonts w:ascii="Segoe UI" w:eastAsia="Times New Roman" w:hAnsi="Segoe UI" w:cs="Segoe UI"/>
          <w:sz w:val="18"/>
          <w:szCs w:val="18"/>
          <w:lang w:val="en-AU" w:eastAsia="en-AU"/>
        </w:rPr>
      </w:pPr>
      <w:r w:rsidRPr="001B5A8F">
        <w:rPr>
          <w:rFonts w:eastAsia="Times New Roman" w:cs="Arial"/>
          <w:lang w:val="en-AU" w:eastAsia="en-AU"/>
        </w:rPr>
        <w:t> </w:t>
      </w:r>
    </w:p>
    <w:p w14:paraId="2DA0EC66" w14:textId="501B0549" w:rsidR="00DC0BA4" w:rsidRPr="001B5A8F" w:rsidRDefault="00DC0BA4" w:rsidP="00DC0BA4">
      <w:pPr>
        <w:textAlignment w:val="baseline"/>
        <w:rPr>
          <w:rFonts w:ascii="Segoe UI" w:eastAsia="Times New Roman" w:hAnsi="Segoe UI" w:cs="Segoe UI"/>
          <w:sz w:val="18"/>
          <w:szCs w:val="18"/>
          <w:lang w:val="en-AU" w:eastAsia="en-AU"/>
        </w:rPr>
      </w:pPr>
      <w:r w:rsidRPr="001B5A8F">
        <w:rPr>
          <w:rFonts w:eastAsia="Times New Roman" w:cs="Arial"/>
          <w:lang w:eastAsia="en-AU"/>
        </w:rPr>
        <w:t>While the last significant review of higher education, the Bradley Review, rightly prioritised Aboriginal and Torres Strait Islander peoples, people from low socio-economic backgrounds and regional and remote students</w:t>
      </w:r>
      <w:r w:rsidR="001430A8">
        <w:rPr>
          <w:rFonts w:eastAsia="Times New Roman" w:cs="Arial"/>
          <w:lang w:eastAsia="en-AU"/>
        </w:rPr>
        <w:t>,</w:t>
      </w:r>
      <w:r w:rsidRPr="001B5A8F">
        <w:rPr>
          <w:rFonts w:eastAsia="Times New Roman" w:cs="Arial"/>
          <w:lang w:eastAsia="en-AU"/>
        </w:rPr>
        <w:t xml:space="preserve"> there has been limited focus on people with disability. In addition, there has been a lack of recognition about the intersectionality between disability and other equity characteristics. </w:t>
      </w:r>
      <w:r w:rsidRPr="001B5A8F">
        <w:rPr>
          <w:rFonts w:eastAsia="Times New Roman" w:cs="Arial"/>
          <w:lang w:val="en-AU" w:eastAsia="en-AU"/>
        </w:rPr>
        <w:t> </w:t>
      </w:r>
    </w:p>
    <w:p w14:paraId="1199BE61" w14:textId="77777777" w:rsidR="00DC0BA4" w:rsidRPr="001B5A8F" w:rsidRDefault="00DC0BA4" w:rsidP="00DC0BA4">
      <w:pPr>
        <w:textAlignment w:val="baseline"/>
        <w:rPr>
          <w:rFonts w:ascii="Segoe UI" w:eastAsia="Times New Roman" w:hAnsi="Segoe UI" w:cs="Segoe UI"/>
          <w:sz w:val="18"/>
          <w:szCs w:val="18"/>
          <w:lang w:val="en-AU" w:eastAsia="en-AU"/>
        </w:rPr>
      </w:pPr>
      <w:r w:rsidRPr="001B5A8F">
        <w:rPr>
          <w:rFonts w:eastAsia="Times New Roman" w:cs="Arial"/>
          <w:lang w:val="en-AU" w:eastAsia="en-AU"/>
        </w:rPr>
        <w:t> </w:t>
      </w:r>
    </w:p>
    <w:p w14:paraId="5A4B1E1D" w14:textId="2AEFFA08" w:rsidR="00A946CD" w:rsidRPr="001B5A8F" w:rsidRDefault="00A946CD" w:rsidP="00A946CD">
      <w:pPr>
        <w:textAlignment w:val="baseline"/>
        <w:rPr>
          <w:rFonts w:eastAsia="Times New Roman" w:cs="Arial"/>
          <w:lang w:eastAsia="en-AU"/>
        </w:rPr>
      </w:pPr>
      <w:r w:rsidRPr="001B5A8F">
        <w:rPr>
          <w:rFonts w:eastAsia="Times New Roman" w:cs="Arial"/>
          <w:lang w:eastAsia="en-AU"/>
        </w:rPr>
        <w:t>In answering the 49 questions put forward by the Universities Accord we have grouped and answered key questions with people with disability as our primary lens.</w:t>
      </w:r>
      <w:r w:rsidR="00C21084" w:rsidRPr="001B5A8F">
        <w:rPr>
          <w:rFonts w:eastAsia="Times New Roman" w:cs="Arial"/>
          <w:lang w:eastAsia="en-AU"/>
        </w:rPr>
        <w:t xml:space="preserve"> We have not answered all </w:t>
      </w:r>
      <w:r w:rsidR="00032927" w:rsidRPr="001B5A8F">
        <w:rPr>
          <w:rFonts w:eastAsia="Times New Roman" w:cs="Arial"/>
          <w:lang w:eastAsia="en-AU"/>
        </w:rPr>
        <w:t>the questions</w:t>
      </w:r>
      <w:r w:rsidR="00916091" w:rsidRPr="001B5A8F">
        <w:rPr>
          <w:rFonts w:eastAsia="Times New Roman" w:cs="Arial"/>
          <w:lang w:eastAsia="en-AU"/>
        </w:rPr>
        <w:t>,</w:t>
      </w:r>
      <w:r w:rsidR="00C21084" w:rsidRPr="001B5A8F">
        <w:rPr>
          <w:rFonts w:eastAsia="Times New Roman" w:cs="Arial"/>
          <w:lang w:eastAsia="en-AU"/>
        </w:rPr>
        <w:t xml:space="preserve"> preferring to leave some elements </w:t>
      </w:r>
      <w:r w:rsidR="00916091" w:rsidRPr="001B5A8F">
        <w:rPr>
          <w:rFonts w:eastAsia="Times New Roman" w:cs="Arial"/>
          <w:lang w:eastAsia="en-AU"/>
        </w:rPr>
        <w:t>with</w:t>
      </w:r>
      <w:r w:rsidR="00C21084" w:rsidRPr="001B5A8F">
        <w:rPr>
          <w:rFonts w:eastAsia="Times New Roman" w:cs="Arial"/>
          <w:lang w:eastAsia="en-AU"/>
        </w:rPr>
        <w:t xml:space="preserve"> those with more expertise.</w:t>
      </w:r>
    </w:p>
    <w:p w14:paraId="0ECF3334" w14:textId="77777777" w:rsidR="00A946CD" w:rsidRPr="001B5A8F" w:rsidRDefault="00A946CD" w:rsidP="00A946CD">
      <w:pPr>
        <w:textAlignment w:val="baseline"/>
        <w:rPr>
          <w:rFonts w:eastAsia="Times New Roman" w:cs="Arial"/>
          <w:lang w:eastAsia="en-AU"/>
        </w:rPr>
      </w:pPr>
    </w:p>
    <w:p w14:paraId="2C6FA55F" w14:textId="0776D9F0" w:rsidR="007553EE" w:rsidRPr="001B5A8F" w:rsidRDefault="007553EE" w:rsidP="00A946CD">
      <w:pPr>
        <w:textAlignment w:val="baseline"/>
        <w:rPr>
          <w:rFonts w:eastAsia="Times New Roman" w:cs="Arial"/>
          <w:lang w:eastAsia="en-AU"/>
        </w:rPr>
      </w:pPr>
      <w:r w:rsidRPr="001B5A8F">
        <w:rPr>
          <w:rFonts w:eastAsia="Times New Roman" w:cs="Arial"/>
          <w:lang w:eastAsia="en-AU"/>
        </w:rPr>
        <w:t>Our submission has four parts in answering the Accord’s questions.</w:t>
      </w:r>
    </w:p>
    <w:p w14:paraId="63336A70" w14:textId="77777777" w:rsidR="007553EE" w:rsidRPr="001B5A8F" w:rsidRDefault="007553EE" w:rsidP="00A946CD">
      <w:pPr>
        <w:textAlignment w:val="baseline"/>
        <w:rPr>
          <w:rFonts w:eastAsia="Times New Roman" w:cs="Arial"/>
          <w:lang w:eastAsia="en-AU"/>
        </w:rPr>
      </w:pPr>
    </w:p>
    <w:p w14:paraId="2A38E883" w14:textId="10ECD76B" w:rsidR="007553EE" w:rsidRPr="001B5A8F" w:rsidRDefault="007553EE" w:rsidP="00A946CD">
      <w:pPr>
        <w:textAlignment w:val="baseline"/>
        <w:rPr>
          <w:rFonts w:eastAsia="Times New Roman" w:cs="Arial"/>
          <w:b/>
          <w:bCs/>
          <w:lang w:eastAsia="en-AU"/>
        </w:rPr>
      </w:pPr>
      <w:r w:rsidRPr="001B5A8F">
        <w:rPr>
          <w:rFonts w:eastAsia="Times New Roman" w:cs="Arial"/>
          <w:b/>
          <w:bCs/>
          <w:lang w:eastAsia="en-AU"/>
        </w:rPr>
        <w:t xml:space="preserve">Part 1: </w:t>
      </w:r>
      <w:hyperlink w:anchor="_The_role_and" w:history="1">
        <w:r w:rsidRPr="001B5A8F">
          <w:rPr>
            <w:rStyle w:val="Hyperlink"/>
            <w:rFonts w:eastAsia="Times New Roman" w:cs="Arial"/>
            <w:b/>
            <w:bCs/>
            <w:lang w:eastAsia="en-AU"/>
          </w:rPr>
          <w:t>the role and importance of ADCET</w:t>
        </w:r>
      </w:hyperlink>
    </w:p>
    <w:p w14:paraId="06427141" w14:textId="77777777" w:rsidR="007553EE" w:rsidRPr="001B5A8F" w:rsidRDefault="007553EE" w:rsidP="00A946CD">
      <w:pPr>
        <w:textAlignment w:val="baseline"/>
        <w:rPr>
          <w:rFonts w:eastAsia="Times New Roman" w:cs="Arial"/>
          <w:lang w:eastAsia="en-AU"/>
        </w:rPr>
      </w:pPr>
    </w:p>
    <w:p w14:paraId="181D8083" w14:textId="5928AA70" w:rsidR="003A091B" w:rsidRPr="001B5A8F" w:rsidRDefault="007553EE" w:rsidP="007553EE">
      <w:pPr>
        <w:textAlignment w:val="baseline"/>
        <w:rPr>
          <w:b/>
          <w:bCs/>
        </w:rPr>
      </w:pPr>
      <w:r w:rsidRPr="001B5A8F">
        <w:rPr>
          <w:rFonts w:eastAsia="Times New Roman" w:cs="Arial"/>
          <w:b/>
          <w:bCs/>
          <w:lang w:eastAsia="en-AU"/>
        </w:rPr>
        <w:t xml:space="preserve">Part 2: </w:t>
      </w:r>
      <w:hyperlink w:anchor="_Structure_and_governance/future" w:history="1">
        <w:r w:rsidR="00FD763E" w:rsidRPr="001B5A8F">
          <w:rPr>
            <w:rStyle w:val="Hyperlink"/>
            <w:b/>
            <w:bCs/>
          </w:rPr>
          <w:t>Structur</w:t>
        </w:r>
        <w:r w:rsidRPr="001B5A8F">
          <w:rPr>
            <w:rStyle w:val="Hyperlink"/>
            <w:b/>
            <w:bCs/>
          </w:rPr>
          <w:t>al</w:t>
        </w:r>
        <w:r w:rsidR="00FD763E" w:rsidRPr="001B5A8F">
          <w:rPr>
            <w:rStyle w:val="Hyperlink"/>
            <w:b/>
            <w:bCs/>
          </w:rPr>
          <w:t xml:space="preserve"> reform</w:t>
        </w:r>
      </w:hyperlink>
      <w:r w:rsidR="00FD763E" w:rsidRPr="001B5A8F">
        <w:rPr>
          <w:b/>
          <w:bCs/>
        </w:rPr>
        <w:t xml:space="preserve"> </w:t>
      </w:r>
    </w:p>
    <w:p w14:paraId="1C11A012" w14:textId="77777777" w:rsidR="005C6FEB" w:rsidRPr="001B5A8F" w:rsidRDefault="005C6FEB" w:rsidP="003A091B">
      <w:pPr>
        <w:rPr>
          <w:lang w:val="en-AU" w:eastAsia="en-AU"/>
        </w:rPr>
      </w:pPr>
    </w:p>
    <w:p w14:paraId="2091450A" w14:textId="5685B306" w:rsidR="00427E2F" w:rsidRPr="001B5A8F" w:rsidRDefault="007553EE" w:rsidP="003A091B">
      <w:pPr>
        <w:rPr>
          <w:rStyle w:val="Hyperlink"/>
          <w:b/>
          <w:bCs/>
          <w:lang w:val="en-AU" w:eastAsia="en-AU"/>
        </w:rPr>
      </w:pPr>
      <w:r w:rsidRPr="001B5A8F">
        <w:rPr>
          <w:b/>
          <w:bCs/>
        </w:rPr>
        <w:t xml:space="preserve">Part 3: </w:t>
      </w:r>
      <w:hyperlink w:anchor="_Access,_participation,_retention" w:history="1">
        <w:r w:rsidR="00EE0AB5" w:rsidRPr="001B5A8F">
          <w:rPr>
            <w:rStyle w:val="Hyperlink"/>
            <w:b/>
            <w:bCs/>
          </w:rPr>
          <w:t>Access</w:t>
        </w:r>
        <w:r w:rsidR="00EE0AB5" w:rsidRPr="001B5A8F">
          <w:rPr>
            <w:rStyle w:val="Hyperlink"/>
            <w:b/>
            <w:bCs/>
            <w:lang w:val="en-AU" w:eastAsia="en-AU"/>
          </w:rPr>
          <w:t xml:space="preserve"> participation retention and success</w:t>
        </w:r>
      </w:hyperlink>
    </w:p>
    <w:p w14:paraId="5D173CE5" w14:textId="77777777" w:rsidR="008651CE" w:rsidRPr="001B5A8F" w:rsidRDefault="008651CE" w:rsidP="003A091B">
      <w:pPr>
        <w:rPr>
          <w:b/>
          <w:bCs/>
          <w:lang w:val="en-AU" w:eastAsia="en-AU"/>
        </w:rPr>
      </w:pPr>
    </w:p>
    <w:p w14:paraId="3939E1CB" w14:textId="7267202A" w:rsidR="00427E2F" w:rsidRPr="001B5A8F" w:rsidRDefault="007553EE" w:rsidP="003A091B">
      <w:pPr>
        <w:rPr>
          <w:rStyle w:val="Hyperlink"/>
          <w:b/>
          <w:bCs/>
        </w:rPr>
      </w:pPr>
      <w:r w:rsidRPr="001B5A8F">
        <w:rPr>
          <w:b/>
          <w:bCs/>
        </w:rPr>
        <w:t xml:space="preserve">Part 4: </w:t>
      </w:r>
      <w:hyperlink w:anchor="_Cross-sectoral_alignment_including" w:history="1">
        <w:r w:rsidR="00FD763E" w:rsidRPr="001B5A8F">
          <w:rPr>
            <w:rStyle w:val="Hyperlink"/>
            <w:b/>
            <w:bCs/>
          </w:rPr>
          <w:t>Cross-sectoral alignment</w:t>
        </w:r>
      </w:hyperlink>
      <w:r w:rsidR="00FD763E" w:rsidRPr="001B5A8F">
        <w:rPr>
          <w:rStyle w:val="Hyperlink"/>
          <w:b/>
          <w:bCs/>
        </w:rPr>
        <w:t xml:space="preserve"> </w:t>
      </w:r>
    </w:p>
    <w:p w14:paraId="1CA46B2F" w14:textId="77777777" w:rsidR="00B20286" w:rsidRPr="001B5A8F" w:rsidRDefault="00B20286" w:rsidP="003A091B">
      <w:pPr>
        <w:rPr>
          <w:rStyle w:val="Hyperlink"/>
          <w:b/>
          <w:bCs/>
        </w:rPr>
      </w:pPr>
    </w:p>
    <w:p w14:paraId="14DDF8CB" w14:textId="2B54CB68" w:rsidR="00B20286" w:rsidRPr="001B5A8F" w:rsidRDefault="00B20286" w:rsidP="003A091B">
      <w:r w:rsidRPr="001B5A8F">
        <w:t>In answering these questions ADCET has made 1</w:t>
      </w:r>
      <w:r w:rsidR="006A342F">
        <w:t>1</w:t>
      </w:r>
      <w:r w:rsidRPr="001B5A8F">
        <w:t xml:space="preserve"> recommendations </w:t>
      </w:r>
      <w:r w:rsidR="00E62433" w:rsidRPr="001B5A8F">
        <w:t xml:space="preserve">supporting our position which includes an expanded role for ADCET. </w:t>
      </w:r>
      <w:r w:rsidR="00A41845" w:rsidRPr="001B5A8F">
        <w:t>As part of this submission and our recommendations</w:t>
      </w:r>
      <w:r w:rsidR="004C40CC">
        <w:t>,</w:t>
      </w:r>
      <w:r w:rsidR="00A41845" w:rsidRPr="001B5A8F">
        <w:t xml:space="preserve"> </w:t>
      </w:r>
      <w:hyperlink w:anchor="_Appendix_1" w:history="1">
        <w:r w:rsidR="000F2326" w:rsidRPr="004C40CC">
          <w:rPr>
            <w:rStyle w:val="Hyperlink"/>
          </w:rPr>
          <w:t>Appendix 1</w:t>
        </w:r>
      </w:hyperlink>
      <w:r w:rsidR="000F2326" w:rsidRPr="001B5A8F">
        <w:t xml:space="preserve"> includes an </w:t>
      </w:r>
      <w:r w:rsidR="00B510E7" w:rsidRPr="001B5A8F">
        <w:t>outline of</w:t>
      </w:r>
      <w:r w:rsidR="00A41845" w:rsidRPr="001B5A8F">
        <w:t xml:space="preserve"> a</w:t>
      </w:r>
      <w:r w:rsidR="00826C6C" w:rsidRPr="001B5A8F">
        <w:t>n expanded ADCET as a</w:t>
      </w:r>
      <w:r w:rsidR="00A41845" w:rsidRPr="001B5A8F">
        <w:t xml:space="preserve"> </w:t>
      </w:r>
      <w:r w:rsidR="00723300" w:rsidRPr="001B5A8F">
        <w:t xml:space="preserve">national and </w:t>
      </w:r>
      <w:r w:rsidR="00B81AA7" w:rsidRPr="001B5A8F">
        <w:t>centrali</w:t>
      </w:r>
      <w:r w:rsidR="00A41845" w:rsidRPr="001B5A8F">
        <w:t>s</w:t>
      </w:r>
      <w:r w:rsidR="00B81AA7" w:rsidRPr="001B5A8F">
        <w:t xml:space="preserve">ed </w:t>
      </w:r>
      <w:r w:rsidR="00826C6C" w:rsidRPr="001B5A8F">
        <w:t>centre for disability inclusion to assist in th</w:t>
      </w:r>
      <w:r w:rsidR="000F2326" w:rsidRPr="001B5A8F">
        <w:t xml:space="preserve">e </w:t>
      </w:r>
      <w:r w:rsidR="00B81AA7" w:rsidRPr="001B5A8F">
        <w:t>transformation in the higher education sector.</w:t>
      </w:r>
    </w:p>
    <w:p w14:paraId="35AE2109" w14:textId="77777777" w:rsidR="008651CE" w:rsidRPr="001B5A8F" w:rsidRDefault="008651CE">
      <w:pPr>
        <w:rPr>
          <w:lang w:val="en-AU" w:eastAsia="en-AU"/>
        </w:rPr>
      </w:pPr>
      <w:bookmarkStart w:id="4" w:name="_The_role_and"/>
      <w:bookmarkStart w:id="5" w:name="_Toc130309387"/>
      <w:bookmarkEnd w:id="4"/>
      <w:r w:rsidRPr="001B5A8F">
        <w:rPr>
          <w:lang w:val="en-AU" w:eastAsia="en-AU"/>
        </w:rPr>
        <w:br w:type="page"/>
      </w:r>
    </w:p>
    <w:p w14:paraId="7260D685" w14:textId="491CCABC" w:rsidR="000B3872" w:rsidRPr="001B5A8F" w:rsidRDefault="007553EE" w:rsidP="004A29CE">
      <w:pPr>
        <w:pStyle w:val="Heading1"/>
        <w:rPr>
          <w:lang w:val="en-AU" w:eastAsia="en-AU"/>
        </w:rPr>
      </w:pPr>
      <w:bookmarkStart w:id="6" w:name="_Toc132100482"/>
      <w:bookmarkStart w:id="7" w:name="_Toc132125062"/>
      <w:bookmarkStart w:id="8" w:name="_Toc132139885"/>
      <w:bookmarkStart w:id="9" w:name="_Toc132139945"/>
      <w:r w:rsidRPr="001B5A8F">
        <w:rPr>
          <w:lang w:val="en-AU" w:eastAsia="en-AU"/>
        </w:rPr>
        <w:lastRenderedPageBreak/>
        <w:t>Part 1: The role and importance of</w:t>
      </w:r>
      <w:r w:rsidR="00816C0E" w:rsidRPr="001B5A8F">
        <w:rPr>
          <w:lang w:val="en-AU" w:eastAsia="en-AU"/>
        </w:rPr>
        <w:t xml:space="preserve"> ADCET</w:t>
      </w:r>
      <w:bookmarkEnd w:id="5"/>
      <w:bookmarkEnd w:id="6"/>
      <w:bookmarkEnd w:id="7"/>
      <w:bookmarkEnd w:id="8"/>
      <w:bookmarkEnd w:id="9"/>
    </w:p>
    <w:p w14:paraId="4C3E00FF" w14:textId="2C9085E5" w:rsidR="000B3872" w:rsidRPr="001B5A8F" w:rsidRDefault="0081796B" w:rsidP="00306FE9">
      <w:pPr>
        <w:rPr>
          <w:rStyle w:val="eop"/>
          <w:rFonts w:eastAsia="Arial" w:cs="Arial"/>
        </w:rPr>
      </w:pPr>
      <w:r w:rsidRPr="001B5A8F">
        <w:rPr>
          <w:rStyle w:val="normaltextrun"/>
          <w:rFonts w:cs="Arial"/>
        </w:rPr>
        <w:t>A</w:t>
      </w:r>
      <w:r w:rsidR="00306FE9" w:rsidRPr="001B5A8F">
        <w:rPr>
          <w:rStyle w:val="normaltextrun"/>
          <w:rFonts w:cs="Arial"/>
        </w:rPr>
        <w:t>DCET (A</w:t>
      </w:r>
      <w:r w:rsidRPr="001B5A8F">
        <w:rPr>
          <w:rStyle w:val="normaltextrun"/>
          <w:rFonts w:cs="Arial"/>
        </w:rPr>
        <w:t>ustralian Disability Clearinghouse on Education and Trainin</w:t>
      </w:r>
      <w:r w:rsidR="5E777C41" w:rsidRPr="001B5A8F">
        <w:rPr>
          <w:rStyle w:val="normaltextrun"/>
          <w:rFonts w:cs="Arial"/>
        </w:rPr>
        <w:t>g</w:t>
      </w:r>
      <w:r w:rsidR="00306FE9" w:rsidRPr="001B5A8F">
        <w:rPr>
          <w:rStyle w:val="normaltextrun"/>
          <w:rFonts w:cs="Arial"/>
        </w:rPr>
        <w:t>)</w:t>
      </w:r>
      <w:r w:rsidR="3F1AE2C8" w:rsidRPr="001B5A8F">
        <w:rPr>
          <w:lang w:val="en-AU"/>
        </w:rPr>
        <w:t xml:space="preserve"> provides national leadership in the inclusion of people with disability in tertiary education through providing information and professional development for </w:t>
      </w:r>
      <w:r w:rsidR="001867D1" w:rsidRPr="001B5A8F">
        <w:rPr>
          <w:lang w:val="en-AU"/>
        </w:rPr>
        <w:t xml:space="preserve">disability practitioners, </w:t>
      </w:r>
      <w:r w:rsidR="3F1AE2C8" w:rsidRPr="001B5A8F">
        <w:rPr>
          <w:lang w:val="en-AU"/>
        </w:rPr>
        <w:t>educators and support staff.</w:t>
      </w:r>
      <w:r w:rsidR="3F1AE2C8" w:rsidRPr="001B5A8F">
        <w:rPr>
          <w:rStyle w:val="normaltextrun"/>
          <w:rFonts w:eastAsia="Arial" w:cs="Arial"/>
        </w:rPr>
        <w:t xml:space="preserve"> </w:t>
      </w:r>
      <w:r w:rsidR="000B3872" w:rsidRPr="001B5A8F">
        <w:rPr>
          <w:rStyle w:val="eop"/>
          <w:rFonts w:cs="Arial"/>
        </w:rPr>
        <w:t> </w:t>
      </w:r>
      <w:r w:rsidR="024A79EA" w:rsidRPr="001B5A8F">
        <w:rPr>
          <w:rStyle w:val="eop"/>
          <w:rFonts w:cs="Arial"/>
        </w:rPr>
        <w:t xml:space="preserve"> </w:t>
      </w:r>
    </w:p>
    <w:p w14:paraId="15C73773" w14:textId="77777777" w:rsidR="00D7040B" w:rsidRPr="001B5A8F" w:rsidRDefault="00D7040B" w:rsidP="00D7040B">
      <w:pPr>
        <w:rPr>
          <w:lang w:val="en-AU" w:eastAsia="en-AU"/>
        </w:rPr>
      </w:pPr>
    </w:p>
    <w:p w14:paraId="1CDA729B" w14:textId="1113D9C9" w:rsidR="00245337" w:rsidRPr="001B5A8F" w:rsidRDefault="00D7040B" w:rsidP="00FE24D4">
      <w:pPr>
        <w:rPr>
          <w:rStyle w:val="eop"/>
          <w:rFonts w:cs="Calibri"/>
        </w:rPr>
      </w:pPr>
      <w:r w:rsidRPr="001B5A8F">
        <w:rPr>
          <w:lang w:val="en-AU" w:eastAsia="en-AU"/>
        </w:rPr>
        <w:t>Our approach is sector-led drawing on good practice, research and the lived experience of people with disability to d</w:t>
      </w:r>
      <w:r w:rsidR="00790A70" w:rsidRPr="001B5A8F">
        <w:rPr>
          <w:lang w:val="en-AU" w:eastAsia="en-AU"/>
        </w:rPr>
        <w:t>evelop resources</w:t>
      </w:r>
      <w:r w:rsidR="00893579">
        <w:rPr>
          <w:lang w:val="en-AU" w:eastAsia="en-AU"/>
        </w:rPr>
        <w:t xml:space="preserve">, content and projects </w:t>
      </w:r>
      <w:r w:rsidR="003D4746" w:rsidRPr="001B5A8F">
        <w:rPr>
          <w:lang w:val="en-AU" w:eastAsia="en-AU"/>
        </w:rPr>
        <w:t xml:space="preserve">of national significance </w:t>
      </w:r>
      <w:r w:rsidR="006453D5" w:rsidRPr="001B5A8F">
        <w:rPr>
          <w:lang w:val="en-AU" w:eastAsia="en-AU"/>
        </w:rPr>
        <w:t>which drive positive change in the tertiary education sector</w:t>
      </w:r>
      <w:r w:rsidR="00DF787F" w:rsidRPr="001B5A8F">
        <w:rPr>
          <w:lang w:val="en-AU" w:eastAsia="en-AU"/>
        </w:rPr>
        <w:t xml:space="preserve"> (Higher Education and VET)</w:t>
      </w:r>
      <w:r w:rsidR="006453D5" w:rsidRPr="001B5A8F">
        <w:rPr>
          <w:lang w:val="en-AU" w:eastAsia="en-AU"/>
        </w:rPr>
        <w:t xml:space="preserve">. </w:t>
      </w:r>
      <w:r w:rsidR="00CE3236" w:rsidRPr="001B5A8F">
        <w:rPr>
          <w:lang w:val="en-AU" w:eastAsia="en-AU"/>
        </w:rPr>
        <w:t>Our projects</w:t>
      </w:r>
      <w:r w:rsidR="00477723" w:rsidRPr="001B5A8F">
        <w:rPr>
          <w:lang w:val="en-AU" w:eastAsia="en-AU"/>
        </w:rPr>
        <w:t xml:space="preserve">, activities and resources are </w:t>
      </w:r>
      <w:r w:rsidR="00C25E39" w:rsidRPr="001B5A8F">
        <w:rPr>
          <w:lang w:val="en-AU" w:eastAsia="en-AU"/>
        </w:rPr>
        <w:t xml:space="preserve">highly </w:t>
      </w:r>
      <w:r w:rsidR="00AE5AD8" w:rsidRPr="001B5A8F">
        <w:rPr>
          <w:lang w:val="en-AU" w:eastAsia="en-AU"/>
        </w:rPr>
        <w:t>strategic</w:t>
      </w:r>
      <w:r w:rsidR="0AE4AF8F" w:rsidRPr="001B5A8F">
        <w:rPr>
          <w:lang w:val="en-AU" w:eastAsia="en-AU"/>
        </w:rPr>
        <w:t>,</w:t>
      </w:r>
      <w:r w:rsidR="00C25E39" w:rsidRPr="001B5A8F">
        <w:rPr>
          <w:lang w:val="en-AU" w:eastAsia="en-AU"/>
        </w:rPr>
        <w:t xml:space="preserve"> building </w:t>
      </w:r>
      <w:r w:rsidR="002A3DC4" w:rsidRPr="001B5A8F">
        <w:rPr>
          <w:lang w:val="en-AU" w:eastAsia="en-AU"/>
        </w:rPr>
        <w:t xml:space="preserve">capacity </w:t>
      </w:r>
      <w:r w:rsidR="00E13DDB" w:rsidRPr="001B5A8F">
        <w:rPr>
          <w:lang w:val="en-AU" w:eastAsia="en-AU"/>
        </w:rPr>
        <w:t xml:space="preserve">within and </w:t>
      </w:r>
      <w:r w:rsidR="002A3DC4" w:rsidRPr="001B5A8F">
        <w:rPr>
          <w:lang w:val="en-AU" w:eastAsia="en-AU"/>
        </w:rPr>
        <w:t>across the tertiary education sector</w:t>
      </w:r>
      <w:r w:rsidR="002A3DC4" w:rsidRPr="001B5A8F">
        <w:rPr>
          <w:rStyle w:val="normaltextrun"/>
          <w:rFonts w:cs="Arial"/>
        </w:rPr>
        <w:t xml:space="preserve"> to enable full access, participation, retention and success of students with disability.</w:t>
      </w:r>
      <w:r w:rsidR="002A3DC4" w:rsidRPr="001B5A8F">
        <w:rPr>
          <w:rStyle w:val="eop"/>
          <w:rFonts w:cs="Arial"/>
        </w:rPr>
        <w:t> </w:t>
      </w:r>
      <w:r w:rsidR="00245337" w:rsidRPr="001B5A8F">
        <w:rPr>
          <w:rStyle w:val="eop"/>
          <w:rFonts w:cs="Arial"/>
        </w:rPr>
        <w:t xml:space="preserve">ADCET has been working with the tertiary education sectors for more than 20 years. </w:t>
      </w:r>
    </w:p>
    <w:p w14:paraId="01B90F35" w14:textId="77777777" w:rsidR="00245337" w:rsidRPr="001B5A8F" w:rsidRDefault="00245337" w:rsidP="00D7040B">
      <w:pPr>
        <w:rPr>
          <w:rStyle w:val="eop"/>
          <w:rFonts w:cs="Arial"/>
        </w:rPr>
      </w:pPr>
    </w:p>
    <w:p w14:paraId="1AE298AF" w14:textId="4B567B62" w:rsidR="008D597F" w:rsidRPr="001B5A8F" w:rsidRDefault="008D597F" w:rsidP="008D597F">
      <w:r w:rsidRPr="001B5A8F">
        <w:t xml:space="preserve">ADCET is primarily focused on people with disability but recognises the intersectionality of people with disability with other identities including Aboriginality, gender diversity, socio-economic and geographic </w:t>
      </w:r>
      <w:r w:rsidR="008B16E9">
        <w:t xml:space="preserve">dimensions which </w:t>
      </w:r>
      <w:r w:rsidRPr="001B5A8F">
        <w:t>can further impact access and participation in tertiary education.</w:t>
      </w:r>
    </w:p>
    <w:p w14:paraId="1477E6E7" w14:textId="77777777" w:rsidR="008D597F" w:rsidRPr="001B5A8F" w:rsidRDefault="008D597F" w:rsidP="008D597F"/>
    <w:p w14:paraId="61BAC4F2" w14:textId="2E66BDDD" w:rsidR="006870B9" w:rsidRPr="001B5A8F" w:rsidRDefault="00FB1636" w:rsidP="006870B9">
      <w:r w:rsidRPr="001B5A8F">
        <w:rPr>
          <w:rStyle w:val="eop"/>
          <w:rFonts w:cs="Arial"/>
        </w:rPr>
        <w:t>ADCET has j</w:t>
      </w:r>
      <w:r w:rsidR="00816C0E" w:rsidRPr="001B5A8F">
        <w:rPr>
          <w:rStyle w:val="eop"/>
          <w:rFonts w:cs="Arial"/>
        </w:rPr>
        <w:t>ust celebrated 20 years in the tertiary education sector and ha</w:t>
      </w:r>
      <w:r w:rsidR="00E202A7" w:rsidRPr="001B5A8F">
        <w:rPr>
          <w:rStyle w:val="eop"/>
          <w:rFonts w:cs="Arial"/>
        </w:rPr>
        <w:t>s</w:t>
      </w:r>
      <w:r w:rsidR="00816C0E" w:rsidRPr="001B5A8F">
        <w:rPr>
          <w:rStyle w:val="eop"/>
          <w:rFonts w:cs="Arial"/>
        </w:rPr>
        <w:t xml:space="preserve"> high levels of </w:t>
      </w:r>
      <w:hyperlink r:id="rId13">
        <w:r w:rsidR="00C725AF" w:rsidRPr="001B5A8F">
          <w:rPr>
            <w:rStyle w:val="Hyperlink"/>
          </w:rPr>
          <w:t>impact and e</w:t>
        </w:r>
        <w:r w:rsidR="00816C0E" w:rsidRPr="001B5A8F">
          <w:rPr>
            <w:rStyle w:val="Hyperlink"/>
          </w:rPr>
          <w:t>ngagement</w:t>
        </w:r>
      </w:hyperlink>
      <w:r w:rsidR="00816C0E" w:rsidRPr="001B5A8F">
        <w:rPr>
          <w:rFonts w:cs="Arial"/>
        </w:rPr>
        <w:t xml:space="preserve">. </w:t>
      </w:r>
      <w:r w:rsidR="006870B9" w:rsidRPr="001B5A8F">
        <w:rPr>
          <w:rFonts w:cs="Arial"/>
        </w:rPr>
        <w:t xml:space="preserve">This includes </w:t>
      </w:r>
      <w:r w:rsidR="006870B9" w:rsidRPr="001B5A8F">
        <w:t>over 1</w:t>
      </w:r>
      <w:r w:rsidR="00FB23B3" w:rsidRPr="001B5A8F">
        <w:t>.</w:t>
      </w:r>
      <w:r w:rsidR="00B95237" w:rsidRPr="001B5A8F">
        <w:t>1</w:t>
      </w:r>
      <w:r w:rsidR="006870B9" w:rsidRPr="001B5A8F">
        <w:t xml:space="preserve"> million website engagements annually</w:t>
      </w:r>
      <w:r w:rsidR="00B95237" w:rsidRPr="001B5A8F">
        <w:t>;</w:t>
      </w:r>
      <w:r w:rsidR="006870B9" w:rsidRPr="001B5A8F">
        <w:t xml:space="preserve"> 33</w:t>
      </w:r>
      <w:r w:rsidR="00E202A7" w:rsidRPr="001B5A8F">
        <w:t>,</w:t>
      </w:r>
      <w:r w:rsidR="005A5AC7" w:rsidRPr="001B5A8F">
        <w:t>000</w:t>
      </w:r>
      <w:r w:rsidR="006870B9" w:rsidRPr="001B5A8F">
        <w:t xml:space="preserve"> enrolments in Disability Awareness eLearning</w:t>
      </w:r>
      <w:r w:rsidR="00B95237" w:rsidRPr="001B5A8F">
        <w:t>;</w:t>
      </w:r>
      <w:r w:rsidR="006870B9" w:rsidRPr="001B5A8F">
        <w:t xml:space="preserve"> and 3</w:t>
      </w:r>
      <w:r w:rsidR="00B95237" w:rsidRPr="001B5A8F">
        <w:t>,</w:t>
      </w:r>
      <w:r w:rsidR="005A5AC7" w:rsidRPr="001B5A8F">
        <w:t>000</w:t>
      </w:r>
      <w:r w:rsidR="006870B9" w:rsidRPr="001B5A8F">
        <w:t xml:space="preserve"> social media and newsletter subscribers.</w:t>
      </w:r>
    </w:p>
    <w:p w14:paraId="2BA58687" w14:textId="77777777" w:rsidR="000B3872" w:rsidRDefault="000B3872" w:rsidP="000B3872">
      <w:pPr>
        <w:pStyle w:val="paragraph"/>
        <w:spacing w:before="0" w:beforeAutospacing="0" w:after="0" w:afterAutospacing="0"/>
        <w:textAlignment w:val="baseline"/>
        <w:rPr>
          <w:rStyle w:val="eop"/>
          <w:rFonts w:cs="Arial"/>
        </w:rPr>
      </w:pPr>
    </w:p>
    <w:p w14:paraId="4FAE52C6" w14:textId="06A89CDA" w:rsidR="00437A51" w:rsidRPr="00437A51" w:rsidRDefault="00437A51" w:rsidP="00437A51">
      <w:pPr>
        <w:pStyle w:val="Tablename"/>
        <w:rPr>
          <w:lang w:val="en-AU" w:eastAsia="en-AU"/>
        </w:rPr>
      </w:pPr>
      <w:r>
        <w:rPr>
          <w:lang w:val="en-AU" w:eastAsia="en-AU"/>
        </w:rPr>
        <w:t>Figure 1: ADCET at a glance</w:t>
      </w:r>
    </w:p>
    <w:p w14:paraId="36F382C5" w14:textId="3A79B6AE" w:rsidR="00F6273D" w:rsidRPr="001B5A8F" w:rsidRDefault="000B48C7" w:rsidP="000B3872">
      <w:pPr>
        <w:rPr>
          <w:rStyle w:val="eop"/>
          <w:rFonts w:cs="Arial"/>
        </w:rPr>
      </w:pPr>
      <w:r w:rsidRPr="001B5A8F">
        <w:rPr>
          <w:noProof/>
        </w:rPr>
        <w:drawing>
          <wp:inline distT="0" distB="0" distL="0" distR="0" wp14:anchorId="7A4A4071" wp14:editId="54ECDFF5">
            <wp:extent cx="5943600" cy="3072765"/>
            <wp:effectExtent l="0" t="0" r="0" b="0"/>
            <wp:docPr id="1" name="Picture 1" descr="Infographic of ADCET's impact, text version on website provides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of ADCET's impact, text version on website provides deta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072765"/>
                    </a:xfrm>
                    <a:prstGeom prst="rect">
                      <a:avLst/>
                    </a:prstGeom>
                    <a:noFill/>
                    <a:ln>
                      <a:noFill/>
                    </a:ln>
                  </pic:spPr>
                </pic:pic>
              </a:graphicData>
            </a:graphic>
          </wp:inline>
        </w:drawing>
      </w:r>
    </w:p>
    <w:p w14:paraId="056CA9A4" w14:textId="77777777" w:rsidR="00F6273D" w:rsidRPr="001B5A8F" w:rsidRDefault="00F6273D" w:rsidP="000B3872">
      <w:pPr>
        <w:rPr>
          <w:rStyle w:val="eop"/>
          <w:rFonts w:cs="Arial"/>
        </w:rPr>
      </w:pPr>
    </w:p>
    <w:p w14:paraId="198194C8" w14:textId="77777777" w:rsidR="00956F30" w:rsidRPr="001B5A8F" w:rsidRDefault="00956F30" w:rsidP="002C0E51">
      <w:pPr>
        <w:pStyle w:val="Heading2"/>
        <w:rPr>
          <w:rStyle w:val="eop"/>
          <w:rFonts w:cs="Arial"/>
        </w:rPr>
      </w:pPr>
      <w:bookmarkStart w:id="10" w:name="_Toc132100483"/>
      <w:bookmarkStart w:id="11" w:name="_Toc132125063"/>
      <w:bookmarkStart w:id="12" w:name="_Toc132139886"/>
      <w:bookmarkStart w:id="13" w:name="_Toc132139946"/>
      <w:r w:rsidRPr="001B5A8F">
        <w:rPr>
          <w:rStyle w:val="eop"/>
          <w:rFonts w:cs="Arial"/>
        </w:rPr>
        <w:lastRenderedPageBreak/>
        <w:t>ADCET funding</w:t>
      </w:r>
      <w:bookmarkEnd w:id="10"/>
      <w:bookmarkEnd w:id="11"/>
      <w:bookmarkEnd w:id="12"/>
      <w:bookmarkEnd w:id="13"/>
    </w:p>
    <w:p w14:paraId="7A5C58F9" w14:textId="1BE963A1" w:rsidR="000B3872" w:rsidRPr="001B5A8F" w:rsidRDefault="000B3872" w:rsidP="000B3872">
      <w:r w:rsidRPr="001B5A8F">
        <w:rPr>
          <w:rStyle w:val="eop"/>
          <w:rFonts w:cs="Arial"/>
        </w:rPr>
        <w:t xml:space="preserve">ADCET is funded through the </w:t>
      </w:r>
      <w:r w:rsidRPr="000967F3">
        <w:rPr>
          <w:rStyle w:val="eop"/>
          <w:rFonts w:cs="Arial"/>
          <w:i/>
          <w:iCs/>
        </w:rPr>
        <w:t>Higher Education Disability Support Program</w:t>
      </w:r>
      <w:r w:rsidRPr="001B5A8F">
        <w:rPr>
          <w:rStyle w:val="eop"/>
          <w:rFonts w:cs="Arial"/>
        </w:rPr>
        <w:t xml:space="preserve"> (HEDSP) </w:t>
      </w:r>
      <w:r w:rsidRPr="001B5A8F">
        <w:t xml:space="preserve">within the </w:t>
      </w:r>
      <w:hyperlink r:id="rId15" w:tgtFrame="_blank" w:history="1">
        <w:r w:rsidRPr="001B5A8F">
          <w:rPr>
            <w:rStyle w:val="Hyperlink"/>
          </w:rPr>
          <w:t>Higher Education Support (Other Grants) Guidelines 2022</w:t>
        </w:r>
      </w:hyperlink>
      <w:r w:rsidRPr="001B5A8F">
        <w:t>.</w:t>
      </w:r>
      <w:r w:rsidRPr="001B5A8F">
        <w:rPr>
          <w:rStyle w:val="normaltextrun"/>
          <w:rFonts w:ascii="Calibri" w:hAnsi="Calibri" w:cs="Calibri"/>
          <w:sz w:val="22"/>
          <w:szCs w:val="22"/>
        </w:rPr>
        <w:t xml:space="preserve"> </w:t>
      </w:r>
      <w:r w:rsidRPr="001B5A8F">
        <w:t xml:space="preserve">Under this legislation </w:t>
      </w:r>
      <w:r w:rsidR="000967F3">
        <w:t>(</w:t>
      </w:r>
      <w:r w:rsidRPr="001B5A8F">
        <w:t>Part 3, Division 2, 42) ADCET has two key program objectives: </w:t>
      </w:r>
    </w:p>
    <w:p w14:paraId="43CE2FC9" w14:textId="795D0450" w:rsidR="000B3872" w:rsidRPr="001B5A8F" w:rsidRDefault="000B3872" w:rsidP="000B3872">
      <w:pPr>
        <w:pStyle w:val="bullettedlist"/>
      </w:pPr>
      <w:r w:rsidRPr="001B5A8F">
        <w:rPr>
          <w:rStyle w:val="normaltextrun"/>
        </w:rPr>
        <w:t>specified as a program for the purpose of promoting equality of opportunity in higher education</w:t>
      </w:r>
      <w:r w:rsidR="007A6BB3" w:rsidRPr="001B5A8F">
        <w:rPr>
          <w:rStyle w:val="FootnoteReference"/>
        </w:rPr>
        <w:footnoteReference w:id="2"/>
      </w:r>
      <w:r w:rsidRPr="001B5A8F">
        <w:rPr>
          <w:rStyle w:val="eop"/>
        </w:rPr>
        <w:t> </w:t>
      </w:r>
    </w:p>
    <w:p w14:paraId="580BF814" w14:textId="52DC1C2C" w:rsidR="000B3872" w:rsidRPr="001B5A8F" w:rsidRDefault="000B3872" w:rsidP="000B3872">
      <w:pPr>
        <w:pStyle w:val="bullettedlist"/>
      </w:pPr>
      <w:r w:rsidRPr="001B5A8F">
        <w:rPr>
          <w:rStyle w:val="normaltextrun"/>
        </w:rPr>
        <w:t>provide</w:t>
      </w:r>
      <w:r w:rsidR="0048003E" w:rsidRPr="001B5A8F">
        <w:rPr>
          <w:rStyle w:val="normaltextrun"/>
        </w:rPr>
        <w:t>s</w:t>
      </w:r>
      <w:r w:rsidRPr="001B5A8F">
        <w:rPr>
          <w:rStyle w:val="normaltextrun"/>
        </w:rPr>
        <w:t xml:space="preserve"> information, advice, and online resources (including in a form able to be downloaded and used) through a website, hosted by a provider, to disability practitioners, </w:t>
      </w:r>
      <w:r w:rsidR="00AF6073" w:rsidRPr="001B5A8F">
        <w:rPr>
          <w:rStyle w:val="normaltextrun"/>
        </w:rPr>
        <w:t>teachers,</w:t>
      </w:r>
      <w:r w:rsidRPr="001B5A8F">
        <w:rPr>
          <w:rStyle w:val="normaltextrun"/>
        </w:rPr>
        <w:t xml:space="preserve"> and students to promote inclusive teaching and learning practices for students with disability.</w:t>
      </w:r>
      <w:r w:rsidRPr="001B5A8F">
        <w:rPr>
          <w:rStyle w:val="eop"/>
        </w:rPr>
        <w:t> </w:t>
      </w:r>
    </w:p>
    <w:p w14:paraId="5E38EABC" w14:textId="77777777" w:rsidR="000B3872" w:rsidRPr="001B5A8F" w:rsidRDefault="000B3872" w:rsidP="000B3872">
      <w:pPr>
        <w:pStyle w:val="paragraph"/>
        <w:spacing w:before="0" w:beforeAutospacing="0" w:after="0" w:afterAutospacing="0"/>
        <w:textAlignment w:val="baseline"/>
        <w:rPr>
          <w:rFonts w:ascii="Segoe UI" w:hAnsi="Segoe UI" w:cs="Segoe UI"/>
          <w:sz w:val="18"/>
          <w:szCs w:val="18"/>
        </w:rPr>
      </w:pPr>
    </w:p>
    <w:p w14:paraId="48921579" w14:textId="27694081" w:rsidR="000B3872" w:rsidRPr="001B5A8F" w:rsidRDefault="009E4C17" w:rsidP="000B3872">
      <w:r w:rsidRPr="001B5A8F">
        <w:t>ADCET receives</w:t>
      </w:r>
      <w:r w:rsidR="00BC5011" w:rsidRPr="001B5A8F">
        <w:t xml:space="preserve"> between $75,000</w:t>
      </w:r>
      <w:r w:rsidR="005F7D69" w:rsidRPr="001B5A8F">
        <w:t xml:space="preserve"> and</w:t>
      </w:r>
      <w:r w:rsidRPr="001B5A8F">
        <w:t xml:space="preserve"> $150,000 annually </w:t>
      </w:r>
      <w:r w:rsidR="57BB8916" w:rsidRPr="001B5A8F">
        <w:t>and</w:t>
      </w:r>
      <w:r w:rsidRPr="001B5A8F">
        <w:t xml:space="preserve"> </w:t>
      </w:r>
      <w:r w:rsidRPr="001B5A8F">
        <w:rPr>
          <w:i/>
          <w:iCs/>
        </w:rPr>
        <w:t>ad hoc</w:t>
      </w:r>
      <w:r w:rsidRPr="001B5A8F">
        <w:t xml:space="preserve"> project </w:t>
      </w:r>
      <w:r w:rsidR="00F740FE" w:rsidRPr="001B5A8F">
        <w:t>funding</w:t>
      </w:r>
      <w:r w:rsidR="512C724F" w:rsidRPr="001B5A8F">
        <w:t>. At present, ADCET relies on supportive funding</w:t>
      </w:r>
      <w:r w:rsidR="00997679" w:rsidRPr="001B5A8F">
        <w:t xml:space="preserve"> for</w:t>
      </w:r>
      <w:r w:rsidRPr="001B5A8F">
        <w:t xml:space="preserve"> </w:t>
      </w:r>
      <w:r w:rsidR="00BC5011" w:rsidRPr="001B5A8F">
        <w:t>three</w:t>
      </w:r>
      <w:r w:rsidR="00A8339B" w:rsidRPr="001B5A8F">
        <w:t xml:space="preserve"> </w:t>
      </w:r>
      <w:r w:rsidRPr="001B5A8F">
        <w:t>staff</w:t>
      </w:r>
      <w:r w:rsidR="00A8339B" w:rsidRPr="001B5A8F">
        <w:t xml:space="preserve"> (the Manager</w:t>
      </w:r>
      <w:r w:rsidR="00BC5011" w:rsidRPr="001B5A8F">
        <w:t>,</w:t>
      </w:r>
      <w:r w:rsidR="00A8339B" w:rsidRPr="001B5A8F">
        <w:t xml:space="preserve"> </w:t>
      </w:r>
      <w:r w:rsidR="0057785D" w:rsidRPr="001B5A8F">
        <w:t>Digital Accessib</w:t>
      </w:r>
      <w:r w:rsidR="00833A00" w:rsidRPr="001B5A8F">
        <w:t xml:space="preserve">ility and </w:t>
      </w:r>
      <w:r w:rsidR="00A8339B" w:rsidRPr="001B5A8F">
        <w:t>Assistive Technology specialist</w:t>
      </w:r>
      <w:r w:rsidR="00BC5011" w:rsidRPr="001B5A8F">
        <w:t>, and administration support</w:t>
      </w:r>
      <w:r w:rsidR="00A8339B" w:rsidRPr="001B5A8F">
        <w:t>)</w:t>
      </w:r>
      <w:r w:rsidRPr="001B5A8F">
        <w:t xml:space="preserve"> via the National Disability Coordination Officer (NDCO) Program</w:t>
      </w:r>
      <w:r w:rsidR="53C8159E" w:rsidRPr="001B5A8F">
        <w:t xml:space="preserve"> so that it can function at its current capacity</w:t>
      </w:r>
      <w:r w:rsidR="61AE9565" w:rsidRPr="001B5A8F">
        <w:t>.</w:t>
      </w:r>
      <w:r w:rsidRPr="001B5A8F">
        <w:t xml:space="preserve"> </w:t>
      </w:r>
      <w:r w:rsidR="4ADD62C9" w:rsidRPr="001B5A8F">
        <w:t>The</w:t>
      </w:r>
      <w:r w:rsidR="000B3872" w:rsidRPr="001B5A8F">
        <w:t xml:space="preserve"> University of Tasmania</w:t>
      </w:r>
      <w:r w:rsidR="00B7305B" w:rsidRPr="001B5A8F">
        <w:t xml:space="preserve"> </w:t>
      </w:r>
      <w:r w:rsidR="4ADD62C9" w:rsidRPr="001B5A8F">
        <w:t>has hosted ADCET</w:t>
      </w:r>
      <w:r w:rsidR="280FB3E1" w:rsidRPr="001B5A8F">
        <w:t xml:space="preserve"> </w:t>
      </w:r>
      <w:r w:rsidR="00B7305B" w:rsidRPr="001B5A8F">
        <w:t>for 20 years</w:t>
      </w:r>
      <w:r w:rsidR="10977D37" w:rsidRPr="001B5A8F">
        <w:t>,</w:t>
      </w:r>
      <w:r w:rsidR="00B7305B" w:rsidRPr="001B5A8F">
        <w:t xml:space="preserve"> and </w:t>
      </w:r>
      <w:r w:rsidR="7D6A99D0" w:rsidRPr="001B5A8F">
        <w:t>the</w:t>
      </w:r>
      <w:r w:rsidR="00B7305B" w:rsidRPr="001B5A8F">
        <w:t xml:space="preserve"> administration of ADCET is managed through the Department of Education</w:t>
      </w:r>
      <w:r w:rsidR="2F51A275" w:rsidRPr="001B5A8F">
        <w:t>, Higher Education Division</w:t>
      </w:r>
      <w:r w:rsidR="000B3872" w:rsidRPr="001B5A8F">
        <w:t>.</w:t>
      </w:r>
    </w:p>
    <w:p w14:paraId="63C95B4A" w14:textId="77777777" w:rsidR="00956F30" w:rsidRPr="001B5A8F" w:rsidRDefault="00956F30" w:rsidP="000B3872"/>
    <w:p w14:paraId="66E4AC53" w14:textId="64296CDF" w:rsidR="00956F30" w:rsidRPr="001B5A8F" w:rsidRDefault="003E13F5" w:rsidP="000B3872">
      <w:r w:rsidRPr="001B5A8F">
        <w:t>Our submission to the Accord includes</w:t>
      </w:r>
      <w:r w:rsidR="00C7432C" w:rsidRPr="001B5A8F">
        <w:t xml:space="preserve"> a range of strategic </w:t>
      </w:r>
      <w:r w:rsidR="00172383" w:rsidRPr="001B5A8F">
        <w:t xml:space="preserve">recommendations to the Panel about whole-of-sector </w:t>
      </w:r>
      <w:r w:rsidR="00785F8A" w:rsidRPr="001B5A8F">
        <w:t>transformation which addresses the underlying</w:t>
      </w:r>
      <w:r w:rsidR="00AB50ED" w:rsidRPr="001B5A8F">
        <w:t xml:space="preserve"> barriers to participation in tertiary study that exist for people with disability. These include cultural, physical, digital and learning </w:t>
      </w:r>
      <w:r w:rsidR="013F5784" w:rsidRPr="001B5A8F">
        <w:t xml:space="preserve">environments </w:t>
      </w:r>
      <w:r w:rsidR="00AB50ED" w:rsidRPr="001B5A8F">
        <w:t xml:space="preserve">which are inconsistently addressed </w:t>
      </w:r>
      <w:r w:rsidR="00B71729" w:rsidRPr="001B5A8F">
        <w:t>and managed through g</w:t>
      </w:r>
      <w:r w:rsidR="00AB50ED" w:rsidRPr="001B5A8F">
        <w:t xml:space="preserve">overnment policy and strategy, funding </w:t>
      </w:r>
      <w:r w:rsidR="00AF5B1D" w:rsidRPr="001B5A8F">
        <w:t xml:space="preserve">to the sector, and </w:t>
      </w:r>
      <w:r w:rsidR="00B04F29" w:rsidRPr="001B5A8F">
        <w:t xml:space="preserve">the work of tertiary education providers to support authentic and practical disability inclusion. </w:t>
      </w:r>
    </w:p>
    <w:p w14:paraId="377C29DF" w14:textId="77777777" w:rsidR="00B04F29" w:rsidRPr="001B5A8F" w:rsidRDefault="00B04F29" w:rsidP="000B3872"/>
    <w:p w14:paraId="6A397845" w14:textId="31B3709B" w:rsidR="008A6107" w:rsidRPr="001B5A8F" w:rsidRDefault="580FAC9A" w:rsidP="000B3872">
      <w:r w:rsidRPr="001B5A8F">
        <w:t>Despite</w:t>
      </w:r>
      <w:r w:rsidR="00B04F29" w:rsidRPr="001B5A8F">
        <w:t xml:space="preserve"> the </w:t>
      </w:r>
      <w:r w:rsidR="47AB2FFB" w:rsidRPr="001B5A8F">
        <w:t xml:space="preserve">very </w:t>
      </w:r>
      <w:r w:rsidR="00143E3A" w:rsidRPr="001B5A8F">
        <w:t>low</w:t>
      </w:r>
      <w:r w:rsidR="00B04F29" w:rsidRPr="001B5A8F">
        <w:t xml:space="preserve"> amount of </w:t>
      </w:r>
      <w:r w:rsidR="56C482FC" w:rsidRPr="001B5A8F">
        <w:t>core</w:t>
      </w:r>
      <w:r w:rsidR="4F367341" w:rsidRPr="001B5A8F">
        <w:t xml:space="preserve"> </w:t>
      </w:r>
      <w:r w:rsidR="00B04F29" w:rsidRPr="001B5A8F">
        <w:t>funding ADCET</w:t>
      </w:r>
      <w:r w:rsidR="6F0320D8" w:rsidRPr="001B5A8F">
        <w:t xml:space="preserve"> receives</w:t>
      </w:r>
      <w:r w:rsidR="1BB9EF53" w:rsidRPr="001B5A8F">
        <w:t>,</w:t>
      </w:r>
      <w:r w:rsidR="00B04F29" w:rsidRPr="001B5A8F">
        <w:t xml:space="preserve"> </w:t>
      </w:r>
      <w:r w:rsidR="007C684F" w:rsidRPr="001B5A8F">
        <w:t xml:space="preserve">it provides </w:t>
      </w:r>
      <w:r w:rsidR="45ADD5C7" w:rsidRPr="001B5A8F">
        <w:t xml:space="preserve">a </w:t>
      </w:r>
      <w:r w:rsidR="002459BF" w:rsidRPr="001B5A8F">
        <w:t>proven sector-led and</w:t>
      </w:r>
      <w:r w:rsidR="4650621F" w:rsidRPr="001B5A8F">
        <w:t xml:space="preserve"> industry respected central</w:t>
      </w:r>
      <w:r w:rsidR="5388966C" w:rsidRPr="001B5A8F">
        <w:t xml:space="preserve"> pla</w:t>
      </w:r>
      <w:r w:rsidR="2F4C23A7" w:rsidRPr="001B5A8F">
        <w:t>tform</w:t>
      </w:r>
      <w:r w:rsidR="00154216" w:rsidRPr="001B5A8F">
        <w:t xml:space="preserve"> </w:t>
      </w:r>
      <w:r w:rsidR="338A6A4C" w:rsidRPr="001B5A8F">
        <w:t xml:space="preserve">that could assist in a sector wide </w:t>
      </w:r>
      <w:r w:rsidR="4F006433" w:rsidRPr="001B5A8F">
        <w:t>transformation.</w:t>
      </w:r>
      <w:r w:rsidR="00825973">
        <w:t xml:space="preserve"> </w:t>
      </w:r>
      <w:r w:rsidR="5E0317EA" w:rsidRPr="001B5A8F">
        <w:t>We</w:t>
      </w:r>
      <w:r w:rsidR="39BBC5B3" w:rsidRPr="001B5A8F">
        <w:t xml:space="preserve"> have developed and</w:t>
      </w:r>
      <w:r w:rsidR="00DD7123" w:rsidRPr="001B5A8F">
        <w:t xml:space="preserve"> outlined proposals to the Department of Education which would </w:t>
      </w:r>
      <w:r w:rsidR="005279E7" w:rsidRPr="001B5A8F">
        <w:t xml:space="preserve">see ADCET </w:t>
      </w:r>
      <w:r w:rsidR="00030ADE" w:rsidRPr="001B5A8F">
        <w:t xml:space="preserve">consolidate existing activities and expand its influence </w:t>
      </w:r>
      <w:r w:rsidR="00916091" w:rsidRPr="001B5A8F">
        <w:t>on</w:t>
      </w:r>
      <w:r w:rsidR="00030ADE" w:rsidRPr="001B5A8F">
        <w:t xml:space="preserve"> the sector</w:t>
      </w:r>
      <w:r w:rsidR="00882080" w:rsidRPr="001B5A8F">
        <w:t xml:space="preserve">. One such proposal is outlined in </w:t>
      </w:r>
      <w:hyperlink w:anchor="_Appendix_1:_Expanding" w:history="1">
        <w:r w:rsidR="00882080" w:rsidRPr="00196B56">
          <w:rPr>
            <w:rStyle w:val="Hyperlink"/>
          </w:rPr>
          <w:t>Appendix 1</w:t>
        </w:r>
      </w:hyperlink>
      <w:r w:rsidR="00882080" w:rsidRPr="001B5A8F">
        <w:t xml:space="preserve">. This proposal would assist the sector </w:t>
      </w:r>
      <w:r w:rsidR="00E40C4D" w:rsidRPr="001B5A8F">
        <w:t>by</w:t>
      </w:r>
      <w:r w:rsidR="008A6107" w:rsidRPr="001B5A8F">
        <w:t>:</w:t>
      </w:r>
    </w:p>
    <w:p w14:paraId="45D6FFE0" w14:textId="77777777" w:rsidR="008A6107" w:rsidRPr="001B5A8F" w:rsidRDefault="008A6107" w:rsidP="000B3872"/>
    <w:p w14:paraId="70CFB6DE" w14:textId="16550171" w:rsidR="00E40C4D" w:rsidRPr="00196B56" w:rsidRDefault="008A6107" w:rsidP="000B3872">
      <w:pPr>
        <w:pStyle w:val="numberpara"/>
        <w:rPr>
          <w:b w:val="0"/>
          <w:bCs w:val="0"/>
        </w:rPr>
      </w:pPr>
      <w:r w:rsidRPr="001B5A8F">
        <w:t>A</w:t>
      </w:r>
      <w:r w:rsidR="00F22631" w:rsidRPr="001B5A8F">
        <w:t xml:space="preserve">ligning with relevant strategy, policy and legislation </w:t>
      </w:r>
      <w:r w:rsidR="00630C31" w:rsidRPr="001B5A8F">
        <w:t>– educating and</w:t>
      </w:r>
      <w:r w:rsidR="002459BF" w:rsidRPr="001B5A8F">
        <w:t xml:space="preserve"> promoting it through our work. </w:t>
      </w:r>
      <w:r w:rsidR="002459BF" w:rsidRPr="00196B56">
        <w:rPr>
          <w:b w:val="0"/>
          <w:bCs w:val="0"/>
        </w:rPr>
        <w:t>This includes</w:t>
      </w:r>
      <w:r w:rsidR="00E40C4D" w:rsidRPr="00196B56">
        <w:rPr>
          <w:b w:val="0"/>
          <w:bCs w:val="0"/>
        </w:rPr>
        <w:t>:</w:t>
      </w:r>
    </w:p>
    <w:p w14:paraId="47987E7C" w14:textId="590F3FA8" w:rsidR="00194B72" w:rsidRPr="001B5A8F" w:rsidRDefault="00000000" w:rsidP="00687D91">
      <w:pPr>
        <w:pStyle w:val="bullettedlist"/>
      </w:pPr>
      <w:hyperlink r:id="rId16" w:history="1">
        <w:r w:rsidR="00A825A0" w:rsidRPr="001B5A8F">
          <w:rPr>
            <w:rStyle w:val="Hyperlink"/>
          </w:rPr>
          <w:t>Australia’s National Disability Strategy 2021 – 2031</w:t>
        </w:r>
      </w:hyperlink>
      <w:r w:rsidR="00A825A0" w:rsidRPr="001B5A8F">
        <w:t xml:space="preserve"> </w:t>
      </w:r>
    </w:p>
    <w:p w14:paraId="0C233197" w14:textId="390A0585" w:rsidR="00A825A0" w:rsidRPr="001B5A8F" w:rsidRDefault="00A825A0" w:rsidP="00687D91">
      <w:pPr>
        <w:pStyle w:val="bullettedlist"/>
      </w:pPr>
      <w:r w:rsidRPr="00196B56">
        <w:rPr>
          <w:i/>
          <w:iCs/>
        </w:rPr>
        <w:t>Disability Discrimination Act 1992</w:t>
      </w:r>
      <w:r w:rsidRPr="001B5A8F">
        <w:t xml:space="preserve"> and the </w:t>
      </w:r>
      <w:r w:rsidRPr="00196B56">
        <w:rPr>
          <w:i/>
          <w:iCs/>
        </w:rPr>
        <w:t>Disability Standards for Education 2005</w:t>
      </w:r>
      <w:r w:rsidRPr="001B5A8F">
        <w:t xml:space="preserve"> (currently recommendations from the 2020 review are yet to be actioned), </w:t>
      </w:r>
      <w:r w:rsidRPr="001C579C">
        <w:rPr>
          <w:i/>
          <w:iCs/>
        </w:rPr>
        <w:t>Premises Standards 2010</w:t>
      </w:r>
      <w:r w:rsidRPr="001B5A8F">
        <w:t xml:space="preserve">, </w:t>
      </w:r>
      <w:r w:rsidRPr="001C579C">
        <w:rPr>
          <w:i/>
          <w:iCs/>
        </w:rPr>
        <w:t>Web Content Accessibility Guidelines</w:t>
      </w:r>
      <w:r w:rsidRPr="001B5A8F">
        <w:t xml:space="preserve"> (WCAG), </w:t>
      </w:r>
      <w:r w:rsidRPr="001C579C">
        <w:rPr>
          <w:i/>
          <w:iCs/>
        </w:rPr>
        <w:t>Higher Education Standards Framework 2021</w:t>
      </w:r>
    </w:p>
    <w:p w14:paraId="48663DD8" w14:textId="77777777" w:rsidR="00A825A0" w:rsidRPr="001B5A8F" w:rsidRDefault="00A825A0" w:rsidP="00687D91">
      <w:pPr>
        <w:pStyle w:val="bullettedlist"/>
      </w:pPr>
      <w:r w:rsidRPr="001B5A8F">
        <w:lastRenderedPageBreak/>
        <w:t xml:space="preserve">the </w:t>
      </w:r>
      <w:hyperlink r:id="rId17" w:history="1">
        <w:r w:rsidRPr="001C579C">
          <w:rPr>
            <w:rStyle w:val="Hyperlink"/>
            <w:i/>
            <w:iCs/>
            <w:color w:val="auto"/>
            <w:u w:val="none"/>
          </w:rPr>
          <w:t>Higher Education Disability Support Program</w:t>
        </w:r>
      </w:hyperlink>
      <w:r w:rsidRPr="001B5A8F">
        <w:t xml:space="preserve">, </w:t>
      </w:r>
      <w:hyperlink r:id="rId18" w:history="1">
        <w:r w:rsidRPr="001C579C">
          <w:rPr>
            <w:rStyle w:val="Hyperlink"/>
            <w:i/>
            <w:iCs/>
            <w:color w:val="auto"/>
            <w:u w:val="none"/>
          </w:rPr>
          <w:t>Job Ready Graduates Package</w:t>
        </w:r>
      </w:hyperlink>
      <w:r w:rsidRPr="001B5A8F">
        <w:t xml:space="preserve">, and </w:t>
      </w:r>
      <w:hyperlink r:id="rId19" w:history="1">
        <w:r w:rsidRPr="001B5A8F">
          <w:rPr>
            <w:rStyle w:val="Hyperlink"/>
            <w:color w:val="auto"/>
            <w:u w:val="none"/>
          </w:rPr>
          <w:t>performance-based funding</w:t>
        </w:r>
      </w:hyperlink>
    </w:p>
    <w:p w14:paraId="155F5206" w14:textId="1CB9460C" w:rsidR="00A825A0" w:rsidRPr="001B5A8F" w:rsidRDefault="00000000" w:rsidP="00687D91">
      <w:pPr>
        <w:pStyle w:val="bullettedlist"/>
      </w:pPr>
      <w:hyperlink r:id="rId20" w:history="1">
        <w:r w:rsidR="003126DC" w:rsidRPr="001B5A8F">
          <w:rPr>
            <w:rStyle w:val="Hyperlink"/>
            <w:color w:val="auto"/>
            <w:u w:val="none"/>
          </w:rPr>
          <w:t>Australian Skills Quality Authority (ASQA)</w:t>
        </w:r>
      </w:hyperlink>
      <w:r w:rsidR="003126DC" w:rsidRPr="001B5A8F">
        <w:t xml:space="preserve"> and </w:t>
      </w:r>
      <w:hyperlink r:id="rId21" w:history="1">
        <w:r w:rsidR="003126DC" w:rsidRPr="001B5A8F">
          <w:rPr>
            <w:rStyle w:val="Hyperlink"/>
            <w:color w:val="auto"/>
            <w:u w:val="none"/>
          </w:rPr>
          <w:t>Tertiary Education Quality and Standards Agency (TEQSA)</w:t>
        </w:r>
      </w:hyperlink>
      <w:r w:rsidR="003126DC" w:rsidRPr="001B5A8F">
        <w:t xml:space="preserve"> obligations</w:t>
      </w:r>
      <w:r w:rsidR="006543E0" w:rsidRPr="001B5A8F">
        <w:t xml:space="preserve">, </w:t>
      </w:r>
      <w:hyperlink r:id="rId22">
        <w:r w:rsidR="5D0D4857" w:rsidRPr="001B5A8F">
          <w:rPr>
            <w:rStyle w:val="Hyperlink"/>
            <w:color w:val="auto"/>
            <w:u w:val="none"/>
          </w:rPr>
          <w:t>Australian Skills Quality Authority (ASQA)</w:t>
        </w:r>
      </w:hyperlink>
      <w:r w:rsidR="5D0D4857" w:rsidRPr="001B5A8F">
        <w:t xml:space="preserve"> and </w:t>
      </w:r>
      <w:hyperlink r:id="rId23">
        <w:r w:rsidR="5D0D4857" w:rsidRPr="001B5A8F">
          <w:rPr>
            <w:rStyle w:val="Hyperlink"/>
            <w:color w:val="auto"/>
            <w:u w:val="none"/>
          </w:rPr>
          <w:t>Tertiary Education Quality and Standards Agency (</w:t>
        </w:r>
        <w:r w:rsidR="7A691A2C" w:rsidRPr="001B5A8F">
          <w:rPr>
            <w:rStyle w:val="Hyperlink"/>
            <w:color w:val="auto"/>
            <w:u w:val="none"/>
          </w:rPr>
          <w:t>TEQSA</w:t>
        </w:r>
        <w:r w:rsidR="5D0D4857" w:rsidRPr="001B5A8F">
          <w:rPr>
            <w:rStyle w:val="Hyperlink"/>
            <w:color w:val="auto"/>
            <w:u w:val="none"/>
          </w:rPr>
          <w:t>)</w:t>
        </w:r>
      </w:hyperlink>
      <w:r w:rsidR="5D0D4857" w:rsidRPr="001B5A8F">
        <w:t xml:space="preserve"> obligation</w:t>
      </w:r>
      <w:r w:rsidR="441DB625" w:rsidRPr="001B5A8F">
        <w:t>s</w:t>
      </w:r>
      <w:r w:rsidR="003F1D19" w:rsidRPr="001B5A8F">
        <w:rPr>
          <w:rStyle w:val="FootnoteReference"/>
        </w:rPr>
        <w:footnoteReference w:id="3"/>
      </w:r>
      <w:r w:rsidR="5D0D4857" w:rsidRPr="001B5A8F">
        <w:t xml:space="preserve">  </w:t>
      </w:r>
    </w:p>
    <w:p w14:paraId="1FF89C5C" w14:textId="4FD147F0" w:rsidR="005643A7" w:rsidRPr="001B5A8F" w:rsidRDefault="00A66ECC" w:rsidP="00687D91">
      <w:pPr>
        <w:pStyle w:val="bullettedlist"/>
      </w:pPr>
      <w:r w:rsidRPr="001B5A8F">
        <w:t>p</w:t>
      </w:r>
      <w:r w:rsidR="005643A7" w:rsidRPr="001B5A8F">
        <w:t xml:space="preserve">otential outcomes of the Accord aimed </w:t>
      </w:r>
      <w:r w:rsidR="007553EE" w:rsidRPr="001B5A8F">
        <w:t>at increasing equity group participation which hopefully includes a greater emphasis on people with disability.</w:t>
      </w:r>
    </w:p>
    <w:p w14:paraId="7D605E58" w14:textId="77777777" w:rsidR="00A825A0" w:rsidRPr="001B5A8F" w:rsidRDefault="00A825A0" w:rsidP="000B3872"/>
    <w:p w14:paraId="1C1B827D" w14:textId="0ED29FB3" w:rsidR="00DD7123" w:rsidRPr="001B5A8F" w:rsidRDefault="2BF5CE31" w:rsidP="000B3872">
      <w:pPr>
        <w:pStyle w:val="numberpara"/>
      </w:pPr>
      <w:r w:rsidRPr="001B5A8F">
        <w:t>Broadening c</w:t>
      </w:r>
      <w:r w:rsidR="44CD2850" w:rsidRPr="001B5A8F">
        <w:t>apacity</w:t>
      </w:r>
      <w:r w:rsidR="00FD5334" w:rsidRPr="001B5A8F">
        <w:t>-building and consultation</w:t>
      </w:r>
      <w:r w:rsidR="00671418" w:rsidRPr="001B5A8F">
        <w:t xml:space="preserve"> with our sector partners and stakeholders</w:t>
      </w:r>
      <w:r w:rsidR="00630C31" w:rsidRPr="001B5A8F">
        <w:t>. This includes:</w:t>
      </w:r>
    </w:p>
    <w:p w14:paraId="700C0370" w14:textId="7D2F70D1" w:rsidR="00CF5744" w:rsidRPr="001B5A8F" w:rsidRDefault="00A66ECC" w:rsidP="00CF5744">
      <w:pPr>
        <w:pStyle w:val="bullettedlist"/>
      </w:pPr>
      <w:r w:rsidRPr="001B5A8F">
        <w:t>e</w:t>
      </w:r>
      <w:r w:rsidR="48F11779" w:rsidRPr="001B5A8F">
        <w:t xml:space="preserve">xpansion of </w:t>
      </w:r>
      <w:r w:rsidR="00886B3E" w:rsidRPr="001B5A8F" w:rsidDel="4F4572AC">
        <w:rPr>
          <w:b/>
        </w:rPr>
        <w:t>p</w:t>
      </w:r>
      <w:r w:rsidR="10EF523C" w:rsidRPr="001B5A8F">
        <w:rPr>
          <w:b/>
        </w:rPr>
        <w:t>rojects of national significance</w:t>
      </w:r>
      <w:r w:rsidR="10EF523C" w:rsidRPr="001B5A8F">
        <w:t xml:space="preserve"> </w:t>
      </w:r>
      <w:r w:rsidR="4D188DED" w:rsidRPr="001B5A8F">
        <w:t xml:space="preserve">to address systemic barriers </w:t>
      </w:r>
      <w:r w:rsidR="10EF523C" w:rsidRPr="001B5A8F">
        <w:t xml:space="preserve">such as </w:t>
      </w:r>
      <w:hyperlink r:id="rId24">
        <w:r w:rsidR="10EF523C" w:rsidRPr="001B5A8F">
          <w:rPr>
            <w:rStyle w:val="Hyperlink"/>
          </w:rPr>
          <w:t>Universal Design for Learning</w:t>
        </w:r>
      </w:hyperlink>
      <w:r w:rsidR="10EF523C" w:rsidRPr="001B5A8F">
        <w:t xml:space="preserve"> eLearning, resources, </w:t>
      </w:r>
      <w:r w:rsidR="4F4572AC" w:rsidRPr="001B5A8F">
        <w:t xml:space="preserve">and </w:t>
      </w:r>
      <w:r w:rsidR="10EF523C" w:rsidRPr="001B5A8F">
        <w:t>community of practice</w:t>
      </w:r>
      <w:r w:rsidR="5BD6BC69" w:rsidRPr="001B5A8F">
        <w:t xml:space="preserve">; </w:t>
      </w:r>
      <w:hyperlink r:id="rId25">
        <w:r w:rsidR="5BD6BC69" w:rsidRPr="001B5A8F">
          <w:rPr>
            <w:rStyle w:val="Hyperlink"/>
          </w:rPr>
          <w:t>Accessible ICT Procurement</w:t>
        </w:r>
      </w:hyperlink>
      <w:r w:rsidR="5BD6BC69" w:rsidRPr="001B5A8F">
        <w:t xml:space="preserve"> </w:t>
      </w:r>
      <w:r w:rsidR="009D1F29" w:rsidRPr="001B5A8F">
        <w:t xml:space="preserve">with the Council of University Directors of IT (CAUDIT); </w:t>
      </w:r>
      <w:r w:rsidR="448F72BE" w:rsidRPr="001B5A8F">
        <w:rPr>
          <w:rFonts w:ascii="Open Sans" w:eastAsia="Open Sans" w:hAnsi="Open Sans" w:cs="Open Sans"/>
          <w:color w:val="373737"/>
        </w:rPr>
        <w:t>Supporting Blind and Vision Impaired Students Online</w:t>
      </w:r>
      <w:r w:rsidR="448F72BE" w:rsidRPr="001B5A8F">
        <w:t xml:space="preserve"> eLearning</w:t>
      </w:r>
      <w:r w:rsidR="5AEA176E" w:rsidRPr="001B5A8F">
        <w:t xml:space="preserve"> with Vision Australia and Blind Citizens Australia</w:t>
      </w:r>
      <w:r w:rsidR="448F72BE" w:rsidRPr="001B5A8F">
        <w:t xml:space="preserve">; </w:t>
      </w:r>
      <w:r w:rsidR="009D1F29" w:rsidRPr="001B5A8F">
        <w:t xml:space="preserve">eLearning programs for VET providers; Career  Development </w:t>
      </w:r>
      <w:r w:rsidR="6C4D7015" w:rsidRPr="001B5A8F">
        <w:t xml:space="preserve">Learning </w:t>
      </w:r>
      <w:r w:rsidR="009D1F29" w:rsidRPr="001B5A8F">
        <w:t>Hub with the National Careers Institute</w:t>
      </w:r>
    </w:p>
    <w:p w14:paraId="20C10826" w14:textId="7939F8B4" w:rsidR="006207DF" w:rsidRPr="001B5A8F" w:rsidRDefault="00FA364A" w:rsidP="00CF5744">
      <w:pPr>
        <w:pStyle w:val="bullettedlist"/>
      </w:pPr>
      <w:r w:rsidRPr="001B5A8F">
        <w:t>e</w:t>
      </w:r>
      <w:r w:rsidR="5F3F593A" w:rsidRPr="001B5A8F">
        <w:t>nhancing</w:t>
      </w:r>
      <w:r w:rsidR="653D68F2" w:rsidRPr="001B5A8F">
        <w:t xml:space="preserve"> the </w:t>
      </w:r>
      <w:r w:rsidR="00886B3E" w:rsidRPr="001B5A8F">
        <w:rPr>
          <w:b/>
          <w:bCs/>
        </w:rPr>
        <w:t>p</w:t>
      </w:r>
      <w:r w:rsidR="00CF5744" w:rsidRPr="001B5A8F">
        <w:rPr>
          <w:b/>
          <w:bCs/>
        </w:rPr>
        <w:t>rovi</w:t>
      </w:r>
      <w:r w:rsidR="00886B3E" w:rsidRPr="001B5A8F">
        <w:rPr>
          <w:b/>
          <w:bCs/>
        </w:rPr>
        <w:t>sion of</w:t>
      </w:r>
      <w:r w:rsidR="00CF5744" w:rsidRPr="001B5A8F">
        <w:rPr>
          <w:b/>
          <w:bCs/>
        </w:rPr>
        <w:t xml:space="preserve"> </w:t>
      </w:r>
      <w:r w:rsidR="206B22B5" w:rsidRPr="001B5A8F">
        <w:rPr>
          <w:b/>
          <w:bCs/>
        </w:rPr>
        <w:t xml:space="preserve">our </w:t>
      </w:r>
      <w:hyperlink r:id="rId26">
        <w:r w:rsidR="287C719E" w:rsidRPr="001B5A8F">
          <w:rPr>
            <w:rStyle w:val="Hyperlink"/>
          </w:rPr>
          <w:t>Disability</w:t>
        </w:r>
        <w:r w:rsidR="69E48265" w:rsidRPr="001B5A8F">
          <w:rPr>
            <w:rStyle w:val="Hyperlink"/>
          </w:rPr>
          <w:t xml:space="preserve"> Awareness eLearning</w:t>
        </w:r>
      </w:hyperlink>
      <w:r w:rsidR="69E48265" w:rsidRPr="001B5A8F">
        <w:t xml:space="preserve"> programs </w:t>
      </w:r>
      <w:r w:rsidR="50059F84" w:rsidRPr="001B5A8F">
        <w:t>to include a specific</w:t>
      </w:r>
      <w:r w:rsidR="69E48265" w:rsidRPr="001B5A8F">
        <w:t xml:space="preserve"> training</w:t>
      </w:r>
      <w:r w:rsidR="375DBD57" w:rsidRPr="001B5A8F">
        <w:t xml:space="preserve"> package</w:t>
      </w:r>
      <w:r w:rsidR="23F32685" w:rsidRPr="001B5A8F">
        <w:t xml:space="preserve"> for the Higher Education sector</w:t>
      </w:r>
      <w:r w:rsidR="3E53E6C5" w:rsidRPr="001B5A8F">
        <w:t>.</w:t>
      </w:r>
      <w:r w:rsidR="00FE3D3B" w:rsidRPr="001B5A8F">
        <w:t xml:space="preserve"> </w:t>
      </w:r>
      <w:r w:rsidR="00EF0ECC" w:rsidRPr="001B5A8F">
        <w:t>There are over 30,000 enrolments to date</w:t>
      </w:r>
      <w:r w:rsidR="2E922B5E" w:rsidRPr="001B5A8F">
        <w:t xml:space="preserve"> </w:t>
      </w:r>
      <w:r w:rsidR="009977A5">
        <w:t xml:space="preserve">for </w:t>
      </w:r>
      <w:r w:rsidR="2E922B5E" w:rsidRPr="001B5A8F">
        <w:t xml:space="preserve">our </w:t>
      </w:r>
      <w:r w:rsidR="00B835EB" w:rsidRPr="00B835EB">
        <w:rPr>
          <w:i/>
          <w:iCs/>
        </w:rPr>
        <w:t>I</w:t>
      </w:r>
      <w:r w:rsidR="2E922B5E" w:rsidRPr="00B835EB">
        <w:rPr>
          <w:i/>
          <w:iCs/>
        </w:rPr>
        <w:t xml:space="preserve">ntroduction to </w:t>
      </w:r>
      <w:r w:rsidR="00B835EB" w:rsidRPr="00B835EB">
        <w:rPr>
          <w:i/>
          <w:iCs/>
        </w:rPr>
        <w:t>D</w:t>
      </w:r>
      <w:r w:rsidR="2E922B5E" w:rsidRPr="00B835EB">
        <w:rPr>
          <w:i/>
          <w:iCs/>
        </w:rPr>
        <w:t xml:space="preserve">isability </w:t>
      </w:r>
      <w:r w:rsidR="00B835EB" w:rsidRPr="00B835EB">
        <w:rPr>
          <w:i/>
          <w:iCs/>
        </w:rPr>
        <w:t>A</w:t>
      </w:r>
      <w:r w:rsidR="2E922B5E" w:rsidRPr="00B835EB">
        <w:rPr>
          <w:i/>
          <w:iCs/>
        </w:rPr>
        <w:t>wareness</w:t>
      </w:r>
      <w:r w:rsidR="2E922B5E" w:rsidRPr="001B5A8F">
        <w:t xml:space="preserve"> course</w:t>
      </w:r>
      <w:r w:rsidR="359BFA91" w:rsidRPr="001B5A8F">
        <w:t>.</w:t>
      </w:r>
      <w:r w:rsidR="003859EB" w:rsidRPr="001B5A8F">
        <w:t xml:space="preserve"> </w:t>
      </w:r>
      <w:r w:rsidR="00CE2A9F" w:rsidRPr="001B5A8F">
        <w:t>This kind of training has bee</w:t>
      </w:r>
      <w:r w:rsidR="00511433" w:rsidRPr="001B5A8F">
        <w:t>n recommend</w:t>
      </w:r>
      <w:r w:rsidR="001E727B" w:rsidRPr="001B5A8F">
        <w:t xml:space="preserve">ed by </w:t>
      </w:r>
      <w:r w:rsidR="00FC203E" w:rsidRPr="001B5A8F">
        <w:t xml:space="preserve">NCSEHE research </w:t>
      </w:r>
      <w:r w:rsidR="00D0038C" w:rsidRPr="001B5A8F">
        <w:t>(</w:t>
      </w:r>
      <w:r w:rsidR="00FC203E" w:rsidRPr="001B5A8F">
        <w:t>Pitman</w:t>
      </w:r>
      <w:r w:rsidR="00D0038C" w:rsidRPr="001B5A8F">
        <w:t>, 202</w:t>
      </w:r>
      <w:r w:rsidR="00407C08" w:rsidRPr="001B5A8F">
        <w:t>2</w:t>
      </w:r>
      <w:r w:rsidR="00BF4A4E" w:rsidRPr="001B5A8F">
        <w:t>)</w:t>
      </w:r>
      <w:r w:rsidR="00FC203E" w:rsidRPr="001B5A8F">
        <w:t xml:space="preserve"> as something all universities should adopt as mandatory. </w:t>
      </w:r>
      <w:r w:rsidR="001536A7" w:rsidRPr="001B5A8F">
        <w:t xml:space="preserve">Under the DDA and the DSE </w:t>
      </w:r>
      <w:r w:rsidR="002463E0" w:rsidRPr="001B5A8F">
        <w:t xml:space="preserve">there are </w:t>
      </w:r>
      <w:r w:rsidR="001536A7" w:rsidRPr="001B5A8F">
        <w:t>positive obligations to</w:t>
      </w:r>
      <w:r w:rsidR="002463E0" w:rsidRPr="001B5A8F">
        <w:t xml:space="preserve"> </w:t>
      </w:r>
      <w:r w:rsidR="001536A7" w:rsidRPr="001B5A8F">
        <w:t>support</w:t>
      </w:r>
      <w:r w:rsidR="002463E0" w:rsidRPr="001B5A8F">
        <w:t>ing</w:t>
      </w:r>
      <w:r w:rsidR="001536A7" w:rsidRPr="001B5A8F">
        <w:t xml:space="preserve"> people with </w:t>
      </w:r>
      <w:r w:rsidR="003859EB" w:rsidRPr="001B5A8F">
        <w:t>disability</w:t>
      </w:r>
      <w:r w:rsidR="001E1ADC" w:rsidRPr="001B5A8F">
        <w:t xml:space="preserve"> which are not consistently applied </w:t>
      </w:r>
      <w:r w:rsidR="00D82302" w:rsidRPr="001B5A8F">
        <w:t>through training and compliance across the sector</w:t>
      </w:r>
      <w:r w:rsidR="00D26655" w:rsidRPr="001B5A8F">
        <w:t xml:space="preserve">. </w:t>
      </w:r>
    </w:p>
    <w:p w14:paraId="493F1D15" w14:textId="20B14872" w:rsidR="001054D6" w:rsidRPr="001B5A8F" w:rsidRDefault="00FA364A" w:rsidP="00E348E8">
      <w:pPr>
        <w:pStyle w:val="bullettedlist"/>
      </w:pPr>
      <w:r w:rsidRPr="00125EE9">
        <w:rPr>
          <w:b/>
          <w:bCs/>
        </w:rPr>
        <w:t>e</w:t>
      </w:r>
      <w:r w:rsidR="6527D105" w:rsidRPr="00125EE9">
        <w:rPr>
          <w:b/>
          <w:bCs/>
        </w:rPr>
        <w:t>ngaging</w:t>
      </w:r>
      <w:r w:rsidR="004665FD" w:rsidRPr="001B5A8F">
        <w:t xml:space="preserve"> </w:t>
      </w:r>
      <w:r w:rsidR="00B453F2" w:rsidRPr="001B5A8F">
        <w:rPr>
          <w:b/>
          <w:bCs/>
        </w:rPr>
        <w:t>and collaborat</w:t>
      </w:r>
      <w:r w:rsidR="57C70F1A" w:rsidRPr="001B5A8F">
        <w:rPr>
          <w:b/>
          <w:bCs/>
        </w:rPr>
        <w:t>ing</w:t>
      </w:r>
      <w:r w:rsidR="00B453F2" w:rsidRPr="001B5A8F">
        <w:t xml:space="preserve"> </w:t>
      </w:r>
      <w:r w:rsidR="006132FC" w:rsidRPr="001B5A8F">
        <w:t xml:space="preserve">with the sector through fortnightly webinars, </w:t>
      </w:r>
      <w:r w:rsidR="00584CC4" w:rsidRPr="001B5A8F">
        <w:t xml:space="preserve">email list, communities of practice, </w:t>
      </w:r>
      <w:r w:rsidR="00FD59E2" w:rsidRPr="001B5A8F">
        <w:t xml:space="preserve">and </w:t>
      </w:r>
      <w:r w:rsidR="00584CC4" w:rsidRPr="001B5A8F">
        <w:t>online resources</w:t>
      </w:r>
      <w:r w:rsidR="00671418" w:rsidRPr="001B5A8F">
        <w:t>. ADCET’s 20 years of sector engagement means we already have significant and established networks and collaborations with both the higher education and VET sectors.</w:t>
      </w:r>
      <w:r w:rsidR="00584CC4" w:rsidRPr="001B5A8F">
        <w:t xml:space="preserve"> </w:t>
      </w:r>
    </w:p>
    <w:p w14:paraId="12FFD6AC" w14:textId="77777777" w:rsidR="00FE24D4" w:rsidRPr="001B5A8F" w:rsidRDefault="00FE24D4" w:rsidP="00FE24D4"/>
    <w:p w14:paraId="45792557" w14:textId="699A21AB" w:rsidR="00FE24D4" w:rsidRPr="00DA3AC9" w:rsidRDefault="000213AD" w:rsidP="00FE24D4">
      <w:pPr>
        <w:pStyle w:val="numberpara"/>
        <w:rPr>
          <w:rStyle w:val="eop"/>
          <w:rFonts w:cs="Arial"/>
        </w:rPr>
      </w:pPr>
      <w:r w:rsidRPr="001B5A8F">
        <w:t>Providing a centrali</w:t>
      </w:r>
      <w:r w:rsidR="00046B49" w:rsidRPr="001B5A8F">
        <w:t>s</w:t>
      </w:r>
      <w:r w:rsidRPr="001B5A8F">
        <w:t>ed centre for disability inclusion for the tertiary education sector that would drive change</w:t>
      </w:r>
      <w:r w:rsidR="00FE24D4" w:rsidRPr="001B5A8F">
        <w:t xml:space="preserve"> based on </w:t>
      </w:r>
      <w:bookmarkStart w:id="14" w:name="_Toc130309388"/>
      <w:r w:rsidR="00FE24D4" w:rsidRPr="001B5A8F">
        <w:rPr>
          <w:rStyle w:val="eop"/>
          <w:rFonts w:cs="Arial"/>
        </w:rPr>
        <w:t>four strategic pillars that guide our work:</w:t>
      </w:r>
    </w:p>
    <w:p w14:paraId="539A4FA6" w14:textId="21FA494E" w:rsidR="00FE24D4" w:rsidRPr="001B5A8F" w:rsidRDefault="00FA364A" w:rsidP="00FE24D4">
      <w:pPr>
        <w:pStyle w:val="bullettedlist"/>
      </w:pPr>
      <w:r w:rsidRPr="001B5A8F">
        <w:rPr>
          <w:b/>
          <w:bCs/>
        </w:rPr>
        <w:t>p</w:t>
      </w:r>
      <w:r w:rsidR="00FE24D4" w:rsidRPr="001B5A8F">
        <w:rPr>
          <w:b/>
          <w:bCs/>
        </w:rPr>
        <w:t>olicy and advocacy:</w:t>
      </w:r>
      <w:r w:rsidR="00FE24D4" w:rsidRPr="001B5A8F">
        <w:rPr>
          <w:rStyle w:val="normaltextrun"/>
          <w:rFonts w:cs="Calibri"/>
        </w:rPr>
        <w:t xml:space="preserve"> To influence national policy to impact positively on the </w:t>
      </w:r>
      <w:r w:rsidR="00916091" w:rsidRPr="001B5A8F">
        <w:rPr>
          <w:rStyle w:val="normaltextrun"/>
          <w:rFonts w:cs="Calibri"/>
        </w:rPr>
        <w:t>inclusion of</w:t>
      </w:r>
      <w:r w:rsidR="00FE24D4" w:rsidRPr="001B5A8F">
        <w:rPr>
          <w:rStyle w:val="normaltextrun"/>
          <w:rFonts w:cs="Calibri"/>
        </w:rPr>
        <w:t xml:space="preserve"> people with disability within tertiary education environments.</w:t>
      </w:r>
      <w:r w:rsidR="00FE24D4" w:rsidRPr="001B5A8F">
        <w:rPr>
          <w:rStyle w:val="eop"/>
          <w:rFonts w:cs="Calibri"/>
        </w:rPr>
        <w:t> </w:t>
      </w:r>
    </w:p>
    <w:p w14:paraId="61EE735C" w14:textId="27E4FAB6" w:rsidR="00FE24D4" w:rsidRPr="001B5A8F" w:rsidRDefault="00FA364A" w:rsidP="00FE24D4">
      <w:pPr>
        <w:pStyle w:val="bullettedlist"/>
        <w:rPr>
          <w:rStyle w:val="eop"/>
          <w:rFonts w:cs="Calibri"/>
        </w:rPr>
      </w:pPr>
      <w:r w:rsidRPr="001B5A8F">
        <w:rPr>
          <w:b/>
          <w:bCs/>
        </w:rPr>
        <w:t>e</w:t>
      </w:r>
      <w:r w:rsidR="00FE24D4" w:rsidRPr="001B5A8F">
        <w:rPr>
          <w:b/>
          <w:bCs/>
        </w:rPr>
        <w:t>ngagement:</w:t>
      </w:r>
      <w:r w:rsidR="00FE24D4" w:rsidRPr="001B5A8F">
        <w:rPr>
          <w:rStyle w:val="normaltextrun"/>
          <w:rFonts w:cs="Calibri"/>
        </w:rPr>
        <w:t xml:space="preserve"> To promote inclusion and provide practical solutions in education and employment by building networks and collaboration with key strategic partners within tertiary education environments.</w:t>
      </w:r>
      <w:r w:rsidR="00FE24D4" w:rsidRPr="001B5A8F">
        <w:rPr>
          <w:rStyle w:val="eop"/>
          <w:rFonts w:cs="Calibri"/>
        </w:rPr>
        <w:t> </w:t>
      </w:r>
    </w:p>
    <w:p w14:paraId="13CC8B62" w14:textId="77777777" w:rsidR="00FE24D4" w:rsidRPr="001B5A8F" w:rsidRDefault="00FE24D4" w:rsidP="00FE24D4">
      <w:pPr>
        <w:pStyle w:val="bullettedlist"/>
        <w:rPr>
          <w:rStyle w:val="eop"/>
        </w:rPr>
      </w:pPr>
      <w:r w:rsidRPr="001B5A8F">
        <w:rPr>
          <w:b/>
          <w:bCs/>
        </w:rPr>
        <w:t>Universal Design:</w:t>
      </w:r>
      <w:r w:rsidRPr="001B5A8F">
        <w:rPr>
          <w:rStyle w:val="normaltextrun"/>
          <w:rFonts w:cs="Calibri"/>
        </w:rPr>
        <w:t xml:space="preserve"> To promote the principles of Universal Design (UD) by creating an understanding of, and practical solutions to, UD across the learning, physical and digital contexts within tertiary education environments.</w:t>
      </w:r>
      <w:r w:rsidRPr="001B5A8F">
        <w:rPr>
          <w:rStyle w:val="eop"/>
          <w:rFonts w:cs="Calibri"/>
        </w:rPr>
        <w:t> </w:t>
      </w:r>
    </w:p>
    <w:p w14:paraId="290BE4DA" w14:textId="275FE268" w:rsidR="00FE24D4" w:rsidRPr="001B5A8F" w:rsidRDefault="00FA364A" w:rsidP="00FE24D4">
      <w:pPr>
        <w:pStyle w:val="bullettedlist"/>
        <w:rPr>
          <w:rStyle w:val="eop"/>
          <w:rFonts w:cs="Calibri"/>
        </w:rPr>
      </w:pPr>
      <w:r w:rsidRPr="001B5A8F">
        <w:rPr>
          <w:b/>
          <w:bCs/>
        </w:rPr>
        <w:lastRenderedPageBreak/>
        <w:t>g</w:t>
      </w:r>
      <w:r w:rsidR="00FE24D4" w:rsidRPr="001B5A8F">
        <w:rPr>
          <w:b/>
          <w:bCs/>
        </w:rPr>
        <w:t>ood practice:</w:t>
      </w:r>
      <w:r w:rsidR="00FE24D4" w:rsidRPr="001B5A8F">
        <w:rPr>
          <w:rStyle w:val="normaltextrun"/>
          <w:rFonts w:cs="Calibri"/>
        </w:rPr>
        <w:t xml:space="preserve"> To promote good practice in disability inclusion by providing advice and practical solutions on emerging trends, research and practice within tertiary learning environments.</w:t>
      </w:r>
      <w:r w:rsidR="00FE24D4" w:rsidRPr="001B5A8F">
        <w:rPr>
          <w:rStyle w:val="eop"/>
          <w:rFonts w:cs="Calibri"/>
        </w:rPr>
        <w:t> </w:t>
      </w:r>
    </w:p>
    <w:p w14:paraId="22603B2D" w14:textId="77777777" w:rsidR="007553EE" w:rsidRPr="001B5A8F" w:rsidRDefault="007553EE" w:rsidP="00046B49"/>
    <w:p w14:paraId="612F4215" w14:textId="79D4879E" w:rsidR="00046B49" w:rsidRPr="001B5A8F" w:rsidRDefault="00C81013" w:rsidP="00046B49">
      <w:r w:rsidRPr="001B5A8F">
        <w:t xml:space="preserve">The proposal for </w:t>
      </w:r>
      <w:r w:rsidR="00FA364A" w:rsidRPr="001B5A8F">
        <w:t xml:space="preserve">an expanded </w:t>
      </w:r>
      <w:r w:rsidR="00886A86" w:rsidRPr="001B5A8F">
        <w:t>ADCET (</w:t>
      </w:r>
      <w:hyperlink w:anchor="_Appendix_1" w:history="1">
        <w:r w:rsidR="00886A86" w:rsidRPr="001B5A8F">
          <w:rPr>
            <w:rStyle w:val="Hyperlink"/>
            <w:b/>
            <w:bCs/>
          </w:rPr>
          <w:t xml:space="preserve">Appendix </w:t>
        </w:r>
        <w:r w:rsidRPr="001B5A8F">
          <w:rPr>
            <w:rStyle w:val="Hyperlink"/>
            <w:b/>
            <w:bCs/>
          </w:rPr>
          <w:t>1</w:t>
        </w:r>
        <w:r w:rsidR="00884927" w:rsidRPr="001B5A8F">
          <w:rPr>
            <w:rStyle w:val="Hyperlink"/>
            <w:b/>
            <w:bCs/>
          </w:rPr>
          <w:t>)</w:t>
        </w:r>
      </w:hyperlink>
      <w:r w:rsidR="00046B49" w:rsidRPr="001B5A8F">
        <w:t xml:space="preserve"> </w:t>
      </w:r>
      <w:r w:rsidR="00886A86" w:rsidRPr="001B5A8F">
        <w:t xml:space="preserve">would allow ADCET to </w:t>
      </w:r>
      <w:r w:rsidR="00C820D3" w:rsidRPr="001B5A8F">
        <w:t xml:space="preserve">provide a centralised and nationally coordinated approach to disability inclusion in the tertiary education sector. This includes directing funding from </w:t>
      </w:r>
      <w:r w:rsidR="00F87091" w:rsidRPr="001B5A8F">
        <w:t xml:space="preserve">the NDCO program </w:t>
      </w:r>
      <w:r w:rsidR="00B565E3" w:rsidRPr="001B5A8F">
        <w:t>to assist an e</w:t>
      </w:r>
      <w:r w:rsidR="00F03463" w:rsidRPr="001B5A8F">
        <w:t>xpanded ADCET</w:t>
      </w:r>
      <w:r w:rsidR="00CF2C57" w:rsidRPr="001B5A8F">
        <w:t xml:space="preserve"> </w:t>
      </w:r>
      <w:r w:rsidR="087F7832" w:rsidRPr="001B5A8F">
        <w:t xml:space="preserve">to </w:t>
      </w:r>
      <w:r w:rsidR="009074EE" w:rsidRPr="001B5A8F">
        <w:t xml:space="preserve">work as an </w:t>
      </w:r>
      <w:r w:rsidR="00046B49" w:rsidRPr="001B5A8F">
        <w:t xml:space="preserve">effective change agent </w:t>
      </w:r>
      <w:r w:rsidR="5AF40F8F" w:rsidRPr="001B5A8F">
        <w:t>for</w:t>
      </w:r>
      <w:r w:rsidR="00046B49" w:rsidRPr="001B5A8F">
        <w:t xml:space="preserve"> the sector</w:t>
      </w:r>
      <w:r w:rsidR="269F057C" w:rsidRPr="001B5A8F">
        <w:t>.</w:t>
      </w:r>
      <w:r w:rsidR="00046B49" w:rsidRPr="001B5A8F">
        <w:t xml:space="preserve"> The advantages to this approach would include:</w:t>
      </w:r>
    </w:p>
    <w:p w14:paraId="1C95ED2D" w14:textId="2E3DA231" w:rsidR="00046B49" w:rsidRPr="001B5A8F" w:rsidRDefault="003A6E62" w:rsidP="00046B49">
      <w:pPr>
        <w:pStyle w:val="bullettedlist"/>
      </w:pPr>
      <w:r w:rsidRPr="001B5A8F">
        <w:rPr>
          <w:b/>
          <w:bCs/>
        </w:rPr>
        <w:t>capitali</w:t>
      </w:r>
      <w:r w:rsidR="002C3966" w:rsidRPr="001B5A8F">
        <w:rPr>
          <w:b/>
          <w:bCs/>
        </w:rPr>
        <w:t>s</w:t>
      </w:r>
      <w:r w:rsidRPr="001B5A8F">
        <w:rPr>
          <w:b/>
          <w:bCs/>
        </w:rPr>
        <w:t>ing on ADCET’s existing position</w:t>
      </w:r>
      <w:r w:rsidRPr="001B5A8F">
        <w:t xml:space="preserve"> a</w:t>
      </w:r>
      <w:r w:rsidR="00DB7E15" w:rsidRPr="001B5A8F">
        <w:t xml:space="preserve">s Australian’s legislated supporting body within the </w:t>
      </w:r>
      <w:r w:rsidR="00046B49" w:rsidRPr="001B5A8F">
        <w:t xml:space="preserve">Higher Education Disability Support Program (HEDSP) within the </w:t>
      </w:r>
      <w:hyperlink r:id="rId27">
        <w:r w:rsidR="5BD2EC02" w:rsidRPr="001B5A8F">
          <w:rPr>
            <w:rStyle w:val="Hyperlink"/>
          </w:rPr>
          <w:t>Higher Education Support (Other Grants) Guidelines 2022</w:t>
        </w:r>
      </w:hyperlink>
      <w:r w:rsidR="00046B49" w:rsidRPr="001B5A8F">
        <w:t xml:space="preserve"> </w:t>
      </w:r>
      <w:r w:rsidR="002C3966" w:rsidRPr="001B5A8F">
        <w:t>(</w:t>
      </w:r>
      <w:r w:rsidR="00046B49" w:rsidRPr="001B5A8F">
        <w:t xml:space="preserve">Part 3, Division 2, 42) </w:t>
      </w:r>
    </w:p>
    <w:p w14:paraId="6D0701E2" w14:textId="12F052C2" w:rsidR="00046B49" w:rsidRPr="001B5A8F" w:rsidRDefault="0079025F" w:rsidP="00046B49">
      <w:pPr>
        <w:pStyle w:val="bullettedlist"/>
      </w:pPr>
      <w:r w:rsidRPr="001B5A8F">
        <w:rPr>
          <w:b/>
          <w:bCs/>
        </w:rPr>
        <w:t>c</w:t>
      </w:r>
      <w:r w:rsidR="1E03B531" w:rsidRPr="001B5A8F">
        <w:rPr>
          <w:b/>
          <w:bCs/>
        </w:rPr>
        <w:t>onsolidati</w:t>
      </w:r>
      <w:r w:rsidR="002C3966" w:rsidRPr="001B5A8F">
        <w:rPr>
          <w:b/>
          <w:bCs/>
        </w:rPr>
        <w:t xml:space="preserve">ng and enhancing </w:t>
      </w:r>
      <w:r w:rsidR="00046B49" w:rsidRPr="001B5A8F">
        <w:rPr>
          <w:b/>
          <w:bCs/>
        </w:rPr>
        <w:t>the 20 years of work</w:t>
      </w:r>
      <w:r w:rsidR="00046B49" w:rsidRPr="001B5A8F">
        <w:t xml:space="preserve"> ADCET has undertaken </w:t>
      </w:r>
      <w:r w:rsidR="2F5771BB" w:rsidRPr="001B5A8F">
        <w:t>to engage stakeholders</w:t>
      </w:r>
      <w:r w:rsidR="5BD2EC02" w:rsidRPr="001B5A8F">
        <w:t xml:space="preserve"> and driv</w:t>
      </w:r>
      <w:r w:rsidR="5B222F57" w:rsidRPr="001B5A8F">
        <w:t>e</w:t>
      </w:r>
      <w:r w:rsidR="00046B49" w:rsidRPr="001B5A8F">
        <w:t xml:space="preserve"> greater disability inclusion within the sector</w:t>
      </w:r>
    </w:p>
    <w:p w14:paraId="258ACBCD" w14:textId="7B2EDCD6" w:rsidR="00046B49" w:rsidRPr="001B5A8F" w:rsidRDefault="00BA38A7" w:rsidP="00046B49">
      <w:pPr>
        <w:pStyle w:val="bullettedlist"/>
      </w:pPr>
      <w:r w:rsidRPr="001B5A8F">
        <w:rPr>
          <w:b/>
          <w:bCs/>
        </w:rPr>
        <w:t xml:space="preserve">providing </w:t>
      </w:r>
      <w:r w:rsidR="005643A7" w:rsidRPr="001B5A8F">
        <w:rPr>
          <w:b/>
          <w:bCs/>
        </w:rPr>
        <w:t>e</w:t>
      </w:r>
      <w:r w:rsidR="00046B49" w:rsidRPr="001B5A8F">
        <w:rPr>
          <w:b/>
          <w:bCs/>
        </w:rPr>
        <w:t>fficient economies of scale</w:t>
      </w:r>
      <w:r w:rsidR="005643A7" w:rsidRPr="001B5A8F">
        <w:t>, consistent guidance and advice, quality resources backed by good practice and research and reduced duplication</w:t>
      </w:r>
      <w:r w:rsidR="00046B49" w:rsidRPr="001B5A8F">
        <w:t xml:space="preserve"> </w:t>
      </w:r>
      <w:r w:rsidR="005643A7" w:rsidRPr="001B5A8F">
        <w:t xml:space="preserve">are </w:t>
      </w:r>
      <w:r w:rsidR="00046B49" w:rsidRPr="001B5A8F">
        <w:t>supported by a centralised and national approach collaborating across the sector</w:t>
      </w:r>
    </w:p>
    <w:p w14:paraId="722B37B2" w14:textId="064B9887" w:rsidR="001F7DE7" w:rsidRPr="001B5A8F" w:rsidRDefault="001F7DE7" w:rsidP="00046B49">
      <w:pPr>
        <w:pStyle w:val="bullettedlist"/>
      </w:pPr>
      <w:r w:rsidRPr="001B5A8F">
        <w:rPr>
          <w:b/>
          <w:bCs/>
        </w:rPr>
        <w:t>supporting professionalisation</w:t>
      </w:r>
      <w:r w:rsidRPr="001B5A8F">
        <w:t xml:space="preserve"> of disability practitioners and educators </w:t>
      </w:r>
      <w:r w:rsidR="00627FB8" w:rsidRPr="001B5A8F">
        <w:t>through professional development opportunities</w:t>
      </w:r>
    </w:p>
    <w:p w14:paraId="49ADCDAC" w14:textId="64BE58EC" w:rsidR="00BA38A7" w:rsidRPr="001B5A8F" w:rsidRDefault="0083066A" w:rsidP="00046B49">
      <w:pPr>
        <w:pStyle w:val="bullettedlist"/>
      </w:pPr>
      <w:r w:rsidRPr="001B5A8F">
        <w:rPr>
          <w:b/>
          <w:bCs/>
        </w:rPr>
        <w:t xml:space="preserve">responding to </w:t>
      </w:r>
      <w:r w:rsidR="0039536D" w:rsidRPr="001B5A8F">
        <w:rPr>
          <w:b/>
          <w:bCs/>
        </w:rPr>
        <w:t>sector needs and changes</w:t>
      </w:r>
      <w:r w:rsidR="0039536D" w:rsidRPr="001B5A8F">
        <w:t xml:space="preserve"> through sector-led, </w:t>
      </w:r>
      <w:r w:rsidR="000E7920" w:rsidRPr="001B5A8F">
        <w:t xml:space="preserve">evidence-based and practice-based initiatives e.g., </w:t>
      </w:r>
      <w:r w:rsidR="00AB7B1C" w:rsidRPr="001B5A8F">
        <w:t>responses to COVID-19</w:t>
      </w:r>
      <w:r w:rsidR="00884927" w:rsidRPr="001B5A8F">
        <w:t>;</w:t>
      </w:r>
      <w:r w:rsidR="00AB7B1C" w:rsidRPr="001B5A8F">
        <w:t xml:space="preserve"> online learning</w:t>
      </w:r>
      <w:r w:rsidR="00884927" w:rsidRPr="001B5A8F">
        <w:t>;</w:t>
      </w:r>
      <w:r w:rsidR="00AB7B1C" w:rsidRPr="001B5A8F">
        <w:t xml:space="preserve"> rapid changes in assistive technologies</w:t>
      </w:r>
      <w:r w:rsidR="00884927" w:rsidRPr="001B5A8F">
        <w:t>;</w:t>
      </w:r>
      <w:r w:rsidR="00AB7B1C" w:rsidRPr="001B5A8F">
        <w:t xml:space="preserve"> and the needs of particular disability types such as mental health, blind and vision-impaired students, </w:t>
      </w:r>
      <w:r w:rsidR="00884927" w:rsidRPr="001B5A8F">
        <w:t>and neurodiversity</w:t>
      </w:r>
    </w:p>
    <w:p w14:paraId="4597E7E7" w14:textId="576084F9" w:rsidR="00046B49" w:rsidRPr="001B5A8F" w:rsidRDefault="005643A7" w:rsidP="00046B49">
      <w:pPr>
        <w:pStyle w:val="bullettedlist"/>
      </w:pPr>
      <w:r w:rsidRPr="001B5A8F">
        <w:rPr>
          <w:b/>
          <w:bCs/>
        </w:rPr>
        <w:t>addressing disparities in allocation of funds</w:t>
      </w:r>
      <w:r w:rsidRPr="001B5A8F">
        <w:t xml:space="preserve"> to universities by having a centralised function on strategic and whole-of-sector or whole of institution issues such as Universal Design for Learning, accessible ICT procurement, disability training, building standards, inclusive language and reasonable adjustments</w:t>
      </w:r>
      <w:r w:rsidR="007553EE" w:rsidRPr="001B5A8F">
        <w:t>.</w:t>
      </w:r>
    </w:p>
    <w:p w14:paraId="3950AB3E" w14:textId="77777777" w:rsidR="007553EE" w:rsidRPr="001B5A8F" w:rsidRDefault="007553EE">
      <w:pPr>
        <w:rPr>
          <w:rFonts w:ascii="Lato" w:hAnsi="Lato"/>
          <w:color w:val="222222"/>
          <w:spacing w:val="5"/>
        </w:rPr>
      </w:pPr>
    </w:p>
    <w:bookmarkEnd w:id="14"/>
    <w:p w14:paraId="483CD98A" w14:textId="61532EC7" w:rsidR="007553EE" w:rsidRPr="001B5A8F" w:rsidRDefault="00452EB9" w:rsidP="00DB57DA">
      <w:pPr>
        <w:pStyle w:val="Recommendation"/>
      </w:pPr>
      <w:r w:rsidRPr="001B5A8F">
        <w:t>Recommendation 1</w:t>
      </w:r>
    </w:p>
    <w:p w14:paraId="501D8064" w14:textId="10493BCC" w:rsidR="009E5D36" w:rsidRPr="001B5A8F" w:rsidRDefault="00CB766E" w:rsidP="00D8529A">
      <w:pPr>
        <w:pStyle w:val="Recommendation"/>
        <w:rPr>
          <w:b w:val="0"/>
          <w:bCs/>
          <w:i w:val="0"/>
          <w:iCs/>
        </w:rPr>
      </w:pPr>
      <w:r>
        <w:rPr>
          <w:b w:val="0"/>
          <w:bCs/>
          <w:i w:val="0"/>
          <w:iCs/>
        </w:rPr>
        <w:t>Continue to p</w:t>
      </w:r>
      <w:r w:rsidRPr="001B5A8F">
        <w:rPr>
          <w:b w:val="0"/>
          <w:bCs/>
          <w:i w:val="0"/>
          <w:iCs/>
        </w:rPr>
        <w:t>rovide adequate funding to ADCET, provided on 3-year cycles, to continue its remit to support disability inclusion in the tertiary sector.</w:t>
      </w:r>
      <w:r>
        <w:rPr>
          <w:b w:val="0"/>
          <w:bCs/>
          <w:i w:val="0"/>
          <w:iCs/>
        </w:rPr>
        <w:t xml:space="preserve"> This support will enable ADCET to </w:t>
      </w:r>
      <w:r w:rsidRPr="001B5A8F">
        <w:rPr>
          <w:b w:val="0"/>
          <w:bCs/>
          <w:i w:val="0"/>
          <w:iCs/>
        </w:rPr>
        <w:t>continue to develop and deliver projects of national significance to the tertiary education sector to foster greater disability inclusion under its four strategic pillars: policy and advocacy, engagement, Universal Design and good practice.</w:t>
      </w:r>
      <w:r w:rsidRPr="003A2BB6">
        <w:rPr>
          <w:b w:val="0"/>
          <w:bCs/>
          <w:i w:val="0"/>
          <w:iCs/>
        </w:rPr>
        <w:t xml:space="preserve"> </w:t>
      </w:r>
    </w:p>
    <w:p w14:paraId="1FA20F18" w14:textId="77777777" w:rsidR="00F1255E" w:rsidRDefault="00F1255E">
      <w:pPr>
        <w:rPr>
          <w:b/>
          <w:bCs/>
          <w:color w:val="2F5496" w:themeColor="accent1" w:themeShade="BF"/>
          <w:kern w:val="36"/>
          <w:sz w:val="36"/>
          <w:szCs w:val="48"/>
        </w:rPr>
      </w:pPr>
      <w:bookmarkStart w:id="15" w:name="_Toc132100484"/>
      <w:r>
        <w:br w:type="page"/>
      </w:r>
    </w:p>
    <w:p w14:paraId="21636A0C" w14:textId="29C5AD9C" w:rsidR="00731438" w:rsidRPr="001B5A8F" w:rsidRDefault="007553EE" w:rsidP="007553EE">
      <w:pPr>
        <w:pStyle w:val="Heading1"/>
      </w:pPr>
      <w:bookmarkStart w:id="16" w:name="_Toc132125064"/>
      <w:bookmarkStart w:id="17" w:name="_Toc132139887"/>
      <w:bookmarkStart w:id="18" w:name="_Toc132139947"/>
      <w:r w:rsidRPr="001B5A8F">
        <w:lastRenderedPageBreak/>
        <w:t>Part 2:</w:t>
      </w:r>
      <w:bookmarkStart w:id="19" w:name="_Structure_and_governance/future"/>
      <w:bookmarkStart w:id="20" w:name="_Toc130309389"/>
      <w:bookmarkEnd w:id="19"/>
      <w:r w:rsidRPr="001B5A8F">
        <w:t xml:space="preserve"> </w:t>
      </w:r>
      <w:r w:rsidR="00731438" w:rsidRPr="001B5A8F">
        <w:t>Structur</w:t>
      </w:r>
      <w:r w:rsidRPr="001B5A8F">
        <w:t>al reform</w:t>
      </w:r>
      <w:bookmarkEnd w:id="15"/>
      <w:bookmarkEnd w:id="16"/>
      <w:bookmarkEnd w:id="17"/>
      <w:bookmarkEnd w:id="18"/>
      <w:bookmarkEnd w:id="20"/>
      <w:r w:rsidR="00E90D3A" w:rsidRPr="001B5A8F">
        <w:t xml:space="preserve"> </w:t>
      </w:r>
    </w:p>
    <w:p w14:paraId="5A1F9E6B" w14:textId="4A6635DC" w:rsidR="001120B2" w:rsidRPr="001B5A8F" w:rsidRDefault="00166C36" w:rsidP="00166C36">
      <w:r w:rsidRPr="001B5A8F">
        <w:t xml:space="preserve">ADCET welcomes the Universities Accord as </w:t>
      </w:r>
      <w:r w:rsidR="008F6F30" w:rsidRPr="001B5A8F">
        <w:t xml:space="preserve">a long-needed opportunity to rethink the current higher education system. </w:t>
      </w:r>
      <w:r w:rsidR="00D50999" w:rsidRPr="001B5A8F">
        <w:t xml:space="preserve">Support for </w:t>
      </w:r>
      <w:r w:rsidR="007E76CC" w:rsidRPr="001B5A8F">
        <w:t>people</w:t>
      </w:r>
      <w:r w:rsidR="00D50999" w:rsidRPr="001B5A8F">
        <w:t xml:space="preserve"> with disability</w:t>
      </w:r>
      <w:r w:rsidR="007E76CC" w:rsidRPr="001B5A8F">
        <w:t xml:space="preserve"> in tertiary education</w:t>
      </w:r>
      <w:r w:rsidR="00D50999" w:rsidRPr="001B5A8F">
        <w:t xml:space="preserve"> ha</w:t>
      </w:r>
      <w:r w:rsidR="00495AD7" w:rsidRPr="001B5A8F">
        <w:t>s</w:t>
      </w:r>
      <w:r w:rsidR="00D50999" w:rsidRPr="001B5A8F">
        <w:t xml:space="preserve"> been largely overlooked</w:t>
      </w:r>
      <w:r w:rsidR="009D48DF" w:rsidRPr="001B5A8F">
        <w:t xml:space="preserve"> in terms of appropriate </w:t>
      </w:r>
      <w:r w:rsidR="00CE271F" w:rsidRPr="001B5A8F">
        <w:t xml:space="preserve">strategy, policy and </w:t>
      </w:r>
      <w:r w:rsidR="009D48DF" w:rsidRPr="001B5A8F">
        <w:t>funding</w:t>
      </w:r>
      <w:r w:rsidR="00CE271F" w:rsidRPr="001B5A8F">
        <w:t xml:space="preserve"> settings which properly support </w:t>
      </w:r>
      <w:r w:rsidR="001120B2" w:rsidRPr="001B5A8F">
        <w:t>access participation</w:t>
      </w:r>
      <w:r w:rsidR="000514F6" w:rsidRPr="001B5A8F">
        <w:t>,</w:t>
      </w:r>
      <w:r w:rsidR="001120B2" w:rsidRPr="001B5A8F">
        <w:t xml:space="preserve"> retention and success.</w:t>
      </w:r>
      <w:r w:rsidR="0037768B">
        <w:t xml:space="preserve"> </w:t>
      </w:r>
      <w:hyperlink w:anchor="_Appendix_2" w:history="1">
        <w:r w:rsidR="0037768B" w:rsidRPr="00371F07">
          <w:rPr>
            <w:rStyle w:val="Hyperlink"/>
          </w:rPr>
          <w:t>Appendix 2</w:t>
        </w:r>
      </w:hyperlink>
      <w:r w:rsidR="0037768B">
        <w:t xml:space="preserve"> outlines some key statistics in relation to people with disability that illustrate </w:t>
      </w:r>
      <w:r w:rsidR="00371F07">
        <w:t>why targeted structural reform is needed to support this cohort.</w:t>
      </w:r>
    </w:p>
    <w:p w14:paraId="7E95171E" w14:textId="77777777" w:rsidR="007E76CC" w:rsidRPr="001B5A8F" w:rsidRDefault="007E76CC" w:rsidP="00166C36"/>
    <w:p w14:paraId="08DD8C86" w14:textId="77777777" w:rsidR="00BF44CF" w:rsidRDefault="007E76CC" w:rsidP="007A2060">
      <w:r w:rsidRPr="001B5A8F">
        <w:t>This is despite people with disability being the only equity group specifically protected by legislation through the Disability Standards for Education which aims to ensure that people with disability are treated on the same basis as other students</w:t>
      </w:r>
      <w:r w:rsidR="00EC2F8F" w:rsidRPr="001B5A8F">
        <w:t xml:space="preserve"> in order to realise their full potential in education and employment.</w:t>
      </w:r>
      <w:r w:rsidR="004939C7" w:rsidRPr="001B5A8F">
        <w:t xml:space="preserve"> </w:t>
      </w:r>
    </w:p>
    <w:p w14:paraId="4E33E19E" w14:textId="77777777" w:rsidR="00BF44CF" w:rsidRDefault="00BF44CF" w:rsidP="007A2060"/>
    <w:p w14:paraId="4D2CA723" w14:textId="5B483466" w:rsidR="00220FA3" w:rsidRPr="001B5A8F" w:rsidRDefault="004939C7" w:rsidP="00166C36">
      <w:r w:rsidRPr="00BF44CF">
        <w:t>While out of scope for the Universities Accord</w:t>
      </w:r>
      <w:r w:rsidR="00530579" w:rsidRPr="00BF44CF">
        <w:t xml:space="preserve">’s Terms of Reference a powerful recommendation of the Panel would be to review the </w:t>
      </w:r>
      <w:r w:rsidR="00530579" w:rsidRPr="00CF140D">
        <w:rPr>
          <w:i/>
          <w:iCs/>
        </w:rPr>
        <w:t>Disability Discrimination Act</w:t>
      </w:r>
      <w:r w:rsidR="00530579" w:rsidRPr="00BF44CF">
        <w:t xml:space="preserve"> and the </w:t>
      </w:r>
      <w:r w:rsidR="00530579" w:rsidRPr="00CF140D">
        <w:rPr>
          <w:i/>
          <w:iCs/>
        </w:rPr>
        <w:t>Disability Standards for Education</w:t>
      </w:r>
      <w:r w:rsidR="00530579" w:rsidRPr="00BF44CF">
        <w:t xml:space="preserve"> in order to improve positive obli</w:t>
      </w:r>
      <w:r w:rsidR="00526226" w:rsidRPr="00BF44CF">
        <w:t xml:space="preserve">gations in relation to the legislation. </w:t>
      </w:r>
      <w:r w:rsidR="007A2060" w:rsidRPr="00BF44CF">
        <w:t xml:space="preserve">A </w:t>
      </w:r>
      <w:r w:rsidR="00220FA3" w:rsidRPr="00BF44CF">
        <w:t xml:space="preserve">public review of the Disability Discrimination Act </w:t>
      </w:r>
      <w:r w:rsidR="007A2060" w:rsidRPr="00BF44CF">
        <w:t>would</w:t>
      </w:r>
      <w:r w:rsidR="00220FA3" w:rsidRPr="00BF44CF">
        <w:t xml:space="preserve"> better align with </w:t>
      </w:r>
      <w:r w:rsidR="00BF44CF" w:rsidRPr="00BF44CF">
        <w:t>Australia’s</w:t>
      </w:r>
      <w:r w:rsidR="00220FA3" w:rsidRPr="00BF44CF">
        <w:t xml:space="preserve"> </w:t>
      </w:r>
      <w:r w:rsidR="00DF6726" w:rsidRPr="00BF44CF">
        <w:t xml:space="preserve">obligations </w:t>
      </w:r>
      <w:r w:rsidR="00DF6726">
        <w:t xml:space="preserve">to the </w:t>
      </w:r>
      <w:r w:rsidR="00220FA3" w:rsidRPr="00DF6726">
        <w:rPr>
          <w:i/>
          <w:iCs/>
        </w:rPr>
        <w:t>United Nations Convention on the Rights of Persons with Disabilities</w:t>
      </w:r>
      <w:r w:rsidR="00220FA3" w:rsidRPr="00BF44CF">
        <w:t xml:space="preserve"> in relation to access to general tertiary education and would be a very strong step toward better inclusion by default for people with disability </w:t>
      </w:r>
      <w:r w:rsidR="00BF44CF" w:rsidRPr="00BF44CF">
        <w:t>in tertiary education.</w:t>
      </w:r>
    </w:p>
    <w:p w14:paraId="206CC62E" w14:textId="77777777" w:rsidR="007E6489" w:rsidRPr="001B5A8F" w:rsidRDefault="007E6489" w:rsidP="002C0E51">
      <w:pPr>
        <w:pStyle w:val="Heading2"/>
      </w:pPr>
      <w:bookmarkStart w:id="21" w:name="_Toc132100485"/>
      <w:bookmarkStart w:id="22" w:name="_Toc132125065"/>
      <w:bookmarkStart w:id="23" w:name="_Toc132139888"/>
      <w:bookmarkStart w:id="24" w:name="_Toc132139948"/>
      <w:r w:rsidRPr="001B5A8F">
        <w:t>Key priorities for s</w:t>
      </w:r>
      <w:r w:rsidR="007E76CC" w:rsidRPr="001B5A8F">
        <w:t>tructural reform</w:t>
      </w:r>
      <w:bookmarkEnd w:id="21"/>
      <w:bookmarkEnd w:id="22"/>
      <w:bookmarkEnd w:id="23"/>
      <w:bookmarkEnd w:id="24"/>
      <w:r w:rsidR="007E76CC" w:rsidRPr="001B5A8F">
        <w:t xml:space="preserve"> </w:t>
      </w:r>
    </w:p>
    <w:p w14:paraId="32FDC012" w14:textId="425D65CA" w:rsidR="00EC2F8F" w:rsidRPr="001B5A8F" w:rsidRDefault="007E6489" w:rsidP="007E76CC">
      <w:r w:rsidRPr="001B5A8F">
        <w:t xml:space="preserve">Key priorities for structural reform </w:t>
      </w:r>
      <w:r w:rsidR="007E76CC" w:rsidRPr="001B5A8F">
        <w:t>which properly includes people with disability</w:t>
      </w:r>
      <w:r w:rsidR="00EC2F8F" w:rsidRPr="001B5A8F">
        <w:t xml:space="preserve"> must include:</w:t>
      </w:r>
    </w:p>
    <w:p w14:paraId="1E16DBC8" w14:textId="43F5FE68" w:rsidR="007E3BDD" w:rsidRPr="001B5A8F" w:rsidRDefault="007E3BDD" w:rsidP="007E3BDD">
      <w:pPr>
        <w:pStyle w:val="bullettedlist"/>
      </w:pPr>
      <w:r w:rsidRPr="001B5A8F">
        <w:rPr>
          <w:b/>
          <w:bCs/>
        </w:rPr>
        <w:t>a</w:t>
      </w:r>
      <w:r w:rsidRPr="001B5A8F">
        <w:t xml:space="preserve"> </w:t>
      </w:r>
      <w:r w:rsidRPr="001B5A8F">
        <w:rPr>
          <w:b/>
          <w:bCs/>
        </w:rPr>
        <w:t>National Strategy for Students with Disability in Tertiary Education</w:t>
      </w:r>
      <w:r w:rsidRPr="001B5A8F">
        <w:t xml:space="preserve"> as distinct from a broader student equity strategy</w:t>
      </w:r>
      <w:r w:rsidR="00E90D3A" w:rsidRPr="001B5A8F">
        <w:t xml:space="preserve"> or a broader national disability strategy</w:t>
      </w:r>
      <w:r w:rsidRPr="001B5A8F">
        <w:t>. This would recognise and intentionally plan for, and consider, the diversity within the students with disability cohort whilst still considering and addressing intersecting equity characteristics and the unique and cumulative impacts of educational disadvantage for students with disability</w:t>
      </w:r>
    </w:p>
    <w:p w14:paraId="3BCC7ABE" w14:textId="03C483EC" w:rsidR="00205374" w:rsidRPr="001B5A8F" w:rsidRDefault="00F10E0F" w:rsidP="007E3BDD">
      <w:pPr>
        <w:pStyle w:val="bullettedlist"/>
      </w:pPr>
      <w:r w:rsidRPr="001B5A8F">
        <w:rPr>
          <w:b/>
          <w:bCs/>
        </w:rPr>
        <w:t>a</w:t>
      </w:r>
      <w:r w:rsidR="00205374" w:rsidRPr="001B5A8F">
        <w:rPr>
          <w:b/>
          <w:bCs/>
        </w:rPr>
        <w:t xml:space="preserve"> requirement for </w:t>
      </w:r>
      <w:r w:rsidR="00D01E55" w:rsidRPr="001B5A8F">
        <w:rPr>
          <w:b/>
          <w:bCs/>
        </w:rPr>
        <w:t>universities</w:t>
      </w:r>
      <w:r w:rsidR="00205374" w:rsidRPr="001B5A8F">
        <w:rPr>
          <w:b/>
          <w:bCs/>
        </w:rPr>
        <w:t xml:space="preserve"> to have a</w:t>
      </w:r>
      <w:r w:rsidR="00205374" w:rsidRPr="001B5A8F">
        <w:t xml:space="preserve"> </w:t>
      </w:r>
      <w:r w:rsidR="00205374" w:rsidRPr="001B5A8F">
        <w:rPr>
          <w:b/>
          <w:bCs/>
        </w:rPr>
        <w:t>Disability Inclusion Action Plan</w:t>
      </w:r>
      <w:r w:rsidR="00205374" w:rsidRPr="001B5A8F">
        <w:t xml:space="preserve"> which encompasses </w:t>
      </w:r>
      <w:r w:rsidR="00A110EC" w:rsidRPr="001B5A8F">
        <w:t xml:space="preserve">a national strategy and intentionally addresses the physical, digital, </w:t>
      </w:r>
      <w:r w:rsidR="00613C96" w:rsidRPr="001B5A8F">
        <w:t>learning and cultural barriers to inclusion for people with disability</w:t>
      </w:r>
    </w:p>
    <w:p w14:paraId="6313F919" w14:textId="00F96C24" w:rsidR="008808B2" w:rsidRPr="004F0959" w:rsidRDefault="00F10E0F" w:rsidP="005912FB">
      <w:pPr>
        <w:pStyle w:val="bullettedlist"/>
      </w:pPr>
      <w:r w:rsidRPr="001B5A8F">
        <w:rPr>
          <w:b/>
          <w:bCs/>
        </w:rPr>
        <w:t>n</w:t>
      </w:r>
      <w:r w:rsidR="00633BAB" w:rsidRPr="001B5A8F">
        <w:rPr>
          <w:b/>
          <w:bCs/>
        </w:rPr>
        <w:t>ational targets which reflect community representation</w:t>
      </w:r>
      <w:r w:rsidR="005912FB" w:rsidRPr="001B5A8F">
        <w:rPr>
          <w:rStyle w:val="Heading4Char"/>
        </w:rPr>
        <w:t xml:space="preserve"> </w:t>
      </w:r>
      <w:r w:rsidR="005912FB" w:rsidRPr="001B5A8F">
        <w:t xml:space="preserve">The measure of </w:t>
      </w:r>
      <w:r w:rsidR="00EE147C" w:rsidRPr="001B5A8F">
        <w:t>bachelor’s</w:t>
      </w:r>
      <w:r w:rsidR="005912FB" w:rsidRPr="001B5A8F">
        <w:t xml:space="preserve"> degree attainment for people aged 25 to 34 </w:t>
      </w:r>
      <w:r w:rsidR="008A0DBC" w:rsidRPr="001B5A8F">
        <w:t xml:space="preserve">across OECD countries is </w:t>
      </w:r>
      <w:r w:rsidR="00244A47" w:rsidRPr="001B5A8F">
        <w:t>47.1</w:t>
      </w:r>
      <w:r w:rsidR="005912FB" w:rsidRPr="001B5A8F">
        <w:t>% in 2021</w:t>
      </w:r>
      <w:r w:rsidR="00A00005" w:rsidRPr="001B5A8F">
        <w:t xml:space="preserve"> and while Australia’s </w:t>
      </w:r>
      <w:r w:rsidR="002672DF" w:rsidRPr="001B5A8F">
        <w:t>percentage</w:t>
      </w:r>
      <w:r w:rsidR="00A00005" w:rsidRPr="001B5A8F">
        <w:t xml:space="preserve"> is </w:t>
      </w:r>
      <w:r w:rsidR="002672DF" w:rsidRPr="001B5A8F">
        <w:t>above</w:t>
      </w:r>
      <w:r w:rsidR="00A00005" w:rsidRPr="001B5A8F">
        <w:t xml:space="preserve"> this at 5</w:t>
      </w:r>
      <w:r w:rsidR="002672DF" w:rsidRPr="001B5A8F">
        <w:t>4.3%</w:t>
      </w:r>
      <w:r w:rsidR="005912FB" w:rsidRPr="001B5A8F">
        <w:t xml:space="preserve">, </w:t>
      </w:r>
      <w:r w:rsidR="002672DF" w:rsidRPr="001B5A8F">
        <w:t>we still lag behind similar countries including Canada (66.4%), the UK (</w:t>
      </w:r>
      <w:r w:rsidR="001F0474" w:rsidRPr="001B5A8F">
        <w:t>57.5%) and</w:t>
      </w:r>
      <w:r w:rsidR="005912FB" w:rsidRPr="001B5A8F">
        <w:t xml:space="preserve"> </w:t>
      </w:r>
      <w:r w:rsidR="001F0474" w:rsidRPr="001B5A8F">
        <w:t xml:space="preserve">the </w:t>
      </w:r>
      <w:r w:rsidR="005912FB" w:rsidRPr="001B5A8F">
        <w:t>Netherlands (54.3%)</w:t>
      </w:r>
      <w:r w:rsidR="00373507" w:rsidRPr="001B5A8F">
        <w:rPr>
          <w:rStyle w:val="FootnoteReference"/>
        </w:rPr>
        <w:footnoteReference w:id="4"/>
      </w:r>
      <w:r w:rsidR="001F0474" w:rsidRPr="001B5A8F">
        <w:t xml:space="preserve">. </w:t>
      </w:r>
      <w:r w:rsidR="00321CBF" w:rsidRPr="004F0959">
        <w:t xml:space="preserve">According to the OECD that even though the disability education gap has closed slightly, the share of people with disability with a low education </w:t>
      </w:r>
      <w:r w:rsidR="00C22642" w:rsidRPr="004F0959">
        <w:t xml:space="preserve">attainment </w:t>
      </w:r>
      <w:r w:rsidR="00321CBF" w:rsidRPr="004F0959">
        <w:t xml:space="preserve">remains higher than </w:t>
      </w:r>
      <w:r w:rsidR="00C22642" w:rsidRPr="004F0959">
        <w:t xml:space="preserve">those without </w:t>
      </w:r>
      <w:r w:rsidR="00321CBF" w:rsidRPr="004F0959">
        <w:t xml:space="preserve">by about 10 percentage </w:t>
      </w:r>
      <w:r w:rsidR="00321CBF" w:rsidRPr="004F0959">
        <w:lastRenderedPageBreak/>
        <w:t>points</w:t>
      </w:r>
      <w:r w:rsidR="00C22642" w:rsidRPr="004F0959">
        <w:footnoteReference w:id="5"/>
      </w:r>
      <w:r w:rsidR="00321CBF" w:rsidRPr="004F0959">
        <w:t>.</w:t>
      </w:r>
      <w:r w:rsidR="00C22642" w:rsidRPr="004F0959">
        <w:t xml:space="preserve"> Closing the educational attainment gap and the transition to the labour market for people with disability is still a major issue for OECD countries.</w:t>
      </w:r>
      <w:r w:rsidR="00BD4BBD" w:rsidRPr="004F0959">
        <w:t xml:space="preserve"> See </w:t>
      </w:r>
      <w:hyperlink w:anchor="_Appendix_2" w:history="1">
        <w:r w:rsidR="00BD4BBD" w:rsidRPr="004F0959">
          <w:rPr>
            <w:rStyle w:val="Hyperlink"/>
          </w:rPr>
          <w:t>Appendix 2</w:t>
        </w:r>
      </w:hyperlink>
      <w:r w:rsidR="00BD4BBD" w:rsidRPr="004F0959">
        <w:t xml:space="preserve"> for further statistics)</w:t>
      </w:r>
    </w:p>
    <w:p w14:paraId="7E42FAAF" w14:textId="5E730E6D" w:rsidR="009D47F0" w:rsidRPr="001B5A8F" w:rsidRDefault="0079025F" w:rsidP="005912FB">
      <w:pPr>
        <w:pStyle w:val="bullettedlist"/>
      </w:pPr>
      <w:r w:rsidRPr="001B5A8F">
        <w:rPr>
          <w:b/>
          <w:bCs/>
        </w:rPr>
        <w:t>s</w:t>
      </w:r>
      <w:r w:rsidR="4F70EAF7" w:rsidRPr="001B5A8F">
        <w:rPr>
          <w:b/>
          <w:bCs/>
        </w:rPr>
        <w:t xml:space="preserve">table funding that allows for </w:t>
      </w:r>
      <w:r w:rsidR="6FA7474A" w:rsidRPr="001B5A8F">
        <w:rPr>
          <w:b/>
          <w:bCs/>
        </w:rPr>
        <w:t>sustained and long</w:t>
      </w:r>
      <w:r w:rsidR="6FA7474A" w:rsidRPr="006A26CC">
        <w:rPr>
          <w:b/>
          <w:bCs/>
        </w:rPr>
        <w:t>-term change</w:t>
      </w:r>
      <w:r w:rsidR="6FA7474A" w:rsidRPr="001B5A8F">
        <w:t xml:space="preserve">, authentic partnerships, stable human resource management and </w:t>
      </w:r>
      <w:r w:rsidR="7A6274AB" w:rsidRPr="001B5A8F">
        <w:t>effective</w:t>
      </w:r>
      <w:r w:rsidR="6FA7474A" w:rsidRPr="001B5A8F">
        <w:t xml:space="preserve"> program planning. Currently HEPPP</w:t>
      </w:r>
      <w:r w:rsidR="5A8F2C1B" w:rsidRPr="001B5A8F">
        <w:t>,</w:t>
      </w:r>
      <w:r w:rsidR="6FA7474A" w:rsidRPr="001B5A8F">
        <w:t xml:space="preserve"> DSP</w:t>
      </w:r>
      <w:r w:rsidR="7EB2E20E" w:rsidRPr="001B5A8F">
        <w:t>, the NDCO Program and ADCET</w:t>
      </w:r>
      <w:r w:rsidR="248DEF22" w:rsidRPr="001B5A8F">
        <w:t xml:space="preserve"> are annually renewed with last minute confirmations of funding</w:t>
      </w:r>
      <w:r w:rsidR="7A6274AB" w:rsidRPr="001B5A8F">
        <w:t xml:space="preserve"> which impacts </w:t>
      </w:r>
      <w:r w:rsidR="33F42D55" w:rsidRPr="001B5A8F">
        <w:t>the quality and types of supports and services students receive.</w:t>
      </w:r>
      <w:r w:rsidR="00402802" w:rsidRPr="001B5A8F">
        <w:t xml:space="preserve"> </w:t>
      </w:r>
    </w:p>
    <w:p w14:paraId="4E84AFD2" w14:textId="47105F7F" w:rsidR="00F10E0F" w:rsidRPr="001B5A8F" w:rsidRDefault="00F10E0F" w:rsidP="00F10E0F">
      <w:pPr>
        <w:pStyle w:val="bullettedlist"/>
      </w:pPr>
      <w:r w:rsidRPr="001B5A8F">
        <w:rPr>
          <w:b/>
          <w:bCs/>
        </w:rPr>
        <w:t>f</w:t>
      </w:r>
      <w:r w:rsidR="00257E3F" w:rsidRPr="001B5A8F">
        <w:rPr>
          <w:b/>
          <w:bCs/>
        </w:rPr>
        <w:t xml:space="preserve">unding which addresses the needs of the </w:t>
      </w:r>
      <w:r w:rsidR="00EE147C" w:rsidRPr="001B5A8F">
        <w:rPr>
          <w:b/>
          <w:bCs/>
        </w:rPr>
        <w:t>sector,</w:t>
      </w:r>
      <w:r w:rsidR="00257E3F" w:rsidRPr="001B5A8F">
        <w:rPr>
          <w:b/>
          <w:bCs/>
        </w:rPr>
        <w:t xml:space="preserve"> especially people with disability. </w:t>
      </w:r>
      <w:r w:rsidR="004F6EC9" w:rsidRPr="001B5A8F">
        <w:t xml:space="preserve">Australia also has one of the lowest rates of public expenditure on tertiary education </w:t>
      </w:r>
      <w:r w:rsidR="00801FB2" w:rsidRPr="001B5A8F">
        <w:t>compared with its OECD counterparts</w:t>
      </w:r>
      <w:r w:rsidR="00C22642" w:rsidRPr="001B5A8F">
        <w:rPr>
          <w:rStyle w:val="FootnoteReference"/>
        </w:rPr>
        <w:footnoteReference w:id="6"/>
      </w:r>
      <w:r w:rsidR="00192101" w:rsidRPr="001B5A8F">
        <w:t>.</w:t>
      </w:r>
      <w:r w:rsidR="000B0573" w:rsidRPr="001B5A8F">
        <w:t xml:space="preserve"> </w:t>
      </w:r>
      <w:r w:rsidRPr="001B5A8F">
        <w:t xml:space="preserve">The realignment of higher education funding through the Indigenous, Regional and Low SES Attainment Fund (IRLSAF) did nothing to improve funding for students with disability. </w:t>
      </w:r>
      <w:r w:rsidR="000B0573" w:rsidRPr="001B5A8F">
        <w:t xml:space="preserve">Specific funding grants for activities such as Higher Education </w:t>
      </w:r>
      <w:r w:rsidR="00253EF4" w:rsidRPr="001B5A8F">
        <w:t xml:space="preserve">Participation </w:t>
      </w:r>
      <w:r w:rsidR="00E90886" w:rsidRPr="001B5A8F">
        <w:t>and Partnerships Program (HEPPP) represents around $1</w:t>
      </w:r>
      <w:r w:rsidR="00052AC1" w:rsidRPr="001B5A8F">
        <w:t>45</w:t>
      </w:r>
      <w:r w:rsidR="00E90886" w:rsidRPr="001B5A8F">
        <w:t xml:space="preserve"> million (indexed)</w:t>
      </w:r>
      <w:r w:rsidR="00A04F33" w:rsidRPr="001B5A8F">
        <w:rPr>
          <w:rStyle w:val="FootnoteReference"/>
        </w:rPr>
        <w:footnoteReference w:id="7"/>
      </w:r>
      <w:r w:rsidR="00E90886" w:rsidRPr="001B5A8F">
        <w:t xml:space="preserve"> </w:t>
      </w:r>
      <w:r w:rsidR="000D2A79" w:rsidRPr="001B5A8F">
        <w:t>to support selected equity groups</w:t>
      </w:r>
      <w:r w:rsidRPr="001B5A8F">
        <w:t xml:space="preserve"> whereas the funding for people with disability under the </w:t>
      </w:r>
      <w:r w:rsidR="007553EE" w:rsidRPr="001B5A8F">
        <w:t>Higher Education Disability Support Program is only $7.9 million per annum (indexed)</w:t>
      </w:r>
      <w:hyperlink r:id="rId28" w:anchor="ref3" w:history="1">
        <w:r w:rsidR="007553EE" w:rsidRPr="001B5A8F">
          <w:rPr>
            <w:rStyle w:val="Hyperlink"/>
            <w:rFonts w:ascii="Lato" w:hAnsi="Lato"/>
            <w:color w:val="167D94"/>
            <w:spacing w:val="5"/>
            <w:sz w:val="18"/>
            <w:szCs w:val="18"/>
            <w:vertAlign w:val="superscript"/>
          </w:rPr>
          <w:t>3</w:t>
        </w:r>
      </w:hyperlink>
      <w:r w:rsidR="007553EE" w:rsidRPr="001B5A8F">
        <w:t xml:space="preserve">. This equates to </w:t>
      </w:r>
      <w:r w:rsidR="00256948" w:rsidRPr="001B5A8F">
        <w:t>approximately</w:t>
      </w:r>
      <w:r w:rsidR="007553EE" w:rsidRPr="001B5A8F">
        <w:t xml:space="preserve"> $1</w:t>
      </w:r>
      <w:r w:rsidR="002F1460" w:rsidRPr="001B5A8F">
        <w:t>04</w:t>
      </w:r>
      <w:r w:rsidR="007553EE" w:rsidRPr="001B5A8F">
        <w:t xml:space="preserve"> per student</w:t>
      </w:r>
      <w:r w:rsidR="002F1460" w:rsidRPr="001B5A8F">
        <w:rPr>
          <w:rStyle w:val="FootnoteReference"/>
        </w:rPr>
        <w:footnoteReference w:id="8"/>
      </w:r>
      <w:r w:rsidR="007553EE" w:rsidRPr="001B5A8F">
        <w:t xml:space="preserve">. This is in stark contrast to the investment being made by the Commonwealth in schooling from 2018 to 2029, where it will invest an estimated $28.8 billion for </w:t>
      </w:r>
      <w:r w:rsidR="0F312DBF" w:rsidRPr="001B5A8F">
        <w:t>student</w:t>
      </w:r>
      <w:r w:rsidR="0C25765E" w:rsidRPr="001B5A8F">
        <w:t>s</w:t>
      </w:r>
      <w:r w:rsidR="007553EE" w:rsidRPr="001B5A8F">
        <w:t xml:space="preserve"> with disability loading</w:t>
      </w:r>
      <w:hyperlink r:id="rId29" w:anchor="ref4" w:history="1">
        <w:r w:rsidR="007553EE" w:rsidRPr="001B5A8F">
          <w:rPr>
            <w:rStyle w:val="Hyperlink"/>
            <w:rFonts w:ascii="Lato" w:hAnsi="Lato"/>
            <w:color w:val="167D94"/>
            <w:spacing w:val="5"/>
            <w:sz w:val="18"/>
            <w:szCs w:val="18"/>
            <w:vertAlign w:val="superscript"/>
          </w:rPr>
          <w:t>4</w:t>
        </w:r>
      </w:hyperlink>
      <w:r w:rsidR="007553EE" w:rsidRPr="001B5A8F">
        <w:t xml:space="preserve">. On average, funding for students with disability in schooling will grow by 5.1% each year over this period and each </w:t>
      </w:r>
      <w:r w:rsidR="536189D5" w:rsidRPr="001B5A8F">
        <w:t>funded</w:t>
      </w:r>
      <w:r w:rsidR="0F312DBF" w:rsidRPr="001B5A8F">
        <w:t xml:space="preserve"> </w:t>
      </w:r>
      <w:r w:rsidR="007553EE" w:rsidRPr="001B5A8F">
        <w:t>student would be allocated between $4,704 through to $35,350 per student.</w:t>
      </w:r>
      <w:r w:rsidRPr="001B5A8F">
        <w:rPr>
          <w:rFonts w:ascii="Lato" w:hAnsi="Lato"/>
          <w:color w:val="222222"/>
          <w:spacing w:val="5"/>
        </w:rPr>
        <w:t xml:space="preserve"> </w:t>
      </w:r>
      <w:r w:rsidRPr="001B5A8F">
        <w:rPr>
          <w:rFonts w:ascii="Lato" w:hAnsi="Lato"/>
          <w:color w:val="222222"/>
          <w:spacing w:val="5"/>
        </w:rPr>
        <w:br/>
      </w:r>
      <w:r w:rsidRPr="001B5A8F">
        <w:rPr>
          <w:rFonts w:ascii="Lato" w:hAnsi="Lato"/>
          <w:color w:val="222222"/>
          <w:spacing w:val="5"/>
        </w:rPr>
        <w:br/>
      </w:r>
      <w:r w:rsidR="13B4BA86" w:rsidRPr="001B5A8F">
        <w:t>Th</w:t>
      </w:r>
      <w:r w:rsidR="58997910" w:rsidRPr="001B5A8F">
        <w:t>is funding disparity has been compounded by</w:t>
      </w:r>
      <w:r w:rsidRPr="001B5A8F">
        <w:t xml:space="preserve"> unfinished business from the last significant higher education reform agenda – </w:t>
      </w:r>
      <w:r w:rsidRPr="00C01661">
        <w:rPr>
          <w:i/>
          <w:iCs/>
        </w:rPr>
        <w:t>the Review of Australian Higher Education: Final Report</w:t>
      </w:r>
      <w:r w:rsidRPr="001B5A8F">
        <w:t xml:space="preserve"> (the Bradley Review). In the Review (2008, p.160) recommendations specifically addressed the need for support for people with disability: </w:t>
      </w:r>
    </w:p>
    <w:p w14:paraId="193FEB8E" w14:textId="4A642AA9" w:rsidR="00F10E0F" w:rsidRPr="001B5A8F" w:rsidRDefault="00F10E0F" w:rsidP="00C01661">
      <w:pPr>
        <w:pStyle w:val="indent"/>
      </w:pPr>
      <w:r w:rsidRPr="001B5A8F">
        <w:rPr>
          <w:b/>
          <w:bCs/>
        </w:rPr>
        <w:t>Recommendation 31</w:t>
      </w:r>
      <w:r w:rsidRPr="001B5A8F">
        <w:t> </w:t>
      </w:r>
      <w:r w:rsidRPr="001B5A8F">
        <w:br/>
        <w:t>That the Australian Government increase the funding for the access and participation of under-represented groups of students to a level equivalent to 4 per cent of the total grants for teaching. This would be allocated through a new program for outreach activities and a loading paid to institutions enrolling students from low socio-economic backgrounds. Funding for the Disability Support Program would be increased to $20 million per year (Chapter 4.2). </w:t>
      </w:r>
    </w:p>
    <w:p w14:paraId="1F362689" w14:textId="26C2CC11" w:rsidR="00633BAB" w:rsidRPr="001B5A8F" w:rsidRDefault="00F10E0F" w:rsidP="007E3BDD">
      <w:pPr>
        <w:pStyle w:val="bullettedlist"/>
      </w:pPr>
      <w:r w:rsidRPr="001B5A8F">
        <w:rPr>
          <w:b/>
          <w:bCs/>
        </w:rPr>
        <w:t>a</w:t>
      </w:r>
      <w:r w:rsidR="00254A37" w:rsidRPr="001B5A8F">
        <w:rPr>
          <w:b/>
          <w:bCs/>
        </w:rPr>
        <w:t>llow for nuanced support arrangements</w:t>
      </w:r>
      <w:r w:rsidR="00254A37" w:rsidRPr="001B5A8F">
        <w:t xml:space="preserve"> where disability and other equity characteristics intersect</w:t>
      </w:r>
      <w:r w:rsidR="001F37C2" w:rsidRPr="001B5A8F">
        <w:t xml:space="preserve"> due to the cumulative disadvantage experienced by individuals from multiple equity groups e.g., First Nations people with disability, people </w:t>
      </w:r>
      <w:r w:rsidR="001F37C2" w:rsidRPr="001B5A8F">
        <w:lastRenderedPageBreak/>
        <w:t>with disability in regional and remote areas</w:t>
      </w:r>
      <w:r w:rsidR="00557D1D" w:rsidRPr="001B5A8F">
        <w:t xml:space="preserve">, </w:t>
      </w:r>
      <w:r w:rsidR="004E7D41" w:rsidRPr="001B5A8F">
        <w:t xml:space="preserve">people with disability experiencing financial hardship, </w:t>
      </w:r>
      <w:r w:rsidR="00625341" w:rsidRPr="001B5A8F">
        <w:t xml:space="preserve">and </w:t>
      </w:r>
      <w:r w:rsidR="00557D1D" w:rsidRPr="001B5A8F">
        <w:t xml:space="preserve">people from culturally and linguistically diverse backgrounds for which disability may </w:t>
      </w:r>
      <w:r w:rsidR="00630D21" w:rsidRPr="001B5A8F">
        <w:t xml:space="preserve">impose additional </w:t>
      </w:r>
      <w:r w:rsidR="00625341" w:rsidRPr="001B5A8F">
        <w:t xml:space="preserve">financial, social or </w:t>
      </w:r>
      <w:r w:rsidR="00630D21" w:rsidRPr="001B5A8F">
        <w:t>cultural impediments to help-seeking</w:t>
      </w:r>
      <w:r w:rsidR="00625341" w:rsidRPr="001B5A8F">
        <w:t>.</w:t>
      </w:r>
    </w:p>
    <w:p w14:paraId="30B6091E" w14:textId="77777777" w:rsidR="007553EE" w:rsidRPr="001B5A8F" w:rsidRDefault="007553EE" w:rsidP="00F10E0F"/>
    <w:p w14:paraId="5B4B75CB" w14:textId="46F2CEF2" w:rsidR="001A5673" w:rsidRPr="001B5A8F" w:rsidRDefault="001A5673" w:rsidP="001A5673">
      <w:pPr>
        <w:pStyle w:val="Recommendation"/>
        <w:rPr>
          <w:lang w:val="en-AU" w:eastAsia="en-AU"/>
        </w:rPr>
      </w:pPr>
      <w:r w:rsidRPr="001B5A8F">
        <w:rPr>
          <w:lang w:val="en-AU" w:eastAsia="en-AU"/>
        </w:rPr>
        <w:t xml:space="preserve">Recommendation </w:t>
      </w:r>
      <w:r w:rsidR="00CB766E">
        <w:rPr>
          <w:lang w:val="en-AU" w:eastAsia="en-AU"/>
        </w:rPr>
        <w:t>2</w:t>
      </w:r>
    </w:p>
    <w:p w14:paraId="5ED38EA7" w14:textId="5092CA89" w:rsidR="00CB766E" w:rsidRPr="001B5A8F" w:rsidRDefault="00CB766E" w:rsidP="00CB766E">
      <w:pPr>
        <w:pStyle w:val="Recommendation"/>
        <w:rPr>
          <w:b w:val="0"/>
          <w:bCs/>
          <w:i w:val="0"/>
          <w:iCs/>
          <w:lang w:val="en-AU" w:eastAsia="en-AU"/>
        </w:rPr>
      </w:pPr>
      <w:bookmarkStart w:id="25" w:name="_Toc132100486"/>
      <w:r w:rsidRPr="001B5A8F">
        <w:rPr>
          <w:b w:val="0"/>
          <w:bCs/>
          <w:i w:val="0"/>
          <w:iCs/>
          <w:lang w:val="en-AU" w:eastAsia="en-AU"/>
        </w:rPr>
        <w:t xml:space="preserve">Develop and implement a </w:t>
      </w:r>
      <w:r w:rsidRPr="001B5A8F">
        <w:rPr>
          <w:b w:val="0"/>
          <w:lang w:val="en-AU" w:eastAsia="en-AU"/>
        </w:rPr>
        <w:t>National Strategy for Students with Disability in Tertiary Education</w:t>
      </w:r>
      <w:r w:rsidRPr="001B5A8F">
        <w:rPr>
          <w:b w:val="0"/>
          <w:bCs/>
          <w:i w:val="0"/>
          <w:iCs/>
          <w:lang w:val="en-AU" w:eastAsia="en-AU"/>
        </w:rPr>
        <w:t xml:space="preserve"> which sets out key obligations and vision for tertiary education providers around disability inclusion. The Strategy</w:t>
      </w:r>
      <w:r w:rsidR="0068236A">
        <w:rPr>
          <w:b w:val="0"/>
          <w:bCs/>
          <w:i w:val="0"/>
          <w:iCs/>
          <w:lang w:val="en-AU" w:eastAsia="en-AU"/>
        </w:rPr>
        <w:t xml:space="preserve"> designed by the Government in consultation with the sector,</w:t>
      </w:r>
      <w:r w:rsidRPr="001B5A8F">
        <w:rPr>
          <w:b w:val="0"/>
          <w:bCs/>
          <w:i w:val="0"/>
          <w:iCs/>
          <w:lang w:val="en-AU" w:eastAsia="en-AU"/>
        </w:rPr>
        <w:t xml:space="preserve"> would set requirements for tertiary education providers to have active Disability Inclusion Action Plans, strategies to improve student outcomes for people with disability across key elements of physical, digital, cultural and learning accessibility. This national strategy should be </w:t>
      </w:r>
      <w:r w:rsidRPr="001B5A8F">
        <w:rPr>
          <w:b w:val="0"/>
          <w:i w:val="0"/>
          <w:lang w:val="en-AU" w:eastAsia="en-AU"/>
        </w:rPr>
        <w:t>accompanied by appropriate funding to support providers through the assistance of ADCE</w:t>
      </w:r>
      <w:r w:rsidRPr="001B5A8F">
        <w:rPr>
          <w:b w:val="0"/>
          <w:bCs/>
          <w:i w:val="0"/>
          <w:iCs/>
          <w:lang w:val="en-AU" w:eastAsia="en-AU"/>
        </w:rPr>
        <w:t xml:space="preserve">T. </w:t>
      </w:r>
    </w:p>
    <w:p w14:paraId="642F4769" w14:textId="78F2E5AD" w:rsidR="00836814" w:rsidRPr="001B5A8F" w:rsidRDefault="00836814" w:rsidP="002C0E51">
      <w:pPr>
        <w:pStyle w:val="Heading2"/>
        <w:rPr>
          <w:lang w:val="en-AU" w:eastAsia="en-AU"/>
        </w:rPr>
      </w:pPr>
      <w:bookmarkStart w:id="26" w:name="_Toc132125066"/>
      <w:bookmarkStart w:id="27" w:name="_Toc132139889"/>
      <w:bookmarkStart w:id="28" w:name="_Toc132139949"/>
      <w:r w:rsidRPr="001B5A8F">
        <w:rPr>
          <w:lang w:val="en-AU" w:eastAsia="en-AU"/>
        </w:rPr>
        <w:t>Driving data and performance</w:t>
      </w:r>
      <w:bookmarkEnd w:id="25"/>
      <w:bookmarkEnd w:id="26"/>
      <w:bookmarkEnd w:id="27"/>
      <w:bookmarkEnd w:id="28"/>
    </w:p>
    <w:p w14:paraId="22C2A470" w14:textId="77777777" w:rsidR="009F2620" w:rsidRDefault="00987D1B" w:rsidP="00987D1B">
      <w:r w:rsidRPr="001B5A8F">
        <w:t>The access, participation, retention and success of students</w:t>
      </w:r>
      <w:r w:rsidR="00184943" w:rsidRPr="001B5A8F">
        <w:t xml:space="preserve"> and funding allocations for equity gr</w:t>
      </w:r>
      <w:r w:rsidR="003B6A0A" w:rsidRPr="001B5A8F">
        <w:t>oups</w:t>
      </w:r>
      <w:r w:rsidRPr="001B5A8F">
        <w:t xml:space="preserve"> is </w:t>
      </w:r>
      <w:r w:rsidR="003B6A0A" w:rsidRPr="001B5A8F">
        <w:t xml:space="preserve">based on data collected on access, participation, retention and success </w:t>
      </w:r>
      <w:r w:rsidRPr="001B5A8F">
        <w:t>Tertiary Collection of Student Information (TCSI)</w:t>
      </w:r>
      <w:r w:rsidR="003B6A0A" w:rsidRPr="001B5A8F">
        <w:t xml:space="preserve"> and</w:t>
      </w:r>
      <w:r w:rsidRPr="001B5A8F">
        <w:t xml:space="preserve"> </w:t>
      </w:r>
      <w:r w:rsidR="00665F25" w:rsidRPr="001B5A8F">
        <w:rPr>
          <w:lang w:val="en-AU" w:eastAsia="en-AU"/>
        </w:rPr>
        <w:t xml:space="preserve">Performance-Based Funding (PBF) </w:t>
      </w:r>
      <w:r w:rsidRPr="001B5A8F">
        <w:t xml:space="preserve">indicators such as QILT surveys. </w:t>
      </w:r>
      <w:r w:rsidR="00665F25" w:rsidRPr="001B5A8F">
        <w:rPr>
          <w:lang w:val="en-AU" w:eastAsia="en-AU"/>
        </w:rPr>
        <w:t xml:space="preserve">PBF </w:t>
      </w:r>
      <w:r w:rsidR="00665F25" w:rsidRPr="001B5A8F">
        <w:t>measures under this funding include graduate employment outcomes, student experience, student success and equity group participation by Indigenous, low socio</w:t>
      </w:r>
      <w:r w:rsidR="00665F25" w:rsidRPr="001B5A8F">
        <w:noBreakHyphen/>
        <w:t>economic status and regional/remote students.</w:t>
      </w:r>
      <w:r w:rsidR="009F2620">
        <w:t xml:space="preserve"> </w:t>
      </w:r>
    </w:p>
    <w:p w14:paraId="2F5FC9B3" w14:textId="77777777" w:rsidR="009F2620" w:rsidRDefault="009F2620" w:rsidP="00987D1B"/>
    <w:p w14:paraId="708B38E3" w14:textId="202B120A" w:rsidR="0072361E" w:rsidRPr="001B5A8F" w:rsidRDefault="00B50083" w:rsidP="00987D1B">
      <w:r w:rsidRPr="001B5A8F">
        <w:t>However,</w:t>
      </w:r>
      <w:r w:rsidR="006E3CD9" w:rsidRPr="001B5A8F">
        <w:t xml:space="preserve"> there are some </w:t>
      </w:r>
      <w:r w:rsidR="0072361E" w:rsidRPr="001B5A8F">
        <w:t>fundamental</w:t>
      </w:r>
      <w:r w:rsidR="006E3CD9" w:rsidRPr="001B5A8F">
        <w:t xml:space="preserve"> issues with </w:t>
      </w:r>
      <w:r w:rsidR="00184943" w:rsidRPr="001B5A8F">
        <w:t xml:space="preserve">the </w:t>
      </w:r>
      <w:r w:rsidR="00916091" w:rsidRPr="001B5A8F">
        <w:t>way</w:t>
      </w:r>
      <w:r w:rsidR="00184943" w:rsidRPr="001B5A8F">
        <w:t xml:space="preserve"> </w:t>
      </w:r>
      <w:r w:rsidR="0072361E" w:rsidRPr="001B5A8F">
        <w:t xml:space="preserve">the data is collected, the funding </w:t>
      </w:r>
      <w:r w:rsidR="00EE147C" w:rsidRPr="001B5A8F">
        <w:t>allocated,</w:t>
      </w:r>
      <w:r w:rsidR="0072361E" w:rsidRPr="001B5A8F">
        <w:t xml:space="preserve"> and performance assessed which requires a complete revision in order to accurately understand students and drive performance.</w:t>
      </w:r>
    </w:p>
    <w:p w14:paraId="61C211BA" w14:textId="77777777" w:rsidR="0072361E" w:rsidRPr="001B5A8F" w:rsidRDefault="0072361E" w:rsidP="00987D1B"/>
    <w:p w14:paraId="67834FA9" w14:textId="4E37EAA3" w:rsidR="00987D1B" w:rsidRPr="001B5A8F" w:rsidRDefault="0072361E" w:rsidP="00987D1B">
      <w:r w:rsidRPr="001B5A8F">
        <w:t>These</w:t>
      </w:r>
      <w:r w:rsidR="009F2620">
        <w:t xml:space="preserve"> issues</w:t>
      </w:r>
      <w:r w:rsidRPr="001B5A8F">
        <w:t xml:space="preserve"> include: </w:t>
      </w:r>
    </w:p>
    <w:p w14:paraId="16E12F89" w14:textId="77777777" w:rsidR="004012EC" w:rsidRPr="001B5A8F" w:rsidRDefault="004012EC" w:rsidP="004012EC">
      <w:pPr>
        <w:pStyle w:val="bullettedlist"/>
        <w:rPr>
          <w:lang w:val="en-AU" w:eastAsia="en-AU"/>
        </w:rPr>
      </w:pPr>
      <w:r w:rsidRPr="001B5A8F">
        <w:rPr>
          <w:lang w:val="en-AU" w:eastAsia="en-AU"/>
        </w:rPr>
        <w:t>the use of blunt indicators such as participation and attrition rates which do not account for nuanced and complex analysis needed for analysing equity target groups and especially the categories of disability. For example, ‘mental health’ has only recently been added as separate category from ‘other’ and in the current climate with mental health amongst the 18 to 24-year age group rising, capturing better data around disability types is crucial for planning and funding</w:t>
      </w:r>
    </w:p>
    <w:p w14:paraId="2A890066" w14:textId="10F3FFA8" w:rsidR="00B57068" w:rsidRPr="001B5A8F" w:rsidRDefault="009F2620" w:rsidP="00B57068">
      <w:pPr>
        <w:pStyle w:val="bullettedlist"/>
        <w:rPr>
          <w:lang w:val="en-AU" w:eastAsia="en-AU"/>
        </w:rPr>
      </w:pPr>
      <w:r>
        <w:rPr>
          <w:lang w:val="en-AU" w:eastAsia="en-AU"/>
        </w:rPr>
        <w:t xml:space="preserve">the need to </w:t>
      </w:r>
      <w:r w:rsidR="00B57068" w:rsidRPr="001B5A8F">
        <w:rPr>
          <w:lang w:val="en-AU" w:eastAsia="en-AU"/>
        </w:rPr>
        <w:t xml:space="preserve">better understand the high growth in numbers of students with disability, including the increases in self and consented disclosure, the inclusion of mental health, and </w:t>
      </w:r>
      <w:r w:rsidR="004D1554">
        <w:rPr>
          <w:lang w:val="en-AU" w:eastAsia="en-AU"/>
        </w:rPr>
        <w:t xml:space="preserve">increased pressure </w:t>
      </w:r>
      <w:r w:rsidR="00B57068" w:rsidRPr="001B5A8F">
        <w:rPr>
          <w:lang w:val="en-AU" w:eastAsia="en-AU"/>
        </w:rPr>
        <w:t>resulting in an increased need for adjustments</w:t>
      </w:r>
    </w:p>
    <w:p w14:paraId="2346198A" w14:textId="43047BDB" w:rsidR="00AB290D" w:rsidRPr="001B5A8F" w:rsidRDefault="009772EE" w:rsidP="00AB290D">
      <w:pPr>
        <w:pStyle w:val="bullettedlist"/>
        <w:rPr>
          <w:lang w:val="en-AU" w:eastAsia="en-AU"/>
        </w:rPr>
      </w:pPr>
      <w:r>
        <w:rPr>
          <w:lang w:val="en-AU" w:eastAsia="en-AU"/>
        </w:rPr>
        <w:t xml:space="preserve">data </w:t>
      </w:r>
      <w:r w:rsidR="00AB290D" w:rsidRPr="001B5A8F">
        <w:rPr>
          <w:lang w:val="en-AU" w:eastAsia="en-AU"/>
        </w:rPr>
        <w:t>anomalies which make it difficult to track improvements over time</w:t>
      </w:r>
    </w:p>
    <w:p w14:paraId="6B6085B3" w14:textId="77777777" w:rsidR="004012EC" w:rsidRPr="001B5A8F" w:rsidRDefault="004012EC" w:rsidP="004012EC">
      <w:pPr>
        <w:pStyle w:val="bullettedlist"/>
        <w:rPr>
          <w:lang w:val="en-AU" w:eastAsia="en-AU"/>
        </w:rPr>
      </w:pPr>
      <w:r w:rsidRPr="001B5A8F">
        <w:rPr>
          <w:lang w:val="en-AU" w:eastAsia="en-AU"/>
        </w:rPr>
        <w:t>the outcomes for each equity group do not represent parity of these groups as a percentage of community representation (taking into account state/territory and regional variations)</w:t>
      </w:r>
    </w:p>
    <w:p w14:paraId="3393E867" w14:textId="29A38CF8" w:rsidR="00987D1B" w:rsidRPr="001B5A8F" w:rsidRDefault="00987D1B" w:rsidP="00987D1B">
      <w:pPr>
        <w:pStyle w:val="bullettedlist"/>
      </w:pPr>
      <w:r w:rsidRPr="001B5A8F">
        <w:lastRenderedPageBreak/>
        <w:t>inconsistent levels of funding provided</w:t>
      </w:r>
      <w:r w:rsidR="00B44E26" w:rsidRPr="001B5A8F">
        <w:t xml:space="preserve"> and ways they are used across the sector</w:t>
      </w:r>
      <w:r w:rsidRPr="001B5A8F">
        <w:t xml:space="preserve"> to different equity groups</w:t>
      </w:r>
      <w:r w:rsidR="0072361E" w:rsidRPr="001B5A8F">
        <w:t xml:space="preserve"> through the DSP, HEPPP and ISP</w:t>
      </w:r>
    </w:p>
    <w:p w14:paraId="7D4A9B3D" w14:textId="29F8416C" w:rsidR="001E2BD7" w:rsidRPr="001B5A8F" w:rsidRDefault="00987D1B" w:rsidP="001E2BD7">
      <w:pPr>
        <w:pStyle w:val="bullettedlist"/>
      </w:pPr>
      <w:r w:rsidRPr="001B5A8F">
        <w:t xml:space="preserve">inconsistent application of the funds across the student lifecycle to support equity groups e.g., more money spent to generate enrolments but not enough spent on </w:t>
      </w:r>
      <w:r w:rsidR="00B44E26" w:rsidRPr="001B5A8F">
        <w:t xml:space="preserve">participation, </w:t>
      </w:r>
      <w:r w:rsidRPr="001B5A8F">
        <w:t>retention and success</w:t>
      </w:r>
      <w:r w:rsidR="001E2BD7" w:rsidRPr="001B5A8F">
        <w:t>. T</w:t>
      </w:r>
      <w:r w:rsidR="00AB290D" w:rsidRPr="001B5A8F">
        <w:rPr>
          <w:lang w:val="en-AU" w:eastAsia="en-AU"/>
        </w:rPr>
        <w:t>he PBF process does not assist in demonstrating the success factors of individual universities in contributing to representation of equity target groups in higher education</w:t>
      </w:r>
      <w:r w:rsidR="001E2BD7" w:rsidRPr="001B5A8F">
        <w:rPr>
          <w:lang w:val="en-AU" w:eastAsia="en-AU"/>
        </w:rPr>
        <w:t>. There is</w:t>
      </w:r>
      <w:r w:rsidR="00727575" w:rsidRPr="001B5A8F">
        <w:rPr>
          <w:lang w:val="en-AU" w:eastAsia="en-AU"/>
        </w:rPr>
        <w:t xml:space="preserve"> no</w:t>
      </w:r>
      <w:r w:rsidR="001E2BD7" w:rsidRPr="001B5A8F">
        <w:rPr>
          <w:lang w:val="en-AU" w:eastAsia="en-AU"/>
        </w:rPr>
        <w:t xml:space="preserve"> </w:t>
      </w:r>
      <w:r w:rsidR="00727575" w:rsidRPr="001B5A8F">
        <w:rPr>
          <w:lang w:val="en-AU" w:eastAsia="en-AU"/>
        </w:rPr>
        <w:t xml:space="preserve">transparent evaluation undertaken to assess efficacy, to recommend improvements or harness good practice </w:t>
      </w:r>
    </w:p>
    <w:p w14:paraId="6E3AFE10" w14:textId="77777777" w:rsidR="00987D1B" w:rsidRPr="001B5A8F" w:rsidRDefault="00987D1B" w:rsidP="00987D1B">
      <w:pPr>
        <w:pStyle w:val="bullettedlist"/>
      </w:pPr>
      <w:r w:rsidRPr="001B5A8F">
        <w:t>lack of transparency and accountability of funding types e.g., DSP funding has a higher reporting burden than HEPPP and ISP which is not commensurate with the amounts</w:t>
      </w:r>
    </w:p>
    <w:p w14:paraId="534236FA" w14:textId="77777777" w:rsidR="00987D1B" w:rsidRPr="001B5A8F" w:rsidRDefault="00987D1B" w:rsidP="00987D1B">
      <w:pPr>
        <w:pStyle w:val="bullettedlist"/>
      </w:pPr>
      <w:r w:rsidRPr="001B5A8F">
        <w:t>not enough depth of data collation and analysis which is nuanced to understand different equity groups e.g., investigation of students with disability in QILT surveys</w:t>
      </w:r>
    </w:p>
    <w:p w14:paraId="00BCE8D6" w14:textId="77777777" w:rsidR="00987D1B" w:rsidRPr="001B5A8F" w:rsidRDefault="00987D1B" w:rsidP="00987D1B"/>
    <w:p w14:paraId="6A3D0726" w14:textId="6A4CF3AE" w:rsidR="00987D1B" w:rsidRPr="001B5A8F" w:rsidRDefault="00987D1B" w:rsidP="00987D1B">
      <w:r w:rsidRPr="001B5A8F">
        <w:t>As an example, despite exponential increases in the number of students with disability enrolling in university participation, retention and success rates are still much lower than those without disability. The limited funding provided through the DSP is mainly devoted to supporting reasonable adjustments with a forensic review by the Department of Education conducted annually (yet no such detailed analysis is undertaken for HEPPP funding).</w:t>
      </w:r>
    </w:p>
    <w:p w14:paraId="4248197E" w14:textId="77777777" w:rsidR="00987D1B" w:rsidRPr="001B5A8F" w:rsidRDefault="00987D1B" w:rsidP="00987D1B"/>
    <w:p w14:paraId="084AC91B" w14:textId="60F430A4" w:rsidR="00913560" w:rsidRDefault="00987D1B" w:rsidP="00DC1674">
      <w:r w:rsidRPr="001B5A8F">
        <w:t>Universities are inconsistently tackling the systemic barriers to participation and success for people with disability partly due to lack of funding and lack of accountability to address fundamental issues of inclusion which not only benefit students with disability but all students.</w:t>
      </w:r>
      <w:r w:rsidR="00DC1674">
        <w:t xml:space="preserve"> </w:t>
      </w:r>
      <w:r w:rsidRPr="001B5A8F">
        <w:t xml:space="preserve">ADCET could support institutions to share good practice and improve outcomes through implementing a </w:t>
      </w:r>
      <w:hyperlink r:id="rId30" w:history="1">
        <w:r w:rsidRPr="001B5A8F">
          <w:rPr>
            <w:rStyle w:val="Hyperlink"/>
          </w:rPr>
          <w:t>Disability Inclusion Framework</w:t>
        </w:r>
      </w:hyperlink>
      <w:r w:rsidRPr="001B5A8F">
        <w:t xml:space="preserve"> which supports the student journey and encourages good practice across the sector</w:t>
      </w:r>
      <w:r w:rsidR="00FD1AE1">
        <w:t>.</w:t>
      </w:r>
    </w:p>
    <w:p w14:paraId="419C2F09" w14:textId="77777777" w:rsidR="00FD1AE1" w:rsidRPr="00DC1674" w:rsidRDefault="00FD1AE1" w:rsidP="00DC1674"/>
    <w:p w14:paraId="190DDDB8" w14:textId="6EDDCE00" w:rsidR="002D529C" w:rsidRPr="001B5A8F" w:rsidRDefault="002D529C" w:rsidP="002D529C">
      <w:pPr>
        <w:pStyle w:val="Recommendation"/>
        <w:rPr>
          <w:lang w:val="en-AU" w:eastAsia="en-AU"/>
        </w:rPr>
      </w:pPr>
      <w:r w:rsidRPr="001B5A8F">
        <w:rPr>
          <w:lang w:val="en-AU" w:eastAsia="en-AU"/>
        </w:rPr>
        <w:t xml:space="preserve">Recommendation </w:t>
      </w:r>
      <w:r w:rsidR="00CB766E">
        <w:rPr>
          <w:lang w:val="en-AU" w:eastAsia="en-AU"/>
        </w:rPr>
        <w:t>3</w:t>
      </w:r>
    </w:p>
    <w:p w14:paraId="0B72A67B" w14:textId="77777777" w:rsidR="00F1255E" w:rsidRDefault="00A656E7" w:rsidP="009772EE">
      <w:pPr>
        <w:pStyle w:val="Recommendation"/>
        <w:rPr>
          <w:b w:val="0"/>
          <w:bCs/>
          <w:i w:val="0"/>
          <w:iCs/>
          <w:lang w:val="en-AU" w:eastAsia="en-AU"/>
        </w:rPr>
      </w:pPr>
      <w:r w:rsidRPr="001B5A8F">
        <w:rPr>
          <w:b w:val="0"/>
          <w:bCs/>
          <w:i w:val="0"/>
          <w:iCs/>
          <w:lang w:val="en-AU" w:eastAsia="en-AU"/>
        </w:rPr>
        <w:t>Develop an appropriate evaluation and performance framework for tracking the</w:t>
      </w:r>
      <w:r w:rsidR="00A23D79" w:rsidRPr="001B5A8F">
        <w:rPr>
          <w:b w:val="0"/>
          <w:bCs/>
          <w:i w:val="0"/>
          <w:iCs/>
          <w:lang w:val="en-AU" w:eastAsia="en-AU"/>
        </w:rPr>
        <w:t xml:space="preserve"> </w:t>
      </w:r>
      <w:r w:rsidR="002D7B80" w:rsidRPr="001B5A8F">
        <w:rPr>
          <w:b w:val="0"/>
          <w:bCs/>
          <w:i w:val="0"/>
          <w:iCs/>
          <w:lang w:val="en-AU" w:eastAsia="en-AU"/>
        </w:rPr>
        <w:t xml:space="preserve">access, </w:t>
      </w:r>
      <w:r w:rsidR="00A23D79" w:rsidRPr="001B5A8F">
        <w:rPr>
          <w:b w:val="0"/>
          <w:bCs/>
          <w:i w:val="0"/>
          <w:iCs/>
          <w:lang w:val="en-AU" w:eastAsia="en-AU"/>
        </w:rPr>
        <w:t>participation</w:t>
      </w:r>
      <w:r w:rsidR="00A83243" w:rsidRPr="001B5A8F">
        <w:rPr>
          <w:b w:val="0"/>
          <w:bCs/>
          <w:i w:val="0"/>
          <w:iCs/>
          <w:lang w:val="en-AU" w:eastAsia="en-AU"/>
        </w:rPr>
        <w:t xml:space="preserve">, retention and success </w:t>
      </w:r>
      <w:r w:rsidR="00A23D79" w:rsidRPr="001B5A8F">
        <w:rPr>
          <w:b w:val="0"/>
          <w:bCs/>
          <w:i w:val="0"/>
          <w:iCs/>
          <w:lang w:val="en-AU" w:eastAsia="en-AU"/>
        </w:rPr>
        <w:t xml:space="preserve">of people with disability in and between education sectors in order to better understand and support their success in education. </w:t>
      </w:r>
      <w:r w:rsidR="0010654A" w:rsidRPr="001B5A8F">
        <w:rPr>
          <w:b w:val="0"/>
          <w:bCs/>
          <w:i w:val="0"/>
          <w:iCs/>
          <w:lang w:val="en-AU" w:eastAsia="en-AU"/>
        </w:rPr>
        <w:t xml:space="preserve">Performance assessment of </w:t>
      </w:r>
      <w:r w:rsidR="00E006B0" w:rsidRPr="001B5A8F">
        <w:rPr>
          <w:b w:val="0"/>
          <w:bCs/>
          <w:i w:val="0"/>
          <w:iCs/>
          <w:lang w:val="en-AU" w:eastAsia="en-AU"/>
        </w:rPr>
        <w:t>tertiary education providers would be an essential feature of any performance and evaluation framework</w:t>
      </w:r>
      <w:r w:rsidR="00855AD3" w:rsidRPr="001B5A8F">
        <w:rPr>
          <w:b w:val="0"/>
          <w:bCs/>
          <w:i w:val="0"/>
          <w:iCs/>
          <w:lang w:val="en-AU" w:eastAsia="en-AU"/>
        </w:rPr>
        <w:t>.</w:t>
      </w:r>
      <w:bookmarkStart w:id="29" w:name="_Access,_participation,_retention"/>
      <w:bookmarkEnd w:id="29"/>
    </w:p>
    <w:p w14:paraId="439F5907" w14:textId="2729D8E6" w:rsidR="00095558" w:rsidRPr="001B5A8F" w:rsidRDefault="00095558" w:rsidP="00F1255E">
      <w:pPr>
        <w:rPr>
          <w:kern w:val="36"/>
          <w:sz w:val="36"/>
          <w:szCs w:val="48"/>
        </w:rPr>
      </w:pPr>
      <w:r w:rsidRPr="001B5A8F">
        <w:br w:type="page"/>
      </w:r>
    </w:p>
    <w:p w14:paraId="12D96985" w14:textId="7C3475CD" w:rsidR="00950326" w:rsidRPr="001B5A8F" w:rsidRDefault="007553EE" w:rsidP="00EE0AB5">
      <w:pPr>
        <w:pStyle w:val="Heading1"/>
      </w:pPr>
      <w:bookmarkStart w:id="30" w:name="_Toc132100487"/>
      <w:bookmarkStart w:id="31" w:name="_Toc132125067"/>
      <w:bookmarkStart w:id="32" w:name="_Toc132139890"/>
      <w:bookmarkStart w:id="33" w:name="_Toc132139950"/>
      <w:r w:rsidRPr="001B5A8F">
        <w:lastRenderedPageBreak/>
        <w:t xml:space="preserve">Part 3: </w:t>
      </w:r>
      <w:r w:rsidR="00950326" w:rsidRPr="001B5A8F">
        <w:t>Access, participation, retention and success</w:t>
      </w:r>
      <w:bookmarkEnd w:id="30"/>
      <w:bookmarkEnd w:id="31"/>
      <w:bookmarkEnd w:id="32"/>
      <w:bookmarkEnd w:id="33"/>
    </w:p>
    <w:p w14:paraId="47B74E73" w14:textId="77777777" w:rsidR="00EE1AED" w:rsidRPr="001B5A8F" w:rsidRDefault="00EE1AED" w:rsidP="00F95661"/>
    <w:p w14:paraId="32F2796B" w14:textId="26584B0C" w:rsidR="00CE2383" w:rsidRPr="001B5A8F" w:rsidRDefault="002D7B80" w:rsidP="00F95661">
      <w:r w:rsidRPr="001B5A8F">
        <w:t xml:space="preserve">The development of appropriate strategies which support access, </w:t>
      </w:r>
      <w:r w:rsidR="00CE2383" w:rsidRPr="001B5A8F">
        <w:t>participant</w:t>
      </w:r>
      <w:r w:rsidRPr="001B5A8F">
        <w:t xml:space="preserve"> retention and success for people with disability is vital in a reformed </w:t>
      </w:r>
      <w:r w:rsidR="00CE2383" w:rsidRPr="001B5A8F">
        <w:t>higher education system.</w:t>
      </w:r>
    </w:p>
    <w:p w14:paraId="095B2D9F" w14:textId="77777777" w:rsidR="00CE2383" w:rsidRPr="001B5A8F" w:rsidRDefault="00CE2383" w:rsidP="00F95661"/>
    <w:p w14:paraId="2BD3F6EA" w14:textId="21B4143C" w:rsidR="00FB3006" w:rsidRPr="001B5A8F" w:rsidRDefault="00FB3006" w:rsidP="00FB3006">
      <w:r w:rsidRPr="001B5A8F">
        <w:t xml:space="preserve">Part of the responsibility of </w:t>
      </w:r>
      <w:r w:rsidR="00EE147C" w:rsidRPr="001B5A8F">
        <w:t>higher</w:t>
      </w:r>
      <w:r w:rsidRPr="001B5A8F">
        <w:t xml:space="preserve"> education is a vision and commitment to </w:t>
      </w:r>
      <w:r w:rsidR="008F4771" w:rsidRPr="001B5A8F">
        <w:t>equitable lifelong learning. The National Skills Commission predicts that ‘more than nine out of 10 new jobs to be created in the next five years will require post-secondary qualifications’</w:t>
      </w:r>
      <w:r w:rsidR="008F4771" w:rsidRPr="001B5A8F">
        <w:rPr>
          <w:vertAlign w:val="superscript"/>
        </w:rPr>
        <w:footnoteReference w:id="9"/>
      </w:r>
      <w:r w:rsidR="008F4771" w:rsidRPr="001B5A8F">
        <w:rPr>
          <w:vertAlign w:val="superscript"/>
        </w:rPr>
        <w:t>.</w:t>
      </w:r>
      <w:r w:rsidR="008F4771" w:rsidRPr="001B5A8F">
        <w:t xml:space="preserve"> </w:t>
      </w:r>
    </w:p>
    <w:p w14:paraId="4703BFF3" w14:textId="16CC9483" w:rsidR="00FB3006" w:rsidRPr="001B5A8F" w:rsidRDefault="008F4771" w:rsidP="00FB3006">
      <w:r w:rsidRPr="001B5A8F">
        <w:t>People with disability enrolling in higher education over the past 10 years</w:t>
      </w:r>
      <w:r w:rsidRPr="001B5A8F">
        <w:rPr>
          <w:vertAlign w:val="superscript"/>
        </w:rPr>
        <w:footnoteReference w:id="10"/>
      </w:r>
      <w:r w:rsidRPr="001B5A8F">
        <w:t xml:space="preserve"> has been exponential and they want</w:t>
      </w:r>
      <w:r w:rsidR="008F73E5" w:rsidRPr="001B5A8F">
        <w:t>,</w:t>
      </w:r>
      <w:r w:rsidRPr="001B5A8F">
        <w:t xml:space="preserve"> and need</w:t>
      </w:r>
      <w:r w:rsidR="008F73E5" w:rsidRPr="001B5A8F">
        <w:t>,</w:t>
      </w:r>
      <w:r w:rsidRPr="001B5A8F">
        <w:t xml:space="preserve"> to be part of the future economy. </w:t>
      </w:r>
    </w:p>
    <w:p w14:paraId="51DDD43A" w14:textId="77777777" w:rsidR="00FB3006" w:rsidRPr="001B5A8F" w:rsidRDefault="00FB3006" w:rsidP="00FB3006"/>
    <w:p w14:paraId="0837ADD9" w14:textId="53335E12" w:rsidR="006F46F0" w:rsidRPr="001B5A8F" w:rsidRDefault="00275A3B" w:rsidP="00F95661">
      <w:r w:rsidRPr="001B5A8F">
        <w:t>Below are s</w:t>
      </w:r>
      <w:r w:rsidR="006443B7" w:rsidRPr="001B5A8F">
        <w:t xml:space="preserve">ome </w:t>
      </w:r>
      <w:r w:rsidR="00EE1AED" w:rsidRPr="001B5A8F">
        <w:t>specific</w:t>
      </w:r>
      <w:r w:rsidR="00722C8E" w:rsidRPr="001B5A8F">
        <w:t xml:space="preserve"> considerations</w:t>
      </w:r>
      <w:r w:rsidR="006B20B0" w:rsidRPr="001B5A8F">
        <w:t xml:space="preserve"> </w:t>
      </w:r>
      <w:r w:rsidRPr="001B5A8F">
        <w:t xml:space="preserve">needed in order to better support </w:t>
      </w:r>
      <w:r w:rsidR="006B20B0" w:rsidRPr="001B5A8F">
        <w:t>people with disability across the student lifecycle.</w:t>
      </w:r>
    </w:p>
    <w:p w14:paraId="1EF5F26E" w14:textId="6F681D44" w:rsidR="00FA479D" w:rsidRPr="001B5A8F" w:rsidRDefault="00C81BC4" w:rsidP="002C0E51">
      <w:pPr>
        <w:pStyle w:val="Heading2"/>
      </w:pPr>
      <w:bookmarkStart w:id="34" w:name="_Toc132100488"/>
      <w:bookmarkStart w:id="35" w:name="_Toc132125068"/>
      <w:bookmarkStart w:id="36" w:name="_Toc132139891"/>
      <w:bookmarkStart w:id="37" w:name="_Toc132139951"/>
      <w:r w:rsidRPr="001B5A8F">
        <w:t>Access</w:t>
      </w:r>
      <w:bookmarkEnd w:id="34"/>
      <w:bookmarkEnd w:id="35"/>
      <w:bookmarkEnd w:id="36"/>
      <w:bookmarkEnd w:id="37"/>
    </w:p>
    <w:p w14:paraId="02948553" w14:textId="03AD25F9" w:rsidR="00C81BC4" w:rsidRPr="001B5A8F" w:rsidRDefault="00C81BC4" w:rsidP="00965191">
      <w:r w:rsidRPr="001B5A8F">
        <w:t>To better support students transitioning from school to tertiary education there are a range of interventions that require attention:</w:t>
      </w:r>
    </w:p>
    <w:p w14:paraId="03F99E1F" w14:textId="77777777" w:rsidR="001109D4" w:rsidRPr="001B5A8F" w:rsidRDefault="001109D4" w:rsidP="001109D4">
      <w:pPr>
        <w:pStyle w:val="bullettedlist"/>
      </w:pPr>
      <w:r w:rsidRPr="001B5A8F">
        <w:rPr>
          <w:b/>
          <w:bCs/>
        </w:rPr>
        <w:t>specific funding for prospective students with disability</w:t>
      </w:r>
      <w:r w:rsidRPr="001B5A8F">
        <w:t xml:space="preserve"> which supports outreach, access and pathways into tertiary education. This includes more flexible admissions and entry processes which better capture the impact of disability on achievement and access to more disability-friendly enabling and bridging programs.</w:t>
      </w:r>
    </w:p>
    <w:p w14:paraId="685C6B86" w14:textId="65A50B95" w:rsidR="001A141B" w:rsidRPr="001B5A8F" w:rsidRDefault="00602573" w:rsidP="005F20C7">
      <w:pPr>
        <w:pStyle w:val="bullettedlist"/>
      </w:pPr>
      <w:r w:rsidRPr="001B5A8F">
        <w:rPr>
          <w:b/>
          <w:bCs/>
        </w:rPr>
        <w:t>explicit reference to disability in HEPPP</w:t>
      </w:r>
      <w:r w:rsidR="00B758F8" w:rsidRPr="001B5A8F">
        <w:t xml:space="preserve"> </w:t>
      </w:r>
      <w:r w:rsidR="007B6D43" w:rsidRPr="001B5A8F">
        <w:t>in order to facilitate better outreach by universities to people with disability. This would includ</w:t>
      </w:r>
      <w:r w:rsidR="00E254A1" w:rsidRPr="001B5A8F">
        <w:t>e</w:t>
      </w:r>
      <w:r w:rsidR="007B6D43" w:rsidRPr="001B5A8F">
        <w:t xml:space="preserve"> building </w:t>
      </w:r>
      <w:r w:rsidR="00200244" w:rsidRPr="001B5A8F">
        <w:t>capacity</w:t>
      </w:r>
      <w:r w:rsidR="00B758F8" w:rsidRPr="001B5A8F">
        <w:t xml:space="preserve"> </w:t>
      </w:r>
      <w:r w:rsidR="00E07E89" w:rsidRPr="001B5A8F">
        <w:t xml:space="preserve">around disability awareness and responsiveness </w:t>
      </w:r>
      <w:r w:rsidR="00B758F8" w:rsidRPr="001B5A8F">
        <w:t xml:space="preserve">amongst schooling staff, </w:t>
      </w:r>
      <w:r w:rsidR="00200244" w:rsidRPr="001B5A8F">
        <w:t>university</w:t>
      </w:r>
      <w:r w:rsidR="0052416B" w:rsidRPr="001B5A8F">
        <w:t>-</w:t>
      </w:r>
      <w:r w:rsidR="00200244" w:rsidRPr="001B5A8F">
        <w:t>based</w:t>
      </w:r>
      <w:r w:rsidR="00B758F8" w:rsidRPr="001B5A8F">
        <w:t xml:space="preserve"> outreach practitioners</w:t>
      </w:r>
      <w:r w:rsidR="0052416B" w:rsidRPr="001B5A8F">
        <w:t xml:space="preserve"> and educators</w:t>
      </w:r>
      <w:r w:rsidR="00200244" w:rsidRPr="001B5A8F">
        <w:t xml:space="preserve"> to foster greater inclusion of students with disability</w:t>
      </w:r>
    </w:p>
    <w:p w14:paraId="17E6E36A" w14:textId="5CFBE436" w:rsidR="00C81BC4" w:rsidRDefault="00602573" w:rsidP="001109D4">
      <w:pPr>
        <w:pStyle w:val="bullettedlist"/>
      </w:pPr>
      <w:r w:rsidRPr="001B5A8F">
        <w:rPr>
          <w:b/>
          <w:bCs/>
        </w:rPr>
        <w:t>better integration between high school and university in relation to reasonable adjustments</w:t>
      </w:r>
      <w:r w:rsidR="001A141B" w:rsidRPr="001B5A8F">
        <w:t xml:space="preserve"> through integration of the National Consistent </w:t>
      </w:r>
      <w:r w:rsidR="000E2F80" w:rsidRPr="001B5A8F">
        <w:t>Collection</w:t>
      </w:r>
      <w:r w:rsidR="001A141B" w:rsidRPr="001B5A8F">
        <w:t xml:space="preserve"> of Data (NCCD) mechanism with a university sector </w:t>
      </w:r>
      <w:r w:rsidR="00446A65" w:rsidRPr="001B5A8F">
        <w:t>us</w:t>
      </w:r>
      <w:r w:rsidR="001A141B" w:rsidRPr="001B5A8F">
        <w:t>ing the Unique Student Identifier</w:t>
      </w:r>
      <w:r w:rsidR="3C1C94E7" w:rsidRPr="001B5A8F">
        <w:t xml:space="preserve"> as identified in the 2020 review of the Disability Standards for Education (DSE)</w:t>
      </w:r>
      <w:r w:rsidR="0E0E394E" w:rsidRPr="001B5A8F">
        <w:t>.</w:t>
      </w:r>
    </w:p>
    <w:p w14:paraId="1D0A73E1" w14:textId="77777777" w:rsidR="0067735E" w:rsidRPr="001B5A8F" w:rsidRDefault="0067735E" w:rsidP="0067735E"/>
    <w:p w14:paraId="7169F535" w14:textId="471940EF" w:rsidR="00861697" w:rsidRPr="001B5A8F" w:rsidRDefault="00861697" w:rsidP="00235B26">
      <w:pPr>
        <w:pStyle w:val="Recommendation"/>
      </w:pPr>
      <w:r w:rsidRPr="001B5A8F">
        <w:t xml:space="preserve">Recommendation </w:t>
      </w:r>
      <w:r w:rsidR="00CB766E">
        <w:t>4</w:t>
      </w:r>
    </w:p>
    <w:p w14:paraId="290B993D" w14:textId="5D01A0C1" w:rsidR="001B2231" w:rsidRPr="001B5A8F" w:rsidRDefault="00861697" w:rsidP="00235B26">
      <w:pPr>
        <w:pStyle w:val="Recommendation"/>
        <w:rPr>
          <w:b w:val="0"/>
          <w:bCs/>
          <w:i w:val="0"/>
          <w:iCs/>
        </w:rPr>
      </w:pPr>
      <w:r w:rsidRPr="001B5A8F">
        <w:rPr>
          <w:b w:val="0"/>
          <w:bCs/>
          <w:i w:val="0"/>
          <w:iCs/>
        </w:rPr>
        <w:t>Review</w:t>
      </w:r>
      <w:r w:rsidR="00235B26" w:rsidRPr="001B5A8F">
        <w:rPr>
          <w:b w:val="0"/>
          <w:bCs/>
          <w:i w:val="0"/>
          <w:iCs/>
        </w:rPr>
        <w:t xml:space="preserve"> </w:t>
      </w:r>
      <w:r w:rsidR="00936886" w:rsidRPr="001B5A8F">
        <w:rPr>
          <w:b w:val="0"/>
          <w:bCs/>
          <w:i w:val="0"/>
          <w:iCs/>
        </w:rPr>
        <w:t xml:space="preserve">and increase </w:t>
      </w:r>
      <w:r w:rsidR="00235B26" w:rsidRPr="001B5A8F">
        <w:rPr>
          <w:b w:val="0"/>
          <w:bCs/>
          <w:i w:val="0"/>
          <w:iCs/>
        </w:rPr>
        <w:t xml:space="preserve">funding to support initiatives specifically aimed at the transition of students from the schooling to tertiary education sector </w:t>
      </w:r>
      <w:r w:rsidR="00DA52F3" w:rsidRPr="001B5A8F">
        <w:rPr>
          <w:b w:val="0"/>
          <w:bCs/>
          <w:i w:val="0"/>
          <w:iCs/>
        </w:rPr>
        <w:t>including</w:t>
      </w:r>
      <w:r w:rsidR="00CA4C7D" w:rsidRPr="001B5A8F">
        <w:rPr>
          <w:b w:val="0"/>
          <w:bCs/>
          <w:i w:val="0"/>
          <w:iCs/>
        </w:rPr>
        <w:t xml:space="preserve"> outreach activities, pathways, enabling programs, capacity-building for staff in school and tertiary sector</w:t>
      </w:r>
      <w:r w:rsidR="00936886" w:rsidRPr="001B5A8F">
        <w:rPr>
          <w:b w:val="0"/>
          <w:bCs/>
          <w:i w:val="0"/>
          <w:iCs/>
        </w:rPr>
        <w:t xml:space="preserve"> in order to increase the </w:t>
      </w:r>
      <w:r w:rsidR="000F6878" w:rsidRPr="001B5A8F">
        <w:rPr>
          <w:b w:val="0"/>
          <w:bCs/>
          <w:i w:val="0"/>
          <w:iCs/>
        </w:rPr>
        <w:t>awareness of post-secondary school options for people with disability.</w:t>
      </w:r>
    </w:p>
    <w:p w14:paraId="469E7502" w14:textId="0A81E743" w:rsidR="005F20C7" w:rsidRPr="001B5A8F" w:rsidRDefault="00C746E5" w:rsidP="002C0E51">
      <w:pPr>
        <w:pStyle w:val="Heading2"/>
      </w:pPr>
      <w:bookmarkStart w:id="38" w:name="_Toc132100489"/>
      <w:bookmarkStart w:id="39" w:name="_Toc132125069"/>
      <w:bookmarkStart w:id="40" w:name="_Toc132139892"/>
      <w:bookmarkStart w:id="41" w:name="_Toc132139952"/>
      <w:r w:rsidRPr="001B5A8F">
        <w:lastRenderedPageBreak/>
        <w:t>Participation</w:t>
      </w:r>
      <w:r w:rsidR="004E14F6" w:rsidRPr="001B5A8F">
        <w:t xml:space="preserve">, </w:t>
      </w:r>
      <w:r w:rsidRPr="001B5A8F">
        <w:t>Retention</w:t>
      </w:r>
      <w:r w:rsidR="004E14F6" w:rsidRPr="001B5A8F">
        <w:t xml:space="preserve"> and Success</w:t>
      </w:r>
      <w:bookmarkEnd w:id="38"/>
      <w:bookmarkEnd w:id="39"/>
      <w:bookmarkEnd w:id="40"/>
      <w:bookmarkEnd w:id="41"/>
    </w:p>
    <w:p w14:paraId="2983D7AC" w14:textId="336532BA" w:rsidR="00B21942" w:rsidRPr="001B5A8F" w:rsidRDefault="00B21942" w:rsidP="00B21942">
      <w:r w:rsidRPr="001B5A8F">
        <w:t>To improve the participation and retention of people with disability we suggest:</w:t>
      </w:r>
    </w:p>
    <w:p w14:paraId="095C83EF" w14:textId="1EF22CE4" w:rsidR="001E1199" w:rsidRPr="001B5A8F" w:rsidRDefault="00EB6C67" w:rsidP="00411433">
      <w:pPr>
        <w:pStyle w:val="bullettedlist"/>
        <w:rPr>
          <w:sz w:val="20"/>
          <w:szCs w:val="20"/>
          <w:lang w:val="en-AU" w:eastAsia="en-AU"/>
        </w:rPr>
      </w:pPr>
      <w:r w:rsidRPr="001B5A8F">
        <w:rPr>
          <w:b/>
          <w:bCs/>
          <w:lang w:val="en-AU" w:eastAsia="en-AU"/>
        </w:rPr>
        <w:t>capacity building of staff and educators in the higher education sector</w:t>
      </w:r>
      <w:r w:rsidRPr="001B5A8F">
        <w:rPr>
          <w:lang w:val="en-AU" w:eastAsia="en-AU"/>
        </w:rPr>
        <w:t xml:space="preserve"> around disability awareness</w:t>
      </w:r>
      <w:r w:rsidR="001E1199" w:rsidRPr="001B5A8F">
        <w:rPr>
          <w:lang w:val="en-AU" w:eastAsia="en-AU"/>
        </w:rPr>
        <w:t>,</w:t>
      </w:r>
      <w:r w:rsidRPr="001B5A8F">
        <w:rPr>
          <w:lang w:val="en-AU" w:eastAsia="en-AU"/>
        </w:rPr>
        <w:t xml:space="preserve"> responsiveness</w:t>
      </w:r>
      <w:r w:rsidR="001E1199" w:rsidRPr="001B5A8F">
        <w:rPr>
          <w:lang w:val="en-AU" w:eastAsia="en-AU"/>
        </w:rPr>
        <w:t xml:space="preserve"> and compliance in order to better support students with disability</w:t>
      </w:r>
      <w:r w:rsidR="00EB7135" w:rsidRPr="001B5A8F">
        <w:rPr>
          <w:lang w:val="en-AU" w:eastAsia="en-AU"/>
        </w:rPr>
        <w:t xml:space="preserve">. For example, ADCET provides </w:t>
      </w:r>
      <w:hyperlink r:id="rId31">
        <w:r w:rsidR="2DFD289C" w:rsidRPr="001B5A8F">
          <w:rPr>
            <w:rStyle w:val="Hyperlink"/>
            <w:lang w:val="en-AU" w:eastAsia="en-AU"/>
          </w:rPr>
          <w:t>free</w:t>
        </w:r>
        <w:r w:rsidR="281726CF" w:rsidRPr="001B5A8F">
          <w:rPr>
            <w:rStyle w:val="Hyperlink"/>
            <w:lang w:val="en-AU" w:eastAsia="en-AU"/>
          </w:rPr>
          <w:t xml:space="preserve"> eLearning</w:t>
        </w:r>
        <w:r w:rsidR="099A2C68" w:rsidRPr="001B5A8F">
          <w:rPr>
            <w:rStyle w:val="Hyperlink"/>
            <w:lang w:val="en-AU" w:eastAsia="en-AU"/>
          </w:rPr>
          <w:t xml:space="preserve"> packages</w:t>
        </w:r>
      </w:hyperlink>
      <w:r w:rsidR="00737B6C" w:rsidRPr="001B5A8F">
        <w:rPr>
          <w:lang w:val="en-AU" w:eastAsia="en-AU"/>
        </w:rPr>
        <w:t xml:space="preserve"> on disability awareness, U</w:t>
      </w:r>
      <w:r w:rsidR="00D1467F" w:rsidRPr="001B5A8F">
        <w:rPr>
          <w:lang w:val="en-AU" w:eastAsia="en-AU"/>
        </w:rPr>
        <w:t xml:space="preserve">DL, supporting students in transition </w:t>
      </w:r>
      <w:r w:rsidR="00AB4C4C" w:rsidRPr="001B5A8F">
        <w:rPr>
          <w:lang w:val="en-AU" w:eastAsia="en-AU"/>
        </w:rPr>
        <w:t>to tertiary study and more</w:t>
      </w:r>
      <w:r w:rsidR="4CB30817" w:rsidRPr="001B5A8F">
        <w:rPr>
          <w:lang w:val="en-AU" w:eastAsia="en-AU"/>
        </w:rPr>
        <w:t>,</w:t>
      </w:r>
      <w:r w:rsidR="00310579" w:rsidRPr="001B5A8F">
        <w:rPr>
          <w:lang w:val="en-AU" w:eastAsia="en-AU"/>
        </w:rPr>
        <w:t xml:space="preserve"> enhanced by additional professional development opportunities through </w:t>
      </w:r>
      <w:r w:rsidR="009E6AE9" w:rsidRPr="001B5A8F">
        <w:rPr>
          <w:lang w:val="en-AU" w:eastAsia="en-AU"/>
        </w:rPr>
        <w:t>the website.</w:t>
      </w:r>
    </w:p>
    <w:p w14:paraId="07C4B490" w14:textId="04499090" w:rsidR="00F97D5C" w:rsidRPr="001B5A8F" w:rsidRDefault="00F97D5C" w:rsidP="00F97D5C">
      <w:pPr>
        <w:pStyle w:val="bullettedlist"/>
      </w:pPr>
      <w:r w:rsidRPr="001B5A8F">
        <w:rPr>
          <w:b/>
          <w:bCs/>
        </w:rPr>
        <w:t xml:space="preserve">sharing of </w:t>
      </w:r>
      <w:r w:rsidR="5BC093D1" w:rsidRPr="2DF5936F">
        <w:rPr>
          <w:b/>
          <w:bCs/>
        </w:rPr>
        <w:t>good</w:t>
      </w:r>
      <w:r w:rsidRPr="001B5A8F">
        <w:rPr>
          <w:b/>
          <w:bCs/>
        </w:rPr>
        <w:t xml:space="preserve"> practice </w:t>
      </w:r>
      <w:r w:rsidRPr="001B5A8F">
        <w:t xml:space="preserve">from all equity groups and further development of disability appropriate supports to students in the </w:t>
      </w:r>
      <w:r w:rsidR="004875BF" w:rsidRPr="001B5A8F">
        <w:t>first-year</w:t>
      </w:r>
      <w:r w:rsidRPr="001B5A8F">
        <w:t xml:space="preserve"> experience, and into subsequent years </w:t>
      </w:r>
      <w:r w:rsidR="00C837A4" w:rsidRPr="001B5A8F">
        <w:t xml:space="preserve">(e.g., </w:t>
      </w:r>
      <w:r w:rsidR="0067735E" w:rsidRPr="001B5A8F">
        <w:t>first year</w:t>
      </w:r>
      <w:r w:rsidR="00C837A4" w:rsidRPr="001B5A8F">
        <w:t xml:space="preserve"> and transition programs for equity groups, mentoring programs, </w:t>
      </w:r>
      <w:r w:rsidR="007B43CB" w:rsidRPr="001B5A8F">
        <w:t xml:space="preserve">enabling programs, peer support programs, </w:t>
      </w:r>
      <w:r w:rsidR="002969E3" w:rsidRPr="001B5A8F">
        <w:t xml:space="preserve">inclusive </w:t>
      </w:r>
      <w:r w:rsidR="007B43CB" w:rsidRPr="001B5A8F">
        <w:t>learning and teac</w:t>
      </w:r>
      <w:r w:rsidR="002969E3" w:rsidRPr="001B5A8F">
        <w:t>hing strategies for equity groups)</w:t>
      </w:r>
      <w:r w:rsidR="000030AF" w:rsidRPr="001B5A8F">
        <w:t xml:space="preserve">. ADCET already provides opportunities for </w:t>
      </w:r>
      <w:r w:rsidR="00A45247" w:rsidRPr="001B5A8F">
        <w:t xml:space="preserve">sharing of good practice such as webinars, web resources, feature articles, newsletter and could continue to collaborate with the sector to showcase </w:t>
      </w:r>
      <w:r w:rsidR="0045556E" w:rsidRPr="001B5A8F">
        <w:t>this work</w:t>
      </w:r>
    </w:p>
    <w:p w14:paraId="3A7BE65D" w14:textId="68E44E4B" w:rsidR="00411433" w:rsidRPr="001B5A8F" w:rsidRDefault="00411433" w:rsidP="00411433">
      <w:pPr>
        <w:pStyle w:val="bullettedlist"/>
      </w:pPr>
      <w:r w:rsidRPr="001B5A8F">
        <w:rPr>
          <w:b/>
          <w:bCs/>
        </w:rPr>
        <w:t xml:space="preserve">appropriate support for students with disability </w:t>
      </w:r>
      <w:r w:rsidR="007F331F" w:rsidRPr="001B5A8F">
        <w:rPr>
          <w:b/>
          <w:bCs/>
        </w:rPr>
        <w:t>through the DSP</w:t>
      </w:r>
      <w:r w:rsidRPr="001B5A8F">
        <w:t xml:space="preserve"> </w:t>
      </w:r>
      <w:r w:rsidR="00D14F73" w:rsidRPr="001B5A8F">
        <w:t xml:space="preserve">to ensure all universities are </w:t>
      </w:r>
      <w:r w:rsidR="00655051">
        <w:t>consistently providing support</w:t>
      </w:r>
      <w:r w:rsidR="002E6D42">
        <w:t xml:space="preserve"> including </w:t>
      </w:r>
      <w:r w:rsidR="004F5FD4">
        <w:t>appropriate levels of support through disability practitioners, assistive technologies and specific costs for high needs/</w:t>
      </w:r>
      <w:r w:rsidR="00FE07B3">
        <w:t>high-cost</w:t>
      </w:r>
      <w:r w:rsidR="004F5FD4">
        <w:t xml:space="preserve"> students</w:t>
      </w:r>
    </w:p>
    <w:p w14:paraId="7371A350" w14:textId="7879544D" w:rsidR="00F23DCA" w:rsidRPr="001B5A8F" w:rsidRDefault="00447C80" w:rsidP="00411433">
      <w:pPr>
        <w:pStyle w:val="bullettedlist"/>
        <w:rPr>
          <w:sz w:val="20"/>
          <w:szCs w:val="20"/>
          <w:lang w:val="en-AU" w:eastAsia="en-AU"/>
        </w:rPr>
      </w:pPr>
      <w:r w:rsidRPr="001B5A8F">
        <w:rPr>
          <w:lang w:val="en-AU" w:eastAsia="en-AU"/>
        </w:rPr>
        <w:t>ensure that performance-based funding includes</w:t>
      </w:r>
      <w:r w:rsidR="00EE013B" w:rsidRPr="001B5A8F">
        <w:rPr>
          <w:lang w:val="en-AU" w:eastAsia="en-AU"/>
        </w:rPr>
        <w:t xml:space="preserve"> activities which </w:t>
      </w:r>
      <w:r w:rsidR="00EE013B" w:rsidRPr="001B5A8F">
        <w:rPr>
          <w:b/>
          <w:bCs/>
          <w:lang w:val="en-AU" w:eastAsia="en-AU"/>
        </w:rPr>
        <w:t>promote student satisfaction including</w:t>
      </w:r>
      <w:r w:rsidRPr="001B5A8F">
        <w:rPr>
          <w:b/>
          <w:bCs/>
          <w:lang w:val="en-AU" w:eastAsia="en-AU"/>
        </w:rPr>
        <w:t xml:space="preserve"> embedding of inclusive teaching practices</w:t>
      </w:r>
      <w:r w:rsidRPr="001B5A8F">
        <w:rPr>
          <w:lang w:val="en-AU" w:eastAsia="en-AU"/>
        </w:rPr>
        <w:t xml:space="preserve"> such as </w:t>
      </w:r>
      <w:r w:rsidR="00C746E5" w:rsidRPr="001B5A8F">
        <w:rPr>
          <w:lang w:val="en-AU" w:eastAsia="en-AU"/>
        </w:rPr>
        <w:t>U</w:t>
      </w:r>
      <w:r w:rsidRPr="001B5A8F">
        <w:rPr>
          <w:lang w:val="en-AU" w:eastAsia="en-AU"/>
        </w:rPr>
        <w:t>niversal Design for Learning (U</w:t>
      </w:r>
      <w:r w:rsidR="00C746E5" w:rsidRPr="001B5A8F">
        <w:rPr>
          <w:lang w:val="en-AU" w:eastAsia="en-AU"/>
        </w:rPr>
        <w:t>DL</w:t>
      </w:r>
      <w:r w:rsidRPr="001B5A8F">
        <w:rPr>
          <w:lang w:val="en-AU" w:eastAsia="en-AU"/>
        </w:rPr>
        <w:t>)</w:t>
      </w:r>
      <w:r w:rsidR="00BC1D24" w:rsidRPr="001B5A8F">
        <w:rPr>
          <w:lang w:val="en-AU" w:eastAsia="en-AU"/>
        </w:rPr>
        <w:t xml:space="preserve"> </w:t>
      </w:r>
      <w:r w:rsidR="0040791F" w:rsidRPr="001B5A8F">
        <w:rPr>
          <w:lang w:val="en-AU" w:eastAsia="en-AU"/>
        </w:rPr>
        <w:t xml:space="preserve">and digital accessibility and that </w:t>
      </w:r>
      <w:r w:rsidR="004B564E" w:rsidRPr="001B5A8F">
        <w:rPr>
          <w:lang w:val="en-AU" w:eastAsia="en-AU"/>
        </w:rPr>
        <w:t>assistive</w:t>
      </w:r>
      <w:r w:rsidR="0040791F" w:rsidRPr="001B5A8F">
        <w:rPr>
          <w:lang w:val="en-AU" w:eastAsia="en-AU"/>
        </w:rPr>
        <w:t xml:space="preserve"> technologies</w:t>
      </w:r>
      <w:r w:rsidR="004B564E" w:rsidRPr="001B5A8F">
        <w:rPr>
          <w:lang w:val="en-AU" w:eastAsia="en-AU"/>
        </w:rPr>
        <w:t xml:space="preserve"> and </w:t>
      </w:r>
      <w:r w:rsidR="0040791F" w:rsidRPr="001B5A8F">
        <w:rPr>
          <w:lang w:val="en-AU" w:eastAsia="en-AU"/>
        </w:rPr>
        <w:t>are</w:t>
      </w:r>
      <w:r w:rsidR="004B564E" w:rsidRPr="001B5A8F">
        <w:rPr>
          <w:lang w:val="en-AU" w:eastAsia="en-AU"/>
        </w:rPr>
        <w:t xml:space="preserve"> legitimate learning tools</w:t>
      </w:r>
    </w:p>
    <w:p w14:paraId="100D9E76" w14:textId="0056F4CB" w:rsidR="00C746E5" w:rsidRPr="001B5A8F" w:rsidRDefault="00F23DCA" w:rsidP="00411433">
      <w:pPr>
        <w:pStyle w:val="bullettedlist"/>
        <w:rPr>
          <w:sz w:val="20"/>
          <w:szCs w:val="20"/>
          <w:lang w:val="en-AU" w:eastAsia="en-AU"/>
        </w:rPr>
      </w:pPr>
      <w:r w:rsidRPr="001B5A8F">
        <w:rPr>
          <w:lang w:val="en-AU" w:eastAsia="en-AU"/>
        </w:rPr>
        <w:t xml:space="preserve">ensure that performance-based funding includes activities which </w:t>
      </w:r>
      <w:r w:rsidRPr="001B5A8F">
        <w:rPr>
          <w:b/>
          <w:bCs/>
          <w:lang w:val="en-AU" w:eastAsia="en-AU"/>
        </w:rPr>
        <w:t xml:space="preserve">promote student satisfaction through appropriate </w:t>
      </w:r>
      <w:r w:rsidR="00EE013B" w:rsidRPr="001B5A8F">
        <w:rPr>
          <w:b/>
          <w:bCs/>
          <w:lang w:val="en-AU" w:eastAsia="en-AU"/>
        </w:rPr>
        <w:t>digital and physical</w:t>
      </w:r>
      <w:r w:rsidRPr="001B5A8F">
        <w:rPr>
          <w:b/>
          <w:bCs/>
          <w:lang w:val="en-AU" w:eastAsia="en-AU"/>
        </w:rPr>
        <w:t xml:space="preserve"> accessibility</w:t>
      </w:r>
      <w:r w:rsidR="00294AD6" w:rsidRPr="001B5A8F">
        <w:rPr>
          <w:lang w:val="en-AU" w:eastAsia="en-AU"/>
        </w:rPr>
        <w:t xml:space="preserve"> including compliance with good practice in accessibility and appropriate ICT procurement which ensures </w:t>
      </w:r>
      <w:r w:rsidR="008E59B6" w:rsidRPr="001B5A8F">
        <w:rPr>
          <w:lang w:val="en-AU" w:eastAsia="en-AU"/>
        </w:rPr>
        <w:t xml:space="preserve">accessibility for </w:t>
      </w:r>
      <w:r w:rsidR="00294AD6" w:rsidRPr="001B5A8F">
        <w:rPr>
          <w:lang w:val="en-AU" w:eastAsia="en-AU"/>
        </w:rPr>
        <w:t xml:space="preserve">all students and staff with disability </w:t>
      </w:r>
    </w:p>
    <w:p w14:paraId="6C3FBB94" w14:textId="15615419" w:rsidR="00A92654" w:rsidRPr="001B5A8F" w:rsidRDefault="00A92654" w:rsidP="00411433">
      <w:pPr>
        <w:pStyle w:val="bullettedlist"/>
        <w:rPr>
          <w:sz w:val="20"/>
          <w:szCs w:val="20"/>
          <w:lang w:val="en-AU" w:eastAsia="en-AU"/>
        </w:rPr>
      </w:pPr>
      <w:r w:rsidRPr="001B5A8F">
        <w:rPr>
          <w:b/>
          <w:bCs/>
          <w:lang w:val="en-AU" w:eastAsia="en-AU"/>
        </w:rPr>
        <w:t xml:space="preserve">Reduce </w:t>
      </w:r>
      <w:r w:rsidR="0034004A" w:rsidRPr="001B5A8F">
        <w:rPr>
          <w:b/>
          <w:bCs/>
          <w:lang w:val="en-AU" w:eastAsia="en-AU"/>
        </w:rPr>
        <w:t xml:space="preserve">the burden of study </w:t>
      </w:r>
      <w:r w:rsidRPr="001B5A8F">
        <w:rPr>
          <w:b/>
          <w:bCs/>
          <w:lang w:val="en-AU" w:eastAsia="en-AU"/>
        </w:rPr>
        <w:t xml:space="preserve">costs for </w:t>
      </w:r>
      <w:r w:rsidR="0019249A" w:rsidRPr="001B5A8F">
        <w:rPr>
          <w:b/>
          <w:bCs/>
          <w:lang w:val="en-AU" w:eastAsia="en-AU"/>
        </w:rPr>
        <w:t>students with disability</w:t>
      </w:r>
      <w:r w:rsidR="0019249A" w:rsidRPr="001B5A8F">
        <w:rPr>
          <w:lang w:val="en-AU" w:eastAsia="en-AU"/>
        </w:rPr>
        <w:t xml:space="preserve"> by</w:t>
      </w:r>
      <w:r w:rsidR="0054384C" w:rsidRPr="001B5A8F">
        <w:rPr>
          <w:lang w:val="en-AU" w:eastAsia="en-AU"/>
        </w:rPr>
        <w:t>:</w:t>
      </w:r>
    </w:p>
    <w:p w14:paraId="6D6828E0" w14:textId="6AAB833D" w:rsidR="00783834" w:rsidRPr="001B5A8F" w:rsidRDefault="0054384C" w:rsidP="00B443B2">
      <w:pPr>
        <w:pStyle w:val="bullet2"/>
        <w:rPr>
          <w:sz w:val="20"/>
          <w:szCs w:val="20"/>
        </w:rPr>
      </w:pPr>
      <w:r w:rsidRPr="001B5A8F">
        <w:t>p</w:t>
      </w:r>
      <w:r w:rsidR="0019249A" w:rsidRPr="001B5A8F">
        <w:t xml:space="preserve">roviding better </w:t>
      </w:r>
      <w:r w:rsidR="00783834" w:rsidRPr="001B5A8F">
        <w:t>living allowances through Centrelink (e.g., Youth Allowance, Disability Support Pension, study supplements</w:t>
      </w:r>
      <w:r w:rsidR="00631821" w:rsidRPr="001B5A8F">
        <w:t xml:space="preserve"> and extend Tertiary Access Payments to all equity groups</w:t>
      </w:r>
    </w:p>
    <w:p w14:paraId="5359F4BE" w14:textId="57F55A4E" w:rsidR="0019249A" w:rsidRPr="001B5A8F" w:rsidRDefault="0054384C" w:rsidP="00B443B2">
      <w:pPr>
        <w:pStyle w:val="bullet2"/>
        <w:rPr>
          <w:sz w:val="20"/>
          <w:szCs w:val="20"/>
        </w:rPr>
      </w:pPr>
      <w:r w:rsidRPr="001B5A8F">
        <w:t>r</w:t>
      </w:r>
      <w:r w:rsidR="00EF60DA" w:rsidRPr="001B5A8F">
        <w:t xml:space="preserve">emove loan contingent Start-Up Scholarships and return them to </w:t>
      </w:r>
      <w:r w:rsidR="00DB13F9" w:rsidRPr="001B5A8F">
        <w:t xml:space="preserve">their previous capacity as </w:t>
      </w:r>
      <w:r w:rsidR="004F1442" w:rsidRPr="001B5A8F">
        <w:t xml:space="preserve">loan-free </w:t>
      </w:r>
      <w:r w:rsidR="00DB13F9" w:rsidRPr="001B5A8F">
        <w:t xml:space="preserve">scholarships </w:t>
      </w:r>
    </w:p>
    <w:p w14:paraId="053F8852" w14:textId="4D61B19E" w:rsidR="002968C6" w:rsidRPr="001B5A8F" w:rsidRDefault="008F6AAE" w:rsidP="00B443B2">
      <w:pPr>
        <w:pStyle w:val="bullet2"/>
        <w:rPr>
          <w:sz w:val="20"/>
          <w:szCs w:val="20"/>
        </w:rPr>
      </w:pPr>
      <w:r w:rsidRPr="001B5A8F">
        <w:t>ensure students with disability on reduced study loads are not disadvantaged financially through</w:t>
      </w:r>
      <w:r w:rsidR="00C94744" w:rsidRPr="001B5A8F">
        <w:t xml:space="preserve"> Centrelink benefits, HELP system, </w:t>
      </w:r>
      <w:r w:rsidR="007A7E98" w:rsidRPr="001B5A8F">
        <w:t>or scholarship</w:t>
      </w:r>
    </w:p>
    <w:p w14:paraId="06055CBB" w14:textId="00213434" w:rsidR="00B002E6" w:rsidRPr="001B5A8F" w:rsidRDefault="00B002E6" w:rsidP="00B443B2">
      <w:pPr>
        <w:pStyle w:val="bullet2"/>
      </w:pPr>
      <w:r w:rsidRPr="001B5A8F">
        <w:t>revise HECS-HELP in line with the review of Higher Education funding including reintroducing demand driven funding and reviewing HECS-HELP for better targeting of investment</w:t>
      </w:r>
      <w:r w:rsidR="00FE6A4A" w:rsidRPr="001B5A8F">
        <w:t xml:space="preserve"> a</w:t>
      </w:r>
      <w:r w:rsidR="00745F78" w:rsidRPr="001B5A8F">
        <w:t xml:space="preserve">s per the </w:t>
      </w:r>
      <w:r w:rsidRPr="001B5A8F">
        <w:t>Productivity Commission’s latest report – Recommendation 8.4 and 8.5). The belief that these changes</w:t>
      </w:r>
      <w:r w:rsidR="00FE6A4A" w:rsidRPr="001B5A8F">
        <w:t xml:space="preserve"> to student contributions</w:t>
      </w:r>
      <w:r w:rsidRPr="001B5A8F">
        <w:t xml:space="preserve"> </w:t>
      </w:r>
      <w:r w:rsidR="00BD3438" w:rsidRPr="001B5A8F">
        <w:t>incentivises</w:t>
      </w:r>
      <w:r w:rsidRPr="001B5A8F">
        <w:t xml:space="preserve"> choice</w:t>
      </w:r>
      <w:r w:rsidR="00BD3438" w:rsidRPr="001B5A8F">
        <w:t xml:space="preserve"> which</w:t>
      </w:r>
      <w:r w:rsidRPr="001B5A8F">
        <w:t xml:space="preserve"> benefit skills gaps </w:t>
      </w:r>
      <w:r w:rsidR="00BD3438" w:rsidRPr="001B5A8F">
        <w:t xml:space="preserve">is false and </w:t>
      </w:r>
      <w:r w:rsidRPr="001B5A8F">
        <w:t xml:space="preserve">leads to limitations around student choice. HECS-HELP student contributions are meant to support access to higher education for all regardless of socio-economic status </w:t>
      </w:r>
      <w:r w:rsidRPr="001B5A8F">
        <w:lastRenderedPageBreak/>
        <w:t>and reflect the cost of course delivery and expected earnings by field of study. Equity groups are not averse to paying a HECS-</w:t>
      </w:r>
      <w:r w:rsidR="00916091" w:rsidRPr="001B5A8F">
        <w:t>debt,</w:t>
      </w:r>
      <w:r w:rsidRPr="001B5A8F">
        <w:t xml:space="preserve"> but they are price sensitive when the expected salary outcomes </w:t>
      </w:r>
      <w:r w:rsidR="004D1554" w:rsidRPr="001B5A8F">
        <w:t>are not</w:t>
      </w:r>
      <w:r w:rsidRPr="001B5A8F">
        <w:t xml:space="preserve"> commensurate with the cost of their degree. In the case of students from equity groups this limits course choice and impacts retention and success.</w:t>
      </w:r>
    </w:p>
    <w:p w14:paraId="640C0045" w14:textId="16C31753" w:rsidR="00A92654" w:rsidRPr="001B5A8F" w:rsidRDefault="0054384C" w:rsidP="00B443B2">
      <w:pPr>
        <w:pStyle w:val="bullet2"/>
        <w:rPr>
          <w:sz w:val="20"/>
        </w:rPr>
      </w:pPr>
      <w:r w:rsidRPr="001B5A8F">
        <w:t>r</w:t>
      </w:r>
      <w:r w:rsidR="00A92654" w:rsidRPr="001B5A8F">
        <w:t xml:space="preserve">aise repayment threshold </w:t>
      </w:r>
      <w:r w:rsidR="004F1442" w:rsidRPr="001B5A8F">
        <w:t xml:space="preserve">of HECS-HELP </w:t>
      </w:r>
      <w:r w:rsidR="005D7ACC" w:rsidRPr="001B5A8F">
        <w:t>especially</w:t>
      </w:r>
      <w:r w:rsidR="004F1442" w:rsidRPr="001B5A8F">
        <w:t xml:space="preserve"> for students with disability, women</w:t>
      </w:r>
      <w:r w:rsidR="005D7ACC" w:rsidRPr="001B5A8F">
        <w:t xml:space="preserve"> and other equity groups who commence their working</w:t>
      </w:r>
      <w:r w:rsidR="00447E81" w:rsidRPr="001B5A8F">
        <w:t xml:space="preserve"> </w:t>
      </w:r>
      <w:r w:rsidR="005D7ACC" w:rsidRPr="001B5A8F">
        <w:t xml:space="preserve">life on lower salaries </w:t>
      </w:r>
    </w:p>
    <w:p w14:paraId="7048E6C0" w14:textId="1359CFFE" w:rsidR="00226294" w:rsidRPr="001B5A8F" w:rsidRDefault="0054384C" w:rsidP="00B443B2">
      <w:pPr>
        <w:pStyle w:val="bullet2"/>
        <w:rPr>
          <w:sz w:val="20"/>
          <w:szCs w:val="20"/>
        </w:rPr>
      </w:pPr>
      <w:r w:rsidRPr="001B5A8F">
        <w:t>p</w:t>
      </w:r>
      <w:r w:rsidR="00226294" w:rsidRPr="001B5A8F">
        <w:t xml:space="preserve">rovide additional accommodation scholarships for people with disability who need accessible accommodation </w:t>
      </w:r>
      <w:r w:rsidR="00ED74BA" w:rsidRPr="001B5A8F">
        <w:t>especially in the current rental market and in regional and remote locations</w:t>
      </w:r>
    </w:p>
    <w:p w14:paraId="260DFEE5" w14:textId="1F23C311" w:rsidR="004B564E" w:rsidRPr="001B5A8F" w:rsidRDefault="004B564E" w:rsidP="004B564E">
      <w:pPr>
        <w:pStyle w:val="bullettedlist"/>
        <w:rPr>
          <w:sz w:val="20"/>
          <w:szCs w:val="20"/>
          <w:lang w:val="en-AU" w:eastAsia="en-AU"/>
        </w:rPr>
      </w:pPr>
      <w:r w:rsidRPr="001B5A8F">
        <w:rPr>
          <w:b/>
          <w:bCs/>
          <w:lang w:val="en-AU" w:eastAsia="en-AU"/>
        </w:rPr>
        <w:t>revise the Job Ready Graduate (JRG) package</w:t>
      </w:r>
      <w:r w:rsidRPr="001B5A8F">
        <w:rPr>
          <w:lang w:val="en-AU" w:eastAsia="en-AU"/>
        </w:rPr>
        <w:t xml:space="preserve"> to include people with disability as part of IRLSAF funding, allow for additional time for students with disability and other equity groups to complete their degrees under a Commonwealth Supported Place (CSP) </w:t>
      </w:r>
      <w:hyperlink r:id="rId32">
        <w:r w:rsidR="0CF97A95" w:rsidRPr="001B5A8F">
          <w:rPr>
            <w:rStyle w:val="Hyperlink"/>
            <w:lang w:val="en-AU" w:eastAsia="en-AU"/>
          </w:rPr>
          <w:t>Student Learning Entitlement</w:t>
        </w:r>
      </w:hyperlink>
      <w:r w:rsidRPr="001B5A8F">
        <w:rPr>
          <w:lang w:val="en-AU" w:eastAsia="en-AU"/>
        </w:rPr>
        <w:t xml:space="preserve"> </w:t>
      </w:r>
      <w:r w:rsidR="007F289A" w:rsidRPr="001B5A8F">
        <w:rPr>
          <w:lang w:val="en-AU" w:eastAsia="en-AU"/>
        </w:rPr>
        <w:t xml:space="preserve">, review the </w:t>
      </w:r>
      <w:hyperlink r:id="rId33">
        <w:r w:rsidR="496C7E98" w:rsidRPr="001B5A8F">
          <w:rPr>
            <w:rStyle w:val="Hyperlink"/>
            <w:lang w:val="en-AU" w:eastAsia="en-AU"/>
          </w:rPr>
          <w:t>Low Completion Rate</w:t>
        </w:r>
      </w:hyperlink>
      <w:r w:rsidR="007F289A" w:rsidRPr="001B5A8F">
        <w:rPr>
          <w:lang w:val="en-AU" w:eastAsia="en-AU"/>
        </w:rPr>
        <w:t xml:space="preserve"> provisions which penalise people with disability a</w:t>
      </w:r>
      <w:r w:rsidRPr="001B5A8F">
        <w:rPr>
          <w:lang w:val="en-AU" w:eastAsia="en-AU"/>
        </w:rPr>
        <w:t>nd revise student contribution bands.</w:t>
      </w:r>
    </w:p>
    <w:p w14:paraId="592C8C52" w14:textId="3FE3953D" w:rsidR="00F9161A" w:rsidRPr="001B5A8F" w:rsidRDefault="00F9161A" w:rsidP="00F9161A">
      <w:pPr>
        <w:pStyle w:val="Recommendation"/>
        <w:rPr>
          <w:lang w:val="en-AU" w:eastAsia="en-AU"/>
        </w:rPr>
      </w:pPr>
      <w:r w:rsidRPr="001B5A8F">
        <w:rPr>
          <w:lang w:val="en-AU" w:eastAsia="en-AU"/>
        </w:rPr>
        <w:t xml:space="preserve">Recommendation </w:t>
      </w:r>
      <w:r w:rsidR="00163FE2">
        <w:rPr>
          <w:lang w:val="en-AU" w:eastAsia="en-AU"/>
        </w:rPr>
        <w:t>5</w:t>
      </w:r>
    </w:p>
    <w:p w14:paraId="428807FD" w14:textId="77777777" w:rsidR="00163FE2" w:rsidRPr="001B5A8F" w:rsidRDefault="00163FE2" w:rsidP="00163FE2">
      <w:pPr>
        <w:pStyle w:val="Recommendation"/>
        <w:rPr>
          <w:b w:val="0"/>
          <w:bCs/>
          <w:i w:val="0"/>
          <w:iCs/>
          <w:lang w:val="en-AU" w:eastAsia="en-AU"/>
        </w:rPr>
      </w:pPr>
      <w:r w:rsidRPr="4AAF47BE">
        <w:rPr>
          <w:b w:val="0"/>
          <w:i w:val="0"/>
          <w:lang w:val="en-AU" w:eastAsia="en-AU"/>
        </w:rPr>
        <w:t>Provide meaningful centrally coordinated funding to address</w:t>
      </w:r>
      <w:r w:rsidRPr="001B5A8F">
        <w:rPr>
          <w:b w:val="0"/>
          <w:bCs/>
          <w:i w:val="0"/>
          <w:iCs/>
          <w:lang w:val="en-AU" w:eastAsia="en-AU"/>
        </w:rPr>
        <w:t xml:space="preserve"> disability inclusion across key elements of digital, physical, cultural and learning inclusion including </w:t>
      </w:r>
      <w:r w:rsidRPr="001B5A8F">
        <w:rPr>
          <w:b w:val="0"/>
          <w:i w:val="0"/>
          <w:lang w:val="en-AU" w:eastAsia="en-AU"/>
        </w:rPr>
        <w:t>building workforce capacity</w:t>
      </w:r>
      <w:r w:rsidRPr="001B5A8F">
        <w:rPr>
          <w:b w:val="0"/>
          <w:bCs/>
          <w:i w:val="0"/>
          <w:iCs/>
          <w:lang w:val="en-AU" w:eastAsia="en-AU"/>
        </w:rPr>
        <w:t xml:space="preserve"> to support people with disability across the student lifecycle.</w:t>
      </w:r>
    </w:p>
    <w:p w14:paraId="5AA2B989" w14:textId="77777777" w:rsidR="008F73E5" w:rsidRPr="001B5A8F" w:rsidRDefault="008F73E5" w:rsidP="008F73E5">
      <w:pPr>
        <w:pStyle w:val="bullettedlist"/>
        <w:numPr>
          <w:ilvl w:val="0"/>
          <w:numId w:val="0"/>
        </w:numPr>
        <w:ind w:left="360" w:hanging="360"/>
        <w:rPr>
          <w:sz w:val="20"/>
          <w:szCs w:val="20"/>
          <w:lang w:val="en-AU" w:eastAsia="en-AU"/>
        </w:rPr>
      </w:pPr>
    </w:p>
    <w:p w14:paraId="57DA4A7D" w14:textId="575C6A08" w:rsidR="00F766F5" w:rsidRPr="001B5A8F" w:rsidRDefault="00F766F5" w:rsidP="00F766F5">
      <w:pPr>
        <w:pStyle w:val="Recommendation"/>
        <w:rPr>
          <w:lang w:val="en-AU" w:eastAsia="en-AU"/>
        </w:rPr>
      </w:pPr>
      <w:r w:rsidRPr="001B5A8F">
        <w:rPr>
          <w:lang w:val="en-AU" w:eastAsia="en-AU"/>
        </w:rPr>
        <w:t xml:space="preserve">Recommendation </w:t>
      </w:r>
      <w:r w:rsidR="00163FE2">
        <w:rPr>
          <w:lang w:val="en-AU" w:eastAsia="en-AU"/>
        </w:rPr>
        <w:t>6</w:t>
      </w:r>
    </w:p>
    <w:p w14:paraId="4EEF92A9" w14:textId="01CB2B28" w:rsidR="00F766F5" w:rsidRPr="001B5A8F" w:rsidRDefault="00F766F5" w:rsidP="007340BC">
      <w:pPr>
        <w:pStyle w:val="Recommendation"/>
        <w:rPr>
          <w:sz w:val="20"/>
          <w:szCs w:val="20"/>
          <w:lang w:val="en-AU" w:eastAsia="en-AU"/>
        </w:rPr>
      </w:pPr>
      <w:r w:rsidRPr="001B5A8F">
        <w:rPr>
          <w:b w:val="0"/>
          <w:bCs/>
          <w:i w:val="0"/>
          <w:iCs/>
          <w:lang w:val="en-AU" w:eastAsia="en-AU"/>
        </w:rPr>
        <w:t>Review higher education policy settings to review cost implications of study</w:t>
      </w:r>
      <w:r w:rsidR="00C9347D" w:rsidRPr="001B5A8F">
        <w:rPr>
          <w:b w:val="0"/>
          <w:bCs/>
          <w:i w:val="0"/>
          <w:iCs/>
          <w:lang w:val="en-AU" w:eastAsia="en-AU"/>
        </w:rPr>
        <w:t xml:space="preserve"> through a disability inclusive lens including addressing </w:t>
      </w:r>
      <w:r w:rsidR="00A40B20" w:rsidRPr="001B5A8F">
        <w:rPr>
          <w:b w:val="0"/>
          <w:bCs/>
          <w:i w:val="0"/>
          <w:iCs/>
          <w:lang w:val="en-AU" w:eastAsia="en-AU"/>
        </w:rPr>
        <w:t xml:space="preserve">study costs, </w:t>
      </w:r>
      <w:r w:rsidR="00D336CF" w:rsidRPr="001B5A8F">
        <w:rPr>
          <w:b w:val="0"/>
          <w:bCs/>
          <w:i w:val="0"/>
          <w:iCs/>
          <w:lang w:val="en-AU" w:eastAsia="en-AU"/>
        </w:rPr>
        <w:t xml:space="preserve">barriers to </w:t>
      </w:r>
      <w:r w:rsidR="007340BC" w:rsidRPr="001B5A8F">
        <w:rPr>
          <w:b w:val="0"/>
          <w:bCs/>
          <w:i w:val="0"/>
          <w:iCs/>
          <w:lang w:val="en-AU" w:eastAsia="en-AU"/>
        </w:rPr>
        <w:t xml:space="preserve">participation and retention. </w:t>
      </w:r>
    </w:p>
    <w:p w14:paraId="28D23B4B" w14:textId="572230AE" w:rsidR="004F489D" w:rsidRPr="001B5A8F" w:rsidRDefault="004E14F6" w:rsidP="002C0E51">
      <w:pPr>
        <w:pStyle w:val="Heading2"/>
        <w:rPr>
          <w:rFonts w:ascii="Segoe UI" w:eastAsia="Times New Roman" w:hAnsi="Segoe UI" w:cs="Segoe UI"/>
          <w:sz w:val="18"/>
          <w:szCs w:val="18"/>
          <w:lang w:val="en-AU" w:eastAsia="en-AU"/>
        </w:rPr>
      </w:pPr>
      <w:bookmarkStart w:id="42" w:name="_Toc132100490"/>
      <w:bookmarkStart w:id="43" w:name="_Toc132125070"/>
      <w:bookmarkStart w:id="44" w:name="_Toc132139893"/>
      <w:bookmarkStart w:id="45" w:name="_Toc132139953"/>
      <w:r w:rsidRPr="001B5A8F">
        <w:t>Graduate Employment</w:t>
      </w:r>
      <w:bookmarkEnd w:id="42"/>
      <w:bookmarkEnd w:id="43"/>
      <w:bookmarkEnd w:id="44"/>
      <w:bookmarkEnd w:id="45"/>
    </w:p>
    <w:p w14:paraId="7CB801CF" w14:textId="2876B8DE" w:rsidR="00ED74BA" w:rsidRPr="001B5A8F" w:rsidRDefault="00354C58" w:rsidP="00ED74BA">
      <w:pPr>
        <w:rPr>
          <w:lang w:val="en-AU" w:eastAsia="en-AU"/>
        </w:rPr>
      </w:pPr>
      <w:r w:rsidRPr="001B5A8F">
        <w:rPr>
          <w:lang w:val="en-AU" w:eastAsia="en-AU"/>
        </w:rPr>
        <w:t xml:space="preserve">Students with disability experience lower </w:t>
      </w:r>
      <w:r w:rsidR="006540F9" w:rsidRPr="001B5A8F">
        <w:rPr>
          <w:lang w:val="en-AU" w:eastAsia="en-AU"/>
        </w:rPr>
        <w:t xml:space="preserve">rates of </w:t>
      </w:r>
      <w:r w:rsidR="00323428" w:rsidRPr="001B5A8F">
        <w:rPr>
          <w:lang w:val="en-AU" w:eastAsia="en-AU"/>
        </w:rPr>
        <w:t>employment</w:t>
      </w:r>
      <w:r w:rsidR="00010647" w:rsidRPr="001B5A8F">
        <w:rPr>
          <w:lang w:val="en-AU" w:eastAsia="en-AU"/>
        </w:rPr>
        <w:t xml:space="preserve"> and </w:t>
      </w:r>
      <w:r w:rsidR="006540F9" w:rsidRPr="001B5A8F">
        <w:rPr>
          <w:lang w:val="en-AU" w:eastAsia="en-AU"/>
        </w:rPr>
        <w:t xml:space="preserve">labour force participation </w:t>
      </w:r>
      <w:r w:rsidR="00010647" w:rsidRPr="001B5A8F">
        <w:rPr>
          <w:lang w:val="en-AU" w:eastAsia="en-AU"/>
        </w:rPr>
        <w:t xml:space="preserve">and lower median salaries </w:t>
      </w:r>
      <w:r w:rsidR="006540F9" w:rsidRPr="001B5A8F">
        <w:rPr>
          <w:lang w:val="en-AU" w:eastAsia="en-AU"/>
        </w:rPr>
        <w:t>than those without a disability</w:t>
      </w:r>
      <w:r w:rsidR="006540F9" w:rsidRPr="001B5A8F">
        <w:rPr>
          <w:rStyle w:val="FootnoteReference"/>
          <w:lang w:val="en-AU" w:eastAsia="en-AU"/>
        </w:rPr>
        <w:footnoteReference w:id="11"/>
      </w:r>
      <w:r w:rsidR="006540F9" w:rsidRPr="001B5A8F">
        <w:rPr>
          <w:lang w:val="en-AU" w:eastAsia="en-AU"/>
        </w:rPr>
        <w:t xml:space="preserve">. </w:t>
      </w:r>
      <w:r w:rsidR="00A2325E" w:rsidRPr="001B5A8F">
        <w:rPr>
          <w:lang w:val="en-AU" w:eastAsia="en-AU"/>
        </w:rPr>
        <w:t xml:space="preserve">There are a range of reasons for this notwithstanding </w:t>
      </w:r>
      <w:r w:rsidR="00817192" w:rsidRPr="001B5A8F">
        <w:rPr>
          <w:lang w:val="en-AU" w:eastAsia="en-AU"/>
        </w:rPr>
        <w:t xml:space="preserve">poor career transition support within university career services and Disability Employment </w:t>
      </w:r>
      <w:r w:rsidR="005C4CF1" w:rsidRPr="001B5A8F">
        <w:rPr>
          <w:lang w:val="en-AU" w:eastAsia="en-AU"/>
        </w:rPr>
        <w:t>Services</w:t>
      </w:r>
      <w:r w:rsidR="0081793E" w:rsidRPr="001B5A8F">
        <w:rPr>
          <w:lang w:val="en-AU" w:eastAsia="en-AU"/>
        </w:rPr>
        <w:t xml:space="preserve"> (DES)</w:t>
      </w:r>
      <w:r w:rsidR="005C4CF1" w:rsidRPr="001B5A8F">
        <w:rPr>
          <w:lang w:val="en-AU" w:eastAsia="en-AU"/>
        </w:rPr>
        <w:t xml:space="preserve">, </w:t>
      </w:r>
      <w:r w:rsidR="00A2325E" w:rsidRPr="001B5A8F">
        <w:rPr>
          <w:lang w:val="en-AU" w:eastAsia="en-AU"/>
        </w:rPr>
        <w:t xml:space="preserve">a culture of low expectation, </w:t>
      </w:r>
      <w:r w:rsidR="000A07A9" w:rsidRPr="001B5A8F">
        <w:rPr>
          <w:lang w:val="en-AU" w:eastAsia="en-AU"/>
        </w:rPr>
        <w:t xml:space="preserve">inaccessible or </w:t>
      </w:r>
      <w:r w:rsidR="00A2325E" w:rsidRPr="001B5A8F">
        <w:rPr>
          <w:lang w:val="en-AU" w:eastAsia="en-AU"/>
        </w:rPr>
        <w:t>discriminatory hiri</w:t>
      </w:r>
      <w:r w:rsidR="000A07A9" w:rsidRPr="001B5A8F">
        <w:rPr>
          <w:lang w:val="en-AU" w:eastAsia="en-AU"/>
        </w:rPr>
        <w:t>ng practices</w:t>
      </w:r>
      <w:r w:rsidR="00817192" w:rsidRPr="001B5A8F">
        <w:rPr>
          <w:lang w:val="en-AU" w:eastAsia="en-AU"/>
        </w:rPr>
        <w:t>,</w:t>
      </w:r>
      <w:r w:rsidR="005C4CF1" w:rsidRPr="001B5A8F">
        <w:rPr>
          <w:lang w:val="en-AU" w:eastAsia="en-AU"/>
        </w:rPr>
        <w:t xml:space="preserve"> and limited flexibility for people with disability</w:t>
      </w:r>
      <w:r w:rsidR="00E61533" w:rsidRPr="001B5A8F">
        <w:rPr>
          <w:lang w:val="en-AU" w:eastAsia="en-AU"/>
        </w:rPr>
        <w:t xml:space="preserve"> (Eckstein, 2022)</w:t>
      </w:r>
      <w:r w:rsidR="005C4CF1" w:rsidRPr="001B5A8F">
        <w:rPr>
          <w:lang w:val="en-AU" w:eastAsia="en-AU"/>
        </w:rPr>
        <w:t>.</w:t>
      </w:r>
    </w:p>
    <w:p w14:paraId="77D851A6" w14:textId="77777777" w:rsidR="005C4CF1" w:rsidRPr="001B5A8F" w:rsidRDefault="005C4CF1" w:rsidP="00ED74BA">
      <w:pPr>
        <w:rPr>
          <w:lang w:val="en-AU" w:eastAsia="en-AU"/>
        </w:rPr>
      </w:pPr>
    </w:p>
    <w:p w14:paraId="2EE9C170" w14:textId="1848F6BC" w:rsidR="00F677A9" w:rsidRPr="001B5A8F" w:rsidRDefault="0080096E" w:rsidP="00ED74BA">
      <w:pPr>
        <w:rPr>
          <w:lang w:val="en-AU" w:eastAsia="en-AU"/>
        </w:rPr>
      </w:pPr>
      <w:r w:rsidRPr="001B5A8F">
        <w:rPr>
          <w:lang w:val="en-AU" w:eastAsia="en-AU"/>
        </w:rPr>
        <w:t xml:space="preserve">Supporting the success of students with disability starts with organisational change and universities need to do better at disability inclusion as a whole. </w:t>
      </w:r>
      <w:r w:rsidR="00DB6628" w:rsidRPr="001B5A8F">
        <w:rPr>
          <w:lang w:val="en-AU" w:eastAsia="en-AU"/>
        </w:rPr>
        <w:t>As previous</w:t>
      </w:r>
      <w:r w:rsidR="00A8160D" w:rsidRPr="001B5A8F">
        <w:rPr>
          <w:lang w:val="en-AU" w:eastAsia="en-AU"/>
        </w:rPr>
        <w:t xml:space="preserve">ly </w:t>
      </w:r>
      <w:r w:rsidR="00916091" w:rsidRPr="001B5A8F">
        <w:rPr>
          <w:lang w:val="en-AU" w:eastAsia="en-AU"/>
        </w:rPr>
        <w:t>stated,</w:t>
      </w:r>
      <w:r w:rsidR="00A8160D" w:rsidRPr="001B5A8F">
        <w:rPr>
          <w:lang w:val="en-AU" w:eastAsia="en-AU"/>
        </w:rPr>
        <w:t xml:space="preserve"> mandatory Disability Inclusion Action Plans which address disability awareness and responsiveness, </w:t>
      </w:r>
      <w:r w:rsidR="00C26D01" w:rsidRPr="001B5A8F">
        <w:rPr>
          <w:lang w:val="en-AU" w:eastAsia="en-AU"/>
        </w:rPr>
        <w:t xml:space="preserve">implement disability-friendly recruitment processes so that people with </w:t>
      </w:r>
      <w:r w:rsidR="00C26D01" w:rsidRPr="001B5A8F">
        <w:rPr>
          <w:lang w:val="en-AU" w:eastAsia="en-AU"/>
        </w:rPr>
        <w:lastRenderedPageBreak/>
        <w:t>disability are embe</w:t>
      </w:r>
      <w:r w:rsidR="00D3202C" w:rsidRPr="001B5A8F">
        <w:rPr>
          <w:lang w:val="en-AU" w:eastAsia="en-AU"/>
        </w:rPr>
        <w:t>dded within the organisation, and practical and sustainable strategies around accessibility signal a welcoming space for students and the expectation that industry partners will also share these values.</w:t>
      </w:r>
      <w:r w:rsidR="005D7556" w:rsidRPr="001B5A8F">
        <w:rPr>
          <w:lang w:val="en-AU" w:eastAsia="en-AU"/>
        </w:rPr>
        <w:t xml:space="preserve"> </w:t>
      </w:r>
    </w:p>
    <w:p w14:paraId="42249928" w14:textId="77777777" w:rsidR="00F677A9" w:rsidRPr="001B5A8F" w:rsidRDefault="00F677A9" w:rsidP="00ED74BA">
      <w:pPr>
        <w:rPr>
          <w:lang w:val="en-AU" w:eastAsia="en-AU"/>
        </w:rPr>
      </w:pPr>
    </w:p>
    <w:p w14:paraId="32642FCE" w14:textId="3F6C79FD" w:rsidR="0080096E" w:rsidRPr="001B5A8F" w:rsidRDefault="2C849895" w:rsidP="00ED74BA">
      <w:pPr>
        <w:rPr>
          <w:lang w:val="en-AU" w:eastAsia="en-AU"/>
        </w:rPr>
      </w:pPr>
      <w:r w:rsidRPr="001B5A8F">
        <w:rPr>
          <w:lang w:val="en-AU" w:eastAsia="en-AU"/>
        </w:rPr>
        <w:t xml:space="preserve">Recent </w:t>
      </w:r>
      <w:r w:rsidR="00916091" w:rsidRPr="001B5A8F">
        <w:rPr>
          <w:lang w:val="en-AU" w:eastAsia="en-AU"/>
        </w:rPr>
        <w:t>high-profile</w:t>
      </w:r>
      <w:r w:rsidRPr="001B5A8F">
        <w:rPr>
          <w:lang w:val="en-AU" w:eastAsia="en-AU"/>
        </w:rPr>
        <w:t xml:space="preserve"> </w:t>
      </w:r>
      <w:r w:rsidR="009F2653" w:rsidRPr="001B5A8F">
        <w:rPr>
          <w:lang w:val="en-AU" w:eastAsia="en-AU"/>
        </w:rPr>
        <w:t>research (Eckstein</w:t>
      </w:r>
      <w:r w:rsidR="00DD583D" w:rsidRPr="001B5A8F">
        <w:rPr>
          <w:lang w:val="en-AU" w:eastAsia="en-AU"/>
        </w:rPr>
        <w:t xml:space="preserve"> 2022, Pitman, 2021) </w:t>
      </w:r>
      <w:r w:rsidR="5CB2C1C1" w:rsidRPr="001B5A8F">
        <w:rPr>
          <w:lang w:val="en-AU" w:eastAsia="en-AU"/>
        </w:rPr>
        <w:t>ha</w:t>
      </w:r>
      <w:r w:rsidR="29E576EF" w:rsidRPr="001B5A8F">
        <w:rPr>
          <w:lang w:val="en-AU" w:eastAsia="en-AU"/>
        </w:rPr>
        <w:t>s</w:t>
      </w:r>
      <w:r w:rsidR="005D7556" w:rsidRPr="001B5A8F">
        <w:rPr>
          <w:lang w:val="en-AU" w:eastAsia="en-AU"/>
        </w:rPr>
        <w:t xml:space="preserve"> made specific recommendations</w:t>
      </w:r>
      <w:r w:rsidR="005448B8" w:rsidRPr="001B5A8F">
        <w:rPr>
          <w:lang w:val="en-AU" w:eastAsia="en-AU"/>
        </w:rPr>
        <w:t>. A national body like</w:t>
      </w:r>
      <w:r w:rsidR="005D7556" w:rsidRPr="001B5A8F">
        <w:rPr>
          <w:lang w:val="en-AU" w:eastAsia="en-AU"/>
        </w:rPr>
        <w:t xml:space="preserve"> ADCET </w:t>
      </w:r>
      <w:r w:rsidR="005A7AD7" w:rsidRPr="001B5A8F">
        <w:rPr>
          <w:lang w:val="en-AU" w:eastAsia="en-AU"/>
        </w:rPr>
        <w:t>is well-placed to undertake the capacity building needed to develop disability responsiveness and disability awareness</w:t>
      </w:r>
      <w:r w:rsidR="00994F93" w:rsidRPr="001B5A8F">
        <w:rPr>
          <w:lang w:val="en-AU" w:eastAsia="en-AU"/>
        </w:rPr>
        <w:t xml:space="preserve"> within the tertiary education sector.</w:t>
      </w:r>
    </w:p>
    <w:p w14:paraId="66338304" w14:textId="77777777" w:rsidR="0056002C" w:rsidRPr="001B5A8F" w:rsidRDefault="0056002C" w:rsidP="00ED74BA">
      <w:pPr>
        <w:rPr>
          <w:lang w:val="en-AU" w:eastAsia="en-AU"/>
        </w:rPr>
      </w:pPr>
    </w:p>
    <w:p w14:paraId="2BD7F226" w14:textId="6945E093" w:rsidR="0081793E" w:rsidRPr="001B5A8F" w:rsidRDefault="0056002C" w:rsidP="00ED74BA">
      <w:pPr>
        <w:rPr>
          <w:lang w:val="en-AU" w:eastAsia="en-AU"/>
        </w:rPr>
      </w:pPr>
      <w:r w:rsidRPr="001B5A8F">
        <w:rPr>
          <w:lang w:val="en-AU" w:eastAsia="en-AU"/>
        </w:rPr>
        <w:t>Additional s</w:t>
      </w:r>
      <w:r w:rsidR="005C4CF1" w:rsidRPr="001B5A8F">
        <w:rPr>
          <w:lang w:val="en-AU" w:eastAsia="en-AU"/>
        </w:rPr>
        <w:t xml:space="preserve">uccess factors for graduating students </w:t>
      </w:r>
      <w:r w:rsidRPr="001B5A8F">
        <w:rPr>
          <w:lang w:val="en-AU" w:eastAsia="en-AU"/>
        </w:rPr>
        <w:t>must</w:t>
      </w:r>
      <w:r w:rsidR="005C4CF1" w:rsidRPr="001B5A8F">
        <w:rPr>
          <w:lang w:val="en-AU" w:eastAsia="en-AU"/>
        </w:rPr>
        <w:t xml:space="preserve"> include:</w:t>
      </w:r>
    </w:p>
    <w:p w14:paraId="3A7ED267" w14:textId="649C3377" w:rsidR="00BA28FC" w:rsidRPr="001B5A8F" w:rsidRDefault="00BF0AEA" w:rsidP="00CE7796">
      <w:pPr>
        <w:pStyle w:val="bullettedlist"/>
        <w:rPr>
          <w:rStyle w:val="cf01"/>
          <w:rFonts w:ascii="Arial" w:hAnsi="Arial" w:cs="Arial"/>
          <w:sz w:val="24"/>
          <w:szCs w:val="24"/>
        </w:rPr>
      </w:pPr>
      <w:r w:rsidRPr="001B5A8F">
        <w:rPr>
          <w:rStyle w:val="cf01"/>
          <w:rFonts w:ascii="Arial" w:hAnsi="Arial" w:cs="Arial"/>
          <w:b/>
          <w:bCs/>
          <w:sz w:val="24"/>
          <w:szCs w:val="24"/>
        </w:rPr>
        <w:t xml:space="preserve">a </w:t>
      </w:r>
      <w:r w:rsidR="00BA28FC" w:rsidRPr="001B5A8F">
        <w:rPr>
          <w:rStyle w:val="cf01"/>
          <w:rFonts w:ascii="Arial" w:hAnsi="Arial" w:cs="Arial"/>
          <w:b/>
          <w:bCs/>
          <w:sz w:val="24"/>
          <w:szCs w:val="24"/>
        </w:rPr>
        <w:t>f</w:t>
      </w:r>
      <w:r w:rsidRPr="001B5A8F">
        <w:rPr>
          <w:rStyle w:val="cf01"/>
          <w:rFonts w:ascii="Arial" w:hAnsi="Arial" w:cs="Arial"/>
          <w:b/>
          <w:bCs/>
          <w:sz w:val="24"/>
          <w:szCs w:val="24"/>
        </w:rPr>
        <w:t xml:space="preserve">ormalised graduate </w:t>
      </w:r>
      <w:r w:rsidR="00213470" w:rsidRPr="001B5A8F">
        <w:rPr>
          <w:rStyle w:val="cf01"/>
          <w:rFonts w:ascii="Arial" w:hAnsi="Arial" w:cs="Arial"/>
          <w:b/>
          <w:bCs/>
          <w:sz w:val="24"/>
          <w:szCs w:val="24"/>
        </w:rPr>
        <w:t xml:space="preserve">capability </w:t>
      </w:r>
      <w:r w:rsidRPr="001B5A8F">
        <w:rPr>
          <w:rStyle w:val="cf01"/>
          <w:rFonts w:ascii="Arial" w:hAnsi="Arial" w:cs="Arial"/>
          <w:b/>
          <w:bCs/>
          <w:sz w:val="24"/>
          <w:szCs w:val="24"/>
        </w:rPr>
        <w:t>framework</w:t>
      </w:r>
      <w:r w:rsidRPr="001B5A8F">
        <w:rPr>
          <w:rStyle w:val="cf01"/>
          <w:rFonts w:ascii="Arial" w:hAnsi="Arial" w:cs="Arial"/>
          <w:sz w:val="24"/>
          <w:szCs w:val="24"/>
        </w:rPr>
        <w:t xml:space="preserve"> operationalised through curriculum-based </w:t>
      </w:r>
      <w:r w:rsidR="00213470" w:rsidRPr="001B5A8F">
        <w:rPr>
          <w:rStyle w:val="cf01"/>
          <w:rFonts w:ascii="Arial" w:hAnsi="Arial" w:cs="Arial"/>
          <w:sz w:val="24"/>
          <w:szCs w:val="24"/>
        </w:rPr>
        <w:t>career development so that students develop skills in lifelong career development skills, develop a professional identi</w:t>
      </w:r>
      <w:r w:rsidR="00BA28FC" w:rsidRPr="001B5A8F">
        <w:rPr>
          <w:rStyle w:val="cf01"/>
          <w:rFonts w:ascii="Arial" w:hAnsi="Arial" w:cs="Arial"/>
          <w:sz w:val="24"/>
          <w:szCs w:val="24"/>
        </w:rPr>
        <w:t>ty and can identify employability skills to future employers.</w:t>
      </w:r>
    </w:p>
    <w:p w14:paraId="13B183E4" w14:textId="02C3CA1A" w:rsidR="00CE7796" w:rsidRPr="001B5A8F" w:rsidRDefault="00CE7796" w:rsidP="00CE7796">
      <w:pPr>
        <w:pStyle w:val="bullettedlist"/>
        <w:rPr>
          <w:lang w:val="en-AU" w:eastAsia="en-AU"/>
        </w:rPr>
      </w:pPr>
      <w:r w:rsidRPr="001B5A8F">
        <w:rPr>
          <w:b/>
          <w:bCs/>
          <w:lang w:val="en-AU" w:eastAsia="en-AU"/>
        </w:rPr>
        <w:t>better support for students with disability undertaking work-integrated learning</w:t>
      </w:r>
      <w:r w:rsidR="00EE1AED" w:rsidRPr="001B5A8F">
        <w:rPr>
          <w:lang w:val="en-AU" w:eastAsia="en-AU"/>
        </w:rPr>
        <w:t xml:space="preserve"> </w:t>
      </w:r>
      <w:r w:rsidR="00EE1AED" w:rsidRPr="001B5A8F">
        <w:rPr>
          <w:b/>
          <w:bCs/>
          <w:lang w:val="en-AU" w:eastAsia="en-AU"/>
        </w:rPr>
        <w:t>(WIL)</w:t>
      </w:r>
      <w:r w:rsidRPr="001B5A8F">
        <w:rPr>
          <w:lang w:val="en-AU" w:eastAsia="en-AU"/>
        </w:rPr>
        <w:t xml:space="preserve"> including capacity-building for university staff involved in placements and working in collaboration with industry partners to develop</w:t>
      </w:r>
      <w:r w:rsidR="002F1881" w:rsidRPr="001B5A8F">
        <w:rPr>
          <w:lang w:val="en-AU" w:eastAsia="en-AU"/>
        </w:rPr>
        <w:t xml:space="preserve"> and deliver</w:t>
      </w:r>
      <w:r w:rsidRPr="001B5A8F">
        <w:rPr>
          <w:lang w:val="en-AU" w:eastAsia="en-AU"/>
        </w:rPr>
        <w:t xml:space="preserve"> disability-confident industry experiences.</w:t>
      </w:r>
    </w:p>
    <w:p w14:paraId="208A88F9" w14:textId="0DC0E7AA" w:rsidR="00673BE0" w:rsidRPr="001B5A8F" w:rsidRDefault="00EE1AED" w:rsidP="00673BE0">
      <w:pPr>
        <w:pStyle w:val="bullettedlist"/>
        <w:rPr>
          <w:sz w:val="20"/>
          <w:szCs w:val="20"/>
          <w:lang w:val="en-AU" w:eastAsia="en-AU"/>
        </w:rPr>
      </w:pPr>
      <w:r w:rsidRPr="001B5A8F">
        <w:rPr>
          <w:b/>
          <w:bCs/>
          <w:lang w:val="en-AU" w:eastAsia="en-AU"/>
        </w:rPr>
        <w:t>w</w:t>
      </w:r>
      <w:r w:rsidR="00673BE0" w:rsidRPr="001B5A8F">
        <w:rPr>
          <w:b/>
          <w:bCs/>
          <w:lang w:val="en-AU" w:eastAsia="en-AU"/>
        </w:rPr>
        <w:t>ork-integrated learning (WIL) grants to support students</w:t>
      </w:r>
      <w:r w:rsidR="00673BE0" w:rsidRPr="001B5A8F">
        <w:rPr>
          <w:lang w:val="en-AU" w:eastAsia="en-AU"/>
        </w:rPr>
        <w:t xml:space="preserve"> who need to travel, give up paid employment, manage carer responsibilities and cover other expenses. Students may be more inclined to undertake regional and remote activities if they had access to funding to facilitate this</w:t>
      </w:r>
      <w:r w:rsidR="009E120F" w:rsidRPr="001B5A8F">
        <w:rPr>
          <w:lang w:val="en-AU" w:eastAsia="en-AU"/>
        </w:rPr>
        <w:t>. Consideration of the additional needs of students with disability in undertaking WIL needs to be considered including access to accommodation, transport and reasonable adjustments</w:t>
      </w:r>
    </w:p>
    <w:p w14:paraId="0ED9FE05" w14:textId="59FB7A76" w:rsidR="00A26595" w:rsidRPr="001B5A8F" w:rsidRDefault="00F920BD" w:rsidP="0081793E">
      <w:pPr>
        <w:pStyle w:val="bullettedlist"/>
        <w:rPr>
          <w:sz w:val="20"/>
          <w:szCs w:val="20"/>
          <w:lang w:val="en-AU" w:eastAsia="en-AU"/>
        </w:rPr>
      </w:pPr>
      <w:r w:rsidRPr="001B5A8F">
        <w:rPr>
          <w:b/>
          <w:bCs/>
          <w:lang w:val="en-AU" w:eastAsia="en-AU"/>
        </w:rPr>
        <w:t>capacity-building in university career service providers</w:t>
      </w:r>
      <w:r w:rsidRPr="001B5A8F">
        <w:rPr>
          <w:lang w:val="en-AU" w:eastAsia="en-AU"/>
        </w:rPr>
        <w:t xml:space="preserve"> around supporting people with disability into graduate employment. Existing programs </w:t>
      </w:r>
      <w:r w:rsidR="7F899719" w:rsidRPr="001B5A8F">
        <w:rPr>
          <w:lang w:val="en-AU" w:eastAsia="en-AU"/>
        </w:rPr>
        <w:t>such the</w:t>
      </w:r>
      <w:r w:rsidR="00AE2B6B" w:rsidRPr="001B5A8F">
        <w:rPr>
          <w:lang w:val="en-AU" w:eastAsia="en-AU"/>
        </w:rPr>
        <w:t xml:space="preserve"> </w:t>
      </w:r>
      <w:hyperlink r:id="rId34">
        <w:r w:rsidR="10919437" w:rsidRPr="001B5A8F">
          <w:rPr>
            <w:rStyle w:val="Hyperlink"/>
            <w:lang w:val="en-AU" w:eastAsia="en-AU"/>
          </w:rPr>
          <w:t>University Specialist Employment Program (USEP)</w:t>
        </w:r>
      </w:hyperlink>
      <w:r w:rsidR="00AE2B6B" w:rsidRPr="001B5A8F">
        <w:rPr>
          <w:lang w:val="en-AU" w:eastAsia="en-AU"/>
        </w:rPr>
        <w:t xml:space="preserve"> created by the National Disability Coordination Office (NDCO)</w:t>
      </w:r>
      <w:r w:rsidR="7F899719" w:rsidRPr="001B5A8F">
        <w:rPr>
          <w:lang w:val="en-AU" w:eastAsia="en-AU"/>
        </w:rPr>
        <w:t xml:space="preserve"> </w:t>
      </w:r>
      <w:r w:rsidR="007E7EA3" w:rsidRPr="001B5A8F">
        <w:rPr>
          <w:lang w:val="en-AU" w:eastAsia="en-AU"/>
        </w:rPr>
        <w:t>and housed on ADCET website</w:t>
      </w:r>
      <w:r w:rsidR="7F899719" w:rsidRPr="001B5A8F">
        <w:rPr>
          <w:lang w:val="en-AU" w:eastAsia="en-AU"/>
        </w:rPr>
        <w:t xml:space="preserve"> and </w:t>
      </w:r>
      <w:hyperlink r:id="rId35">
        <w:r w:rsidR="79987CFA" w:rsidRPr="001B5A8F">
          <w:rPr>
            <w:rStyle w:val="Hyperlink"/>
            <w:lang w:val="en-AU" w:eastAsia="en-AU"/>
          </w:rPr>
          <w:t>GradWise</w:t>
        </w:r>
      </w:hyperlink>
      <w:r w:rsidR="7F899719" w:rsidRPr="001B5A8F">
        <w:rPr>
          <w:lang w:val="en-AU" w:eastAsia="en-AU"/>
        </w:rPr>
        <w:t xml:space="preserve"> are good examples of this capacity building</w:t>
      </w:r>
      <w:r w:rsidR="55BAEDCE" w:rsidRPr="001B5A8F">
        <w:rPr>
          <w:lang w:val="en-AU" w:eastAsia="en-AU"/>
        </w:rPr>
        <w:t xml:space="preserve"> which could be expanded upon with appropriate funding</w:t>
      </w:r>
    </w:p>
    <w:p w14:paraId="616DCCED" w14:textId="3EA65A10" w:rsidR="00354183" w:rsidRPr="001B5A8F" w:rsidRDefault="0081793E" w:rsidP="0081793E">
      <w:pPr>
        <w:pStyle w:val="bullettedlist"/>
        <w:rPr>
          <w:sz w:val="20"/>
          <w:szCs w:val="20"/>
          <w:lang w:val="en-AU" w:eastAsia="en-AU"/>
        </w:rPr>
      </w:pPr>
      <w:r w:rsidRPr="001B5A8F">
        <w:rPr>
          <w:b/>
          <w:bCs/>
          <w:lang w:val="en-AU" w:eastAsia="en-AU"/>
        </w:rPr>
        <w:t>capacity-building amongst DES providers</w:t>
      </w:r>
      <w:r w:rsidRPr="001B5A8F">
        <w:rPr>
          <w:lang w:val="en-AU" w:eastAsia="en-AU"/>
        </w:rPr>
        <w:t xml:space="preserve"> to </w:t>
      </w:r>
      <w:r w:rsidR="00354183" w:rsidRPr="001B5A8F">
        <w:rPr>
          <w:lang w:val="en-AU" w:eastAsia="en-AU"/>
        </w:rPr>
        <w:t xml:space="preserve">better understand the needs of graduates with disability </w:t>
      </w:r>
    </w:p>
    <w:p w14:paraId="71F901A0" w14:textId="0AD4B749" w:rsidR="009E43A6" w:rsidRPr="001B5A8F" w:rsidRDefault="00354183">
      <w:pPr>
        <w:pStyle w:val="bullettedlist"/>
        <w:rPr>
          <w:lang w:val="en-AU" w:eastAsia="en-AU"/>
        </w:rPr>
      </w:pPr>
      <w:r w:rsidRPr="001B5A8F">
        <w:rPr>
          <w:b/>
          <w:bCs/>
          <w:lang w:val="en-AU" w:eastAsia="en-AU"/>
        </w:rPr>
        <w:t>capacity-building around industry</w:t>
      </w:r>
      <w:r w:rsidRPr="001B5A8F">
        <w:rPr>
          <w:lang w:val="en-AU" w:eastAsia="en-AU"/>
        </w:rPr>
        <w:t xml:space="preserve"> to better attract, support and retain people with disability in employment including</w:t>
      </w:r>
      <w:r w:rsidR="00B23B23" w:rsidRPr="001B5A8F">
        <w:rPr>
          <w:lang w:val="en-AU" w:eastAsia="en-AU"/>
        </w:rPr>
        <w:t xml:space="preserve"> linking organisational strategy to the National Disability Strategy or developing a Disability Inclusion Action Plan which </w:t>
      </w:r>
      <w:r w:rsidR="002F1881" w:rsidRPr="001B5A8F">
        <w:rPr>
          <w:lang w:val="en-AU" w:eastAsia="en-AU"/>
        </w:rPr>
        <w:t>includes affirmative</w:t>
      </w:r>
      <w:r w:rsidRPr="001B5A8F">
        <w:rPr>
          <w:lang w:val="en-AU" w:eastAsia="en-AU"/>
        </w:rPr>
        <w:t xml:space="preserve"> action strategies to recruit people with disability</w:t>
      </w:r>
      <w:r w:rsidR="00540E3A" w:rsidRPr="001B5A8F">
        <w:rPr>
          <w:lang w:val="en-AU" w:eastAsia="en-AU"/>
        </w:rPr>
        <w:t>,</w:t>
      </w:r>
      <w:r w:rsidRPr="001B5A8F">
        <w:rPr>
          <w:lang w:val="en-AU" w:eastAsia="en-AU"/>
        </w:rPr>
        <w:t xml:space="preserve"> graduate employment programs that target people with disability</w:t>
      </w:r>
      <w:r w:rsidR="00540E3A" w:rsidRPr="001B5A8F">
        <w:rPr>
          <w:lang w:val="en-AU" w:eastAsia="en-AU"/>
        </w:rPr>
        <w:t xml:space="preserve">, </w:t>
      </w:r>
      <w:r w:rsidR="009E43A6" w:rsidRPr="001B5A8F">
        <w:rPr>
          <w:lang w:val="en-AU" w:eastAsia="en-AU"/>
        </w:rPr>
        <w:t xml:space="preserve">and </w:t>
      </w:r>
      <w:r w:rsidR="00540E3A" w:rsidRPr="001B5A8F">
        <w:rPr>
          <w:lang w:val="en-AU" w:eastAsia="en-AU"/>
        </w:rPr>
        <w:t>staff awareness training</w:t>
      </w:r>
      <w:r w:rsidR="009E43A6" w:rsidRPr="001B5A8F">
        <w:rPr>
          <w:lang w:val="en-AU" w:eastAsia="en-AU"/>
        </w:rPr>
        <w:t xml:space="preserve">. </w:t>
      </w:r>
      <w:r w:rsidR="007D21C2" w:rsidRPr="001B5A8F">
        <w:rPr>
          <w:lang w:val="en-AU" w:eastAsia="en-AU"/>
        </w:rPr>
        <w:t>Industry compliance as a disability friendly recruiter could include a Workplace Gender Equity Agency (WGEA) style reporting framework that tracks disability engagement</w:t>
      </w:r>
    </w:p>
    <w:p w14:paraId="409C30BB" w14:textId="77777777" w:rsidR="00F1255E" w:rsidRDefault="00F1255E">
      <w:pPr>
        <w:rPr>
          <w:b/>
          <w:i/>
          <w:color w:val="2F5496" w:themeColor="accent1" w:themeShade="BF"/>
          <w:lang w:val="en-AU" w:eastAsia="en-AU"/>
        </w:rPr>
      </w:pPr>
      <w:bookmarkStart w:id="46" w:name="_Toc130309407"/>
      <w:r>
        <w:rPr>
          <w:lang w:val="en-AU" w:eastAsia="en-AU"/>
        </w:rPr>
        <w:br w:type="page"/>
      </w:r>
    </w:p>
    <w:p w14:paraId="472B9CE4" w14:textId="2EA665CD" w:rsidR="00A41303" w:rsidRPr="001B5A8F" w:rsidRDefault="00F677A9" w:rsidP="00F677A9">
      <w:pPr>
        <w:pStyle w:val="Recommendation"/>
        <w:rPr>
          <w:lang w:val="en-AU" w:eastAsia="en-AU"/>
        </w:rPr>
      </w:pPr>
      <w:r w:rsidRPr="001B5A8F">
        <w:rPr>
          <w:lang w:val="en-AU" w:eastAsia="en-AU"/>
        </w:rPr>
        <w:lastRenderedPageBreak/>
        <w:t xml:space="preserve">Recommendation </w:t>
      </w:r>
      <w:r w:rsidR="00163FE2">
        <w:rPr>
          <w:lang w:val="en-AU" w:eastAsia="en-AU"/>
        </w:rPr>
        <w:t>7</w:t>
      </w:r>
    </w:p>
    <w:p w14:paraId="2856F177" w14:textId="77777777" w:rsidR="00163FE2" w:rsidRPr="001B5A8F" w:rsidRDefault="00163FE2" w:rsidP="00163FE2">
      <w:pPr>
        <w:pStyle w:val="Recommendation"/>
        <w:rPr>
          <w:b w:val="0"/>
          <w:bCs/>
          <w:i w:val="0"/>
          <w:iCs/>
          <w:lang w:val="en-AU" w:eastAsia="en-AU"/>
        </w:rPr>
      </w:pPr>
      <w:r w:rsidRPr="4AAF47BE">
        <w:rPr>
          <w:b w:val="0"/>
          <w:i w:val="0"/>
          <w:lang w:val="en-AU" w:eastAsia="en-AU"/>
        </w:rPr>
        <w:t>Build</w:t>
      </w:r>
      <w:r w:rsidRPr="001B5A8F">
        <w:rPr>
          <w:b w:val="0"/>
          <w:i w:val="0"/>
          <w:lang w:val="en-AU" w:eastAsia="en-AU"/>
        </w:rPr>
        <w:t xml:space="preserve"> capacit</w:t>
      </w:r>
      <w:r w:rsidRPr="001B5A8F">
        <w:rPr>
          <w:b w:val="0"/>
          <w:bCs/>
          <w:i w:val="0"/>
          <w:iCs/>
          <w:lang w:val="en-AU" w:eastAsia="en-AU"/>
        </w:rPr>
        <w:t>y within the sector and</w:t>
      </w:r>
      <w:r>
        <w:rPr>
          <w:b w:val="0"/>
          <w:bCs/>
          <w:i w:val="0"/>
          <w:iCs/>
          <w:lang w:val="en-AU" w:eastAsia="en-AU"/>
        </w:rPr>
        <w:t xml:space="preserve"> </w:t>
      </w:r>
      <w:r w:rsidRPr="4AAF47BE">
        <w:rPr>
          <w:b w:val="0"/>
          <w:i w:val="0"/>
          <w:lang w:val="en-AU" w:eastAsia="en-AU"/>
        </w:rPr>
        <w:t>engage relevant stakeholders</w:t>
      </w:r>
      <w:r w:rsidRPr="001B5A8F">
        <w:rPr>
          <w:b w:val="0"/>
          <w:bCs/>
          <w:i w:val="0"/>
          <w:iCs/>
          <w:lang w:val="en-AU" w:eastAsia="en-AU"/>
        </w:rPr>
        <w:t xml:space="preserve"> to </w:t>
      </w:r>
      <w:r w:rsidRPr="001B5A8F">
        <w:rPr>
          <w:b w:val="0"/>
          <w:i w:val="0"/>
          <w:lang w:val="en-AU" w:eastAsia="en-AU"/>
        </w:rPr>
        <w:t>improve graduate employment outcom</w:t>
      </w:r>
      <w:r w:rsidRPr="001B5A8F">
        <w:rPr>
          <w:b w:val="0"/>
          <w:bCs/>
          <w:i w:val="0"/>
          <w:iCs/>
          <w:lang w:val="en-AU" w:eastAsia="en-AU"/>
        </w:rPr>
        <w:t>es for students with disability.</w:t>
      </w:r>
    </w:p>
    <w:p w14:paraId="56BA926F" w14:textId="77777777" w:rsidR="00F677A9" w:rsidRPr="001B5A8F" w:rsidRDefault="00F677A9" w:rsidP="00F20955">
      <w:pPr>
        <w:rPr>
          <w:lang w:val="en-AU" w:eastAsia="en-AU"/>
        </w:rPr>
      </w:pPr>
    </w:p>
    <w:p w14:paraId="40D3A6C1" w14:textId="5255460D" w:rsidR="00DF7A39" w:rsidRPr="001B5A8F" w:rsidRDefault="00DF7A39" w:rsidP="00F677A9">
      <w:pPr>
        <w:pStyle w:val="Recommendation"/>
        <w:rPr>
          <w:lang w:val="en-AU" w:eastAsia="en-AU"/>
        </w:rPr>
      </w:pPr>
      <w:r w:rsidRPr="001B5A8F">
        <w:rPr>
          <w:lang w:val="en-AU" w:eastAsia="en-AU"/>
        </w:rPr>
        <w:t xml:space="preserve">Recommendation </w:t>
      </w:r>
      <w:r w:rsidR="00163FE2">
        <w:rPr>
          <w:lang w:val="en-AU" w:eastAsia="en-AU"/>
        </w:rPr>
        <w:t>8</w:t>
      </w:r>
    </w:p>
    <w:p w14:paraId="7EEE138D" w14:textId="21B879BB" w:rsidR="00DF7A39" w:rsidRPr="001B5A8F" w:rsidRDefault="00DF7A39" w:rsidP="00F677A9">
      <w:pPr>
        <w:pStyle w:val="Recommendation"/>
        <w:rPr>
          <w:b w:val="0"/>
          <w:bCs/>
          <w:i w:val="0"/>
          <w:iCs/>
          <w:lang w:val="en-AU" w:eastAsia="en-AU"/>
        </w:rPr>
      </w:pPr>
      <w:r w:rsidRPr="001B5A8F">
        <w:rPr>
          <w:b w:val="0"/>
          <w:bCs/>
          <w:i w:val="0"/>
          <w:iCs/>
          <w:lang w:val="en-AU" w:eastAsia="en-AU"/>
        </w:rPr>
        <w:t xml:space="preserve">Develop specific performance-based </w:t>
      </w:r>
      <w:r w:rsidR="00251719" w:rsidRPr="001B5A8F">
        <w:rPr>
          <w:b w:val="0"/>
          <w:bCs/>
          <w:i w:val="0"/>
          <w:iCs/>
          <w:lang w:val="en-AU" w:eastAsia="en-AU"/>
        </w:rPr>
        <w:t>targets</w:t>
      </w:r>
      <w:r w:rsidR="00EE5C11" w:rsidRPr="001B5A8F">
        <w:rPr>
          <w:b w:val="0"/>
          <w:bCs/>
          <w:i w:val="0"/>
          <w:iCs/>
          <w:lang w:val="en-AU" w:eastAsia="en-AU"/>
        </w:rPr>
        <w:t xml:space="preserve"> for tertiary education providers which </w:t>
      </w:r>
      <w:r w:rsidR="00BC17CA" w:rsidRPr="001B5A8F">
        <w:rPr>
          <w:b w:val="0"/>
          <w:bCs/>
          <w:i w:val="0"/>
          <w:iCs/>
          <w:lang w:val="en-AU" w:eastAsia="en-AU"/>
        </w:rPr>
        <w:t>support formalise</w:t>
      </w:r>
      <w:r w:rsidR="001B5A8F" w:rsidRPr="001B5A8F">
        <w:rPr>
          <w:b w:val="0"/>
          <w:bCs/>
          <w:i w:val="0"/>
          <w:iCs/>
          <w:lang w:val="en-AU" w:eastAsia="en-AU"/>
        </w:rPr>
        <w:t>s a</w:t>
      </w:r>
      <w:r w:rsidR="00BC17CA" w:rsidRPr="001B5A8F">
        <w:rPr>
          <w:b w:val="0"/>
          <w:bCs/>
          <w:i w:val="0"/>
          <w:iCs/>
          <w:lang w:val="en-AU" w:eastAsia="en-AU"/>
        </w:rPr>
        <w:t xml:space="preserve"> graduate capabilities framework, </w:t>
      </w:r>
      <w:r w:rsidR="004A07EA" w:rsidRPr="001B5A8F">
        <w:rPr>
          <w:b w:val="0"/>
          <w:bCs/>
          <w:i w:val="0"/>
          <w:iCs/>
          <w:lang w:val="en-AU" w:eastAsia="en-AU"/>
        </w:rPr>
        <w:t>accessible work-integrated learning experiences</w:t>
      </w:r>
      <w:r w:rsidR="00F20955" w:rsidRPr="001B5A8F">
        <w:rPr>
          <w:b w:val="0"/>
          <w:bCs/>
          <w:i w:val="0"/>
          <w:iCs/>
          <w:lang w:val="en-AU" w:eastAsia="en-AU"/>
        </w:rPr>
        <w:t>, capability-building amongst key employment stakeholders</w:t>
      </w:r>
      <w:r w:rsidR="00251719" w:rsidRPr="001B5A8F">
        <w:rPr>
          <w:b w:val="0"/>
          <w:bCs/>
          <w:i w:val="0"/>
          <w:iCs/>
          <w:lang w:val="en-AU" w:eastAsia="en-AU"/>
        </w:rPr>
        <w:t xml:space="preserve"> and flexible and accessible industry experiences</w:t>
      </w:r>
      <w:r w:rsidR="00D8148B" w:rsidRPr="001B5A8F">
        <w:rPr>
          <w:b w:val="0"/>
          <w:bCs/>
          <w:i w:val="0"/>
          <w:iCs/>
          <w:lang w:val="en-AU" w:eastAsia="en-AU"/>
        </w:rPr>
        <w:t>.</w:t>
      </w:r>
    </w:p>
    <w:p w14:paraId="0CBE7C4F" w14:textId="63122509" w:rsidR="004C75BD" w:rsidRPr="001B5A8F" w:rsidRDefault="007553EE" w:rsidP="002C0E51">
      <w:pPr>
        <w:pStyle w:val="Heading1"/>
      </w:pPr>
      <w:bookmarkStart w:id="47" w:name="_Cross-sectoral_alignment_including"/>
      <w:bookmarkStart w:id="48" w:name="_Toc132100491"/>
      <w:bookmarkStart w:id="49" w:name="_Toc132125071"/>
      <w:bookmarkStart w:id="50" w:name="_Toc132139894"/>
      <w:bookmarkStart w:id="51" w:name="_Toc132139954"/>
      <w:bookmarkEnd w:id="47"/>
      <w:r w:rsidRPr="001B5A8F">
        <w:t xml:space="preserve">Part 4: </w:t>
      </w:r>
      <w:r w:rsidR="004C75BD" w:rsidRPr="001B5A8F">
        <w:t xml:space="preserve">Cross-sectoral </w:t>
      </w:r>
      <w:r w:rsidR="005F0426" w:rsidRPr="001B5A8F">
        <w:t>alignment</w:t>
      </w:r>
      <w:bookmarkEnd w:id="48"/>
      <w:bookmarkEnd w:id="49"/>
      <w:bookmarkEnd w:id="50"/>
      <w:bookmarkEnd w:id="51"/>
      <w:r w:rsidR="005F0426" w:rsidRPr="001B5A8F">
        <w:t xml:space="preserve"> </w:t>
      </w:r>
      <w:r w:rsidR="007F4DE5" w:rsidRPr="001B5A8F">
        <w:t xml:space="preserve"> </w:t>
      </w:r>
      <w:bookmarkEnd w:id="46"/>
    </w:p>
    <w:p w14:paraId="5B46A3A0" w14:textId="1666F355" w:rsidR="003C400E" w:rsidRPr="001B5A8F" w:rsidRDefault="00C21CA8" w:rsidP="00C21CA8">
      <w:r w:rsidRPr="001B5A8F">
        <w:t xml:space="preserve">All students need to be able to seamlessly move </w:t>
      </w:r>
      <w:r w:rsidR="007327EB" w:rsidRPr="001B5A8F">
        <w:t xml:space="preserve">from and between the different </w:t>
      </w:r>
      <w:r w:rsidR="00F769D6" w:rsidRPr="001B5A8F">
        <w:t xml:space="preserve">education (schooling, VET and higher education) sectors </w:t>
      </w:r>
      <w:r w:rsidR="007327EB" w:rsidRPr="001B5A8F">
        <w:t xml:space="preserve">to support their own needs </w:t>
      </w:r>
      <w:r w:rsidR="00121D28" w:rsidRPr="001B5A8F">
        <w:t>in</w:t>
      </w:r>
      <w:r w:rsidR="007327EB" w:rsidRPr="001B5A8F">
        <w:t xml:space="preserve"> those wanting to study and work </w:t>
      </w:r>
      <w:r w:rsidR="00A116B2" w:rsidRPr="001B5A8F">
        <w:t xml:space="preserve">and </w:t>
      </w:r>
      <w:r w:rsidR="00B80B88" w:rsidRPr="001B5A8F">
        <w:t xml:space="preserve">in the interests of lifelong learning. </w:t>
      </w:r>
    </w:p>
    <w:p w14:paraId="2A0175FF" w14:textId="77777777" w:rsidR="00A116B2" w:rsidRPr="001B5A8F" w:rsidRDefault="00A116B2" w:rsidP="00C21CA8"/>
    <w:p w14:paraId="48B92A59" w14:textId="4EC10B3A" w:rsidR="00C96768" w:rsidRPr="001B5A8F" w:rsidRDefault="002E2346" w:rsidP="00C21CA8">
      <w:r w:rsidRPr="001B5A8F">
        <w:t xml:space="preserve">Students with disability need the flexibility and agility to move from high school to </w:t>
      </w:r>
      <w:r w:rsidR="009B2A23" w:rsidRPr="001B5A8F">
        <w:t>tertiary education</w:t>
      </w:r>
      <w:r w:rsidR="006F42AC" w:rsidRPr="001B5A8F">
        <w:t xml:space="preserve"> </w:t>
      </w:r>
      <w:r w:rsidR="009B2A23" w:rsidRPr="001B5A8F">
        <w:t>with the appropriate support to thrive and succeed</w:t>
      </w:r>
      <w:r w:rsidR="00823545" w:rsidRPr="001B5A8F">
        <w:t xml:space="preserve">. </w:t>
      </w:r>
      <w:r w:rsidR="005B12B5" w:rsidRPr="001B5A8F">
        <w:t xml:space="preserve">A </w:t>
      </w:r>
      <w:r w:rsidR="00823545" w:rsidRPr="001B5A8F">
        <w:t>number of factors impact people with disability in their pursuit of education and training</w:t>
      </w:r>
      <w:r w:rsidR="007D2E0B" w:rsidRPr="001B5A8F">
        <w:t xml:space="preserve"> across schooling and tertiary education sectors</w:t>
      </w:r>
      <w:r w:rsidR="00822183">
        <w:t>.</w:t>
      </w:r>
      <w:r w:rsidR="005B12B5" w:rsidRPr="001B5A8F">
        <w:t xml:space="preserve"> </w:t>
      </w:r>
    </w:p>
    <w:p w14:paraId="7AB8EC8A" w14:textId="77777777" w:rsidR="00C96768" w:rsidRPr="001B5A8F" w:rsidRDefault="00C96768" w:rsidP="00C21CA8"/>
    <w:p w14:paraId="2AD29520" w14:textId="19783D5A" w:rsidR="005B12B5" w:rsidRPr="001B5A8F" w:rsidRDefault="00D73A05" w:rsidP="00C21CA8">
      <w:r>
        <w:t>Factors which need addressing for better cross-sectoral alignment in</w:t>
      </w:r>
      <w:r w:rsidR="005B12B5" w:rsidRPr="001B5A8F">
        <w:t>clude:</w:t>
      </w:r>
    </w:p>
    <w:p w14:paraId="1E2E052F" w14:textId="14568E6A" w:rsidR="00C96768" w:rsidRPr="001B5A8F" w:rsidRDefault="00F333B2" w:rsidP="004A6178">
      <w:pPr>
        <w:pStyle w:val="bullettedlist"/>
      </w:pPr>
      <w:r w:rsidRPr="001B5A8F">
        <w:t>m</w:t>
      </w:r>
      <w:r w:rsidR="005B12B5" w:rsidRPr="001B5A8F">
        <w:t>anaging</w:t>
      </w:r>
      <w:r w:rsidR="00D76B95" w:rsidRPr="001B5A8F">
        <w:t xml:space="preserve"> and providing flexibility for</w:t>
      </w:r>
      <w:r w:rsidR="005B12B5" w:rsidRPr="001B5A8F">
        <w:t xml:space="preserve"> disability or health condition which </w:t>
      </w:r>
      <w:r w:rsidR="00C96768" w:rsidRPr="001B5A8F">
        <w:t>may have unpredictability</w:t>
      </w:r>
      <w:r w:rsidR="00C05D08" w:rsidRPr="001B5A8F">
        <w:t xml:space="preserve"> over the course of their education causing disruptions and impacting achievement</w:t>
      </w:r>
    </w:p>
    <w:p w14:paraId="04E2895B" w14:textId="381F22FD" w:rsidR="00C05D08" w:rsidRPr="001B5A8F" w:rsidRDefault="0030425D" w:rsidP="004A6178">
      <w:pPr>
        <w:pStyle w:val="bullettedlist"/>
      </w:pPr>
      <w:r w:rsidRPr="001B5A8F">
        <w:t xml:space="preserve">gaining access to the </w:t>
      </w:r>
      <w:r w:rsidR="000E4455" w:rsidRPr="001B5A8F">
        <w:t xml:space="preserve">appropriate reasonable adjustments </w:t>
      </w:r>
      <w:r w:rsidR="003C28B0" w:rsidRPr="001B5A8F">
        <w:t>which align to the level of education and support needs</w:t>
      </w:r>
    </w:p>
    <w:p w14:paraId="4642C921" w14:textId="25621569" w:rsidR="00CE3B4D" w:rsidRPr="001B5A8F" w:rsidRDefault="00F333B2" w:rsidP="004A6178">
      <w:pPr>
        <w:pStyle w:val="bullettedlist"/>
      </w:pPr>
      <w:r w:rsidRPr="001B5A8F">
        <w:t>d</w:t>
      </w:r>
      <w:r w:rsidR="00CE3B4D" w:rsidRPr="001B5A8F">
        <w:t>isprop</w:t>
      </w:r>
      <w:r w:rsidR="00500619" w:rsidRPr="001B5A8F">
        <w:t>ortionate</w:t>
      </w:r>
      <w:r w:rsidR="003B17BB" w:rsidRPr="001B5A8F">
        <w:t xml:space="preserve"> and inconsistent</w:t>
      </w:r>
      <w:r w:rsidR="00500619" w:rsidRPr="001B5A8F">
        <w:t xml:space="preserve"> funding in schooling</w:t>
      </w:r>
      <w:r w:rsidR="006878A2" w:rsidRPr="001B5A8F">
        <w:t xml:space="preserve">, VET and </w:t>
      </w:r>
      <w:r w:rsidR="00500619" w:rsidRPr="001B5A8F">
        <w:t>Higher Education sectors</w:t>
      </w:r>
      <w:r w:rsidR="006A14C7" w:rsidRPr="001B5A8F">
        <w:t xml:space="preserve"> which impacts access to support</w:t>
      </w:r>
    </w:p>
    <w:p w14:paraId="02048AE5" w14:textId="52C28EB7" w:rsidR="00500619" w:rsidRPr="001B5A8F" w:rsidRDefault="00F333B2" w:rsidP="004A6178">
      <w:pPr>
        <w:pStyle w:val="bullettedlist"/>
      </w:pPr>
      <w:r w:rsidRPr="001B5A8F">
        <w:t>l</w:t>
      </w:r>
      <w:r w:rsidR="00500583" w:rsidRPr="001B5A8F">
        <w:t xml:space="preserve">ack of awareness </w:t>
      </w:r>
      <w:r w:rsidR="00F6587F" w:rsidRPr="001B5A8F">
        <w:t xml:space="preserve">by providers </w:t>
      </w:r>
      <w:r w:rsidR="00500583" w:rsidRPr="001B5A8F">
        <w:t>around supporting the education</w:t>
      </w:r>
      <w:r w:rsidR="00697C44" w:rsidRPr="001B5A8F">
        <w:t>al</w:t>
      </w:r>
      <w:r w:rsidR="00500583" w:rsidRPr="001B5A8F">
        <w:t xml:space="preserve"> needs of people with disability under the </w:t>
      </w:r>
      <w:r w:rsidR="00500583" w:rsidRPr="001B5A8F">
        <w:rPr>
          <w:i/>
          <w:iCs/>
        </w:rPr>
        <w:t xml:space="preserve">Disability Standards for Education </w:t>
      </w:r>
      <w:r w:rsidR="00F6587F" w:rsidRPr="001B5A8F">
        <w:rPr>
          <w:i/>
          <w:iCs/>
        </w:rPr>
        <w:t>(DSE)</w:t>
      </w:r>
      <w:r w:rsidR="00A1127C" w:rsidRPr="001B5A8F">
        <w:rPr>
          <w:i/>
          <w:iCs/>
        </w:rPr>
        <w:t xml:space="preserve"> </w:t>
      </w:r>
    </w:p>
    <w:p w14:paraId="2B45B11E" w14:textId="0DE58097" w:rsidR="004F189D" w:rsidRPr="001B5A8F" w:rsidRDefault="00F333B2" w:rsidP="004A6178">
      <w:pPr>
        <w:pStyle w:val="bullettedlist"/>
      </w:pPr>
      <w:r w:rsidRPr="001B5A8F">
        <w:t>i</w:t>
      </w:r>
      <w:r w:rsidR="004F189D" w:rsidRPr="001B5A8F">
        <w:t>nconsistent approaches to admissions and enrolment processes</w:t>
      </w:r>
      <w:r w:rsidR="00A1127C" w:rsidRPr="001B5A8F">
        <w:t xml:space="preserve"> which </w:t>
      </w:r>
      <w:r w:rsidR="006918D4" w:rsidRPr="001B5A8F">
        <w:t>adjust</w:t>
      </w:r>
      <w:r w:rsidR="00A1127C" w:rsidRPr="001B5A8F">
        <w:t xml:space="preserve"> for disability</w:t>
      </w:r>
    </w:p>
    <w:p w14:paraId="32283E45" w14:textId="147F3345" w:rsidR="00D8348F" w:rsidRPr="001B5A8F" w:rsidRDefault="00A1127C" w:rsidP="004A6178">
      <w:pPr>
        <w:pStyle w:val="bullettedlist"/>
      </w:pPr>
      <w:r w:rsidRPr="001B5A8F">
        <w:t xml:space="preserve">inconsistent </w:t>
      </w:r>
      <w:r w:rsidR="002046C5" w:rsidRPr="001B5A8F">
        <w:t>accessibility within education providers including physical and digital access, cultural issues and learning support</w:t>
      </w:r>
    </w:p>
    <w:p w14:paraId="25B6CF82" w14:textId="77777777" w:rsidR="00F807FE" w:rsidRDefault="00F807FE" w:rsidP="00D8348F">
      <w:pPr>
        <w:pStyle w:val="bullettedlist"/>
        <w:numPr>
          <w:ilvl w:val="0"/>
          <w:numId w:val="0"/>
        </w:numPr>
        <w:ind w:left="357" w:hanging="357"/>
      </w:pPr>
    </w:p>
    <w:p w14:paraId="653B8382" w14:textId="3DA60912" w:rsidR="00D8348F" w:rsidRPr="001B5A8F" w:rsidRDefault="00D8348F" w:rsidP="00D8348F">
      <w:pPr>
        <w:pStyle w:val="bullettedlist"/>
        <w:numPr>
          <w:ilvl w:val="0"/>
          <w:numId w:val="0"/>
        </w:numPr>
        <w:ind w:left="357" w:hanging="357"/>
      </w:pPr>
      <w:r w:rsidRPr="001B5A8F">
        <w:t xml:space="preserve">Some solutions </w:t>
      </w:r>
      <w:r w:rsidR="005F0426" w:rsidRPr="001B5A8F">
        <w:t>to addressing barriers to cross-sectoral alignment</w:t>
      </w:r>
      <w:r w:rsidR="000F3381" w:rsidRPr="001B5A8F">
        <w:t xml:space="preserve"> include:</w:t>
      </w:r>
    </w:p>
    <w:p w14:paraId="21B21B57" w14:textId="19A77E68" w:rsidR="00E9605D" w:rsidRPr="001B5A8F" w:rsidRDefault="001E4831" w:rsidP="00E9605D">
      <w:pPr>
        <w:pStyle w:val="bullettedlist"/>
      </w:pPr>
      <w:r w:rsidRPr="001B5A8F">
        <w:rPr>
          <w:b/>
          <w:bCs/>
        </w:rPr>
        <w:t>holistic career and transition information across the student lifecycle</w:t>
      </w:r>
      <w:r w:rsidRPr="001B5A8F">
        <w:t xml:space="preserve"> including between high school </w:t>
      </w:r>
      <w:r w:rsidR="00A400C7" w:rsidRPr="001B5A8F">
        <w:t>and tertiary education sectors</w:t>
      </w:r>
      <w:r w:rsidR="00FC736D" w:rsidRPr="001B5A8F">
        <w:t xml:space="preserve">, and then in transitioning to employment once graduated. ADCET </w:t>
      </w:r>
      <w:r w:rsidR="007105C4" w:rsidRPr="001B5A8F">
        <w:t xml:space="preserve">hosts </w:t>
      </w:r>
      <w:r w:rsidR="00C418D7" w:rsidRPr="001B5A8F">
        <w:t xml:space="preserve">a range of </w:t>
      </w:r>
      <w:hyperlink r:id="rId36">
        <w:r w:rsidR="3ECEA298" w:rsidRPr="001B5A8F">
          <w:rPr>
            <w:rStyle w:val="Hyperlink"/>
          </w:rPr>
          <w:t>career and transition</w:t>
        </w:r>
        <w:r w:rsidR="6F17FC78" w:rsidRPr="001B5A8F">
          <w:rPr>
            <w:rStyle w:val="Hyperlink"/>
          </w:rPr>
          <w:t xml:space="preserve"> resources</w:t>
        </w:r>
      </w:hyperlink>
      <w:r w:rsidR="00C40569" w:rsidRPr="001B5A8F">
        <w:t xml:space="preserve"> </w:t>
      </w:r>
      <w:r w:rsidR="00C40569" w:rsidRPr="001B5A8F">
        <w:lastRenderedPageBreak/>
        <w:t xml:space="preserve">including </w:t>
      </w:r>
      <w:r w:rsidR="007105C4" w:rsidRPr="001B5A8F">
        <w:t xml:space="preserve">a </w:t>
      </w:r>
      <w:r w:rsidR="00C40569" w:rsidRPr="001B5A8F">
        <w:t>Career Development Hub</w:t>
      </w:r>
      <w:r w:rsidR="000F3381" w:rsidRPr="001B5A8F">
        <w:t xml:space="preserve"> (available end of April) </w:t>
      </w:r>
      <w:r w:rsidR="00C40569" w:rsidRPr="001B5A8F">
        <w:t xml:space="preserve">in conjunction with the National Careers Institute, </w:t>
      </w:r>
      <w:r w:rsidR="00317303" w:rsidRPr="001B5A8F">
        <w:t>a pilot</w:t>
      </w:r>
      <w:r w:rsidR="00B52199" w:rsidRPr="001B5A8F">
        <w:t xml:space="preserve"> eLearning program for school staff </w:t>
      </w:r>
      <w:r w:rsidR="000F3381" w:rsidRPr="001B5A8F">
        <w:t xml:space="preserve">(available end of April) </w:t>
      </w:r>
      <w:r w:rsidR="00B52199" w:rsidRPr="001B5A8F">
        <w:t xml:space="preserve">to assist with transition, </w:t>
      </w:r>
      <w:hyperlink r:id="rId37">
        <w:r w:rsidR="4D48E26B" w:rsidRPr="001B5A8F">
          <w:rPr>
            <w:rStyle w:val="Hyperlink"/>
          </w:rPr>
          <w:t>pre-planning information</w:t>
        </w:r>
      </w:hyperlink>
      <w:r w:rsidR="00317303" w:rsidRPr="001B5A8F">
        <w:t xml:space="preserve"> including NDIS planning</w:t>
      </w:r>
      <w:r w:rsidR="00F20304" w:rsidRPr="001B5A8F">
        <w:t xml:space="preserve">, and the USEP for </w:t>
      </w:r>
      <w:r w:rsidR="008057EC" w:rsidRPr="001B5A8F">
        <w:t>university graduates</w:t>
      </w:r>
    </w:p>
    <w:p w14:paraId="6D220AED" w14:textId="154989B8" w:rsidR="002536B3" w:rsidRPr="001B5A8F" w:rsidRDefault="00B52199" w:rsidP="00E9605D">
      <w:pPr>
        <w:pStyle w:val="bullettedlist"/>
      </w:pPr>
      <w:r w:rsidRPr="001B5A8F">
        <w:rPr>
          <w:b/>
          <w:bCs/>
        </w:rPr>
        <w:t>c</w:t>
      </w:r>
      <w:r w:rsidR="00E9605D" w:rsidRPr="001B5A8F">
        <w:rPr>
          <w:b/>
          <w:bCs/>
        </w:rPr>
        <w:t xml:space="preserve">apacity building </w:t>
      </w:r>
      <w:r w:rsidR="00B95488" w:rsidRPr="001B5A8F">
        <w:t xml:space="preserve">amongst schooling staff especially </w:t>
      </w:r>
      <w:r w:rsidR="00A46C8F" w:rsidRPr="001B5A8F">
        <w:t xml:space="preserve">career transition staff, </w:t>
      </w:r>
      <w:r w:rsidR="001069AD" w:rsidRPr="001B5A8F">
        <w:t>VET and University staff</w:t>
      </w:r>
      <w:r w:rsidR="00D62C59" w:rsidRPr="001B5A8F">
        <w:t xml:space="preserve"> involved in outreach</w:t>
      </w:r>
      <w:r w:rsidR="00C30F36" w:rsidRPr="001B5A8F">
        <w:t xml:space="preserve">, marketing and admissions; disability practitioners; </w:t>
      </w:r>
      <w:r w:rsidR="00780671" w:rsidRPr="001B5A8F">
        <w:t>educators; tertiary education careers services</w:t>
      </w:r>
      <w:r w:rsidR="001069AD" w:rsidRPr="001B5A8F">
        <w:t xml:space="preserve">, </w:t>
      </w:r>
      <w:r w:rsidR="00283750" w:rsidRPr="001B5A8F">
        <w:t xml:space="preserve">and </w:t>
      </w:r>
      <w:r w:rsidR="00DF7AD9" w:rsidRPr="001B5A8F">
        <w:t>DES</w:t>
      </w:r>
      <w:r w:rsidR="00283750" w:rsidRPr="001B5A8F">
        <w:t xml:space="preserve"> providers. </w:t>
      </w:r>
      <w:r w:rsidR="00B871F5" w:rsidRPr="001B5A8F">
        <w:t xml:space="preserve">For example, </w:t>
      </w:r>
      <w:r w:rsidR="00283750" w:rsidRPr="001B5A8F">
        <w:t xml:space="preserve">ADCET has a range of free or subsidised </w:t>
      </w:r>
      <w:hyperlink r:id="rId38">
        <w:r w:rsidR="2C445B77" w:rsidRPr="001B5A8F">
          <w:rPr>
            <w:rStyle w:val="Hyperlink"/>
          </w:rPr>
          <w:t>e</w:t>
        </w:r>
        <w:r w:rsidR="0B5C84AD" w:rsidRPr="001B5A8F">
          <w:rPr>
            <w:rStyle w:val="Hyperlink"/>
          </w:rPr>
          <w:t>Learning programs</w:t>
        </w:r>
      </w:hyperlink>
      <w:r w:rsidR="00B76E4B" w:rsidRPr="001B5A8F">
        <w:t xml:space="preserve"> to assist providers to </w:t>
      </w:r>
      <w:r w:rsidR="007E3DC8" w:rsidRPr="001B5A8F">
        <w:t>build capacity in their workforce</w:t>
      </w:r>
      <w:r w:rsidR="004135D1" w:rsidRPr="001B5A8F">
        <w:t xml:space="preserve"> including understanding their positive obligations and implementing </w:t>
      </w:r>
      <w:r w:rsidR="002536B3" w:rsidRPr="001B5A8F">
        <w:t>disability inclusive practices across the institution.</w:t>
      </w:r>
    </w:p>
    <w:p w14:paraId="3EE0BBA0" w14:textId="7E2C991E" w:rsidR="00B31D69" w:rsidRPr="001B5A8F" w:rsidRDefault="00D760B5" w:rsidP="00720BC7">
      <w:pPr>
        <w:pStyle w:val="bullettedlist"/>
        <w:rPr>
          <w:rFonts w:eastAsia="Times New Roman"/>
          <w:color w:val="222222"/>
          <w:lang w:val="en-AU" w:eastAsia="en-AU"/>
        </w:rPr>
      </w:pPr>
      <w:r w:rsidRPr="001B5A8F">
        <w:rPr>
          <w:b/>
          <w:bCs/>
        </w:rPr>
        <w:t>build capacity in NDIS to support people into tertiary study</w:t>
      </w:r>
      <w:r w:rsidRPr="001B5A8F">
        <w:t xml:space="preserve"> through package </w:t>
      </w:r>
      <w:r w:rsidR="00283FBB" w:rsidRPr="001B5A8F">
        <w:t>support</w:t>
      </w:r>
      <w:r w:rsidR="007C286F" w:rsidRPr="001B5A8F">
        <w:t xml:space="preserve">. Currently, the NDIS </w:t>
      </w:r>
      <w:r w:rsidR="00D22F2B" w:rsidRPr="001B5A8F">
        <w:t xml:space="preserve">has no strategic plan specifically relating to skill attainment through education. </w:t>
      </w:r>
      <w:r w:rsidR="22A24A58" w:rsidRPr="001B5A8F">
        <w:t xml:space="preserve">It only has a </w:t>
      </w:r>
      <w:hyperlink r:id="rId39" w:anchor="strategy">
        <w:r w:rsidR="22A24A58" w:rsidRPr="001B5A8F">
          <w:rPr>
            <w:rStyle w:val="Hyperlink"/>
          </w:rPr>
          <w:t>‘Participation Employment Strategy</w:t>
        </w:r>
      </w:hyperlink>
      <w:r w:rsidR="007514FE" w:rsidRPr="001B5A8F">
        <w:t>’ which focusses on getting people with disability into paid employment</w:t>
      </w:r>
      <w:r w:rsidR="00F16986" w:rsidRPr="001B5A8F">
        <w:t xml:space="preserve"> and a</w:t>
      </w:r>
      <w:r w:rsidR="00791164" w:rsidRPr="001B5A8F">
        <w:t xml:space="preserve"> one page</w:t>
      </w:r>
      <w:r w:rsidR="00F16986" w:rsidRPr="001B5A8F">
        <w:t xml:space="preserve"> ‘</w:t>
      </w:r>
      <w:hyperlink r:id="rId40" w:anchor="strategy">
        <w:r w:rsidR="28733B56" w:rsidRPr="001B5A8F">
          <w:rPr>
            <w:rStyle w:val="Hyperlink"/>
          </w:rPr>
          <w:t>NDIS Participation Employment Strategy Action Plan</w:t>
        </w:r>
      </w:hyperlink>
      <w:r w:rsidR="00F16986" w:rsidRPr="001B5A8F">
        <w:t xml:space="preserve">’ </w:t>
      </w:r>
      <w:r w:rsidR="00791164" w:rsidRPr="001B5A8F">
        <w:t>which</w:t>
      </w:r>
      <w:r w:rsidR="00081DAF" w:rsidRPr="001B5A8F">
        <w:t xml:space="preserve"> includes a priority to </w:t>
      </w:r>
      <w:r w:rsidR="0050007A" w:rsidRPr="001B5A8F">
        <w:t>‘strengthen the link between education and employment’ but limited</w:t>
      </w:r>
      <w:r w:rsidR="00C419C9" w:rsidRPr="001B5A8F">
        <w:t xml:space="preserve"> actions on how to foster study and training opportunities in tertiary education contexts. This </w:t>
      </w:r>
      <w:r w:rsidR="008A0F28" w:rsidRPr="001B5A8F">
        <w:t>further reinforces</w:t>
      </w:r>
      <w:r w:rsidR="00522B24" w:rsidRPr="001B5A8F">
        <w:t xml:space="preserve"> low expectations about what </w:t>
      </w:r>
      <w:r w:rsidR="00016BD9" w:rsidRPr="001B5A8F">
        <w:t xml:space="preserve">NDIS participants are capable of and </w:t>
      </w:r>
      <w:r w:rsidR="00B31D69" w:rsidRPr="001B5A8F">
        <w:t xml:space="preserve">potentially </w:t>
      </w:r>
      <w:r w:rsidR="00283FBB" w:rsidRPr="001B5A8F">
        <w:t>negates</w:t>
      </w:r>
      <w:r w:rsidR="00720BC7" w:rsidRPr="001B5A8F">
        <w:t xml:space="preserve"> </w:t>
      </w:r>
      <w:r w:rsidR="00B31D69" w:rsidRPr="001B5A8F">
        <w:t>the strategy goals to ‘</w:t>
      </w:r>
      <w:r w:rsidR="004B00A9" w:rsidRPr="001B5A8F">
        <w:t>give</w:t>
      </w:r>
      <w:r w:rsidR="00B31D69" w:rsidRPr="001B5A8F">
        <w:rPr>
          <w:rFonts w:eastAsia="Times New Roman"/>
          <w:color w:val="222222"/>
          <w:lang w:val="en-AU" w:eastAsia="en-AU"/>
        </w:rPr>
        <w:t xml:space="preserve"> greater financial independence</w:t>
      </w:r>
      <w:r w:rsidR="00720BC7" w:rsidRPr="001B5A8F">
        <w:rPr>
          <w:rFonts w:eastAsia="Times New Roman"/>
          <w:color w:val="222222"/>
          <w:lang w:val="en-AU" w:eastAsia="en-AU"/>
        </w:rPr>
        <w:t>’ and ‘</w:t>
      </w:r>
      <w:r w:rsidR="00B31D69" w:rsidRPr="001B5A8F">
        <w:rPr>
          <w:rFonts w:eastAsia="Times New Roman"/>
          <w:color w:val="222222"/>
          <w:lang w:val="en-AU" w:eastAsia="en-AU"/>
        </w:rPr>
        <w:t>improve health and wellbeing</w:t>
      </w:r>
      <w:r w:rsidR="00720BC7" w:rsidRPr="001B5A8F">
        <w:rPr>
          <w:rFonts w:eastAsia="Times New Roman"/>
          <w:color w:val="222222"/>
          <w:lang w:val="en-AU" w:eastAsia="en-AU"/>
        </w:rPr>
        <w:t>’</w:t>
      </w:r>
      <w:r w:rsidR="00B31D69" w:rsidRPr="001B5A8F">
        <w:rPr>
          <w:rFonts w:eastAsia="Times New Roman"/>
          <w:color w:val="222222"/>
          <w:lang w:val="en-AU" w:eastAsia="en-AU"/>
        </w:rPr>
        <w:t> </w:t>
      </w:r>
      <w:r w:rsidR="00720BC7" w:rsidRPr="001B5A8F">
        <w:rPr>
          <w:rFonts w:eastAsia="Times New Roman"/>
          <w:color w:val="222222"/>
          <w:lang w:val="en-AU" w:eastAsia="en-AU"/>
        </w:rPr>
        <w:t>by limited access to tertiary education.</w:t>
      </w:r>
    </w:p>
    <w:p w14:paraId="5D10FC2E" w14:textId="4133DA1C" w:rsidR="00A5716F" w:rsidRPr="001B5A8F" w:rsidRDefault="008509F1" w:rsidP="00A5716F">
      <w:pPr>
        <w:pStyle w:val="bullettedlist"/>
      </w:pPr>
      <w:r>
        <w:rPr>
          <w:b/>
          <w:bCs/>
        </w:rPr>
        <w:t>b</w:t>
      </w:r>
      <w:r w:rsidR="00E50637" w:rsidRPr="001B5A8F">
        <w:rPr>
          <w:b/>
          <w:bCs/>
        </w:rPr>
        <w:t>etter tracking</w:t>
      </w:r>
      <w:r w:rsidR="00CF3FFF" w:rsidRPr="001B5A8F">
        <w:rPr>
          <w:b/>
          <w:bCs/>
        </w:rPr>
        <w:t xml:space="preserve"> of students with disability across education sectors</w:t>
      </w:r>
      <w:r w:rsidR="00CF3FFF" w:rsidRPr="001B5A8F">
        <w:t xml:space="preserve"> using the Unique Student Identifie</w:t>
      </w:r>
      <w:r w:rsidR="002F1881" w:rsidRPr="001B5A8F">
        <w:t>r</w:t>
      </w:r>
      <w:r w:rsidR="00D71B45" w:rsidRPr="001B5A8F">
        <w:t xml:space="preserve"> and N</w:t>
      </w:r>
      <w:r w:rsidR="002F1881" w:rsidRPr="001B5A8F">
        <w:t>ationally Consistent Collection of Data (N</w:t>
      </w:r>
      <w:r w:rsidR="00D71B45" w:rsidRPr="001B5A8F">
        <w:t>CCD</w:t>
      </w:r>
      <w:r w:rsidR="002F1881" w:rsidRPr="001B5A8F">
        <w:t>)</w:t>
      </w:r>
      <w:r w:rsidR="00D71B45" w:rsidRPr="001B5A8F">
        <w:t xml:space="preserve"> to assist students with disability provide portable information about their adjustment needs across education sectors.</w:t>
      </w:r>
      <w:r w:rsidR="001B445F" w:rsidRPr="001B5A8F">
        <w:t xml:space="preserve"> </w:t>
      </w:r>
    </w:p>
    <w:p w14:paraId="4D9E8236" w14:textId="0DA5A8F0" w:rsidR="00D64346" w:rsidRPr="001B5A8F" w:rsidRDefault="006F26C5" w:rsidP="00532062">
      <w:pPr>
        <w:pStyle w:val="bullettedlist"/>
        <w:rPr>
          <w:lang w:val="en-AU" w:eastAsia="en-AU"/>
        </w:rPr>
      </w:pPr>
      <w:r w:rsidRPr="001B5A8F">
        <w:rPr>
          <w:b/>
          <w:bCs/>
        </w:rPr>
        <w:t>f</w:t>
      </w:r>
      <w:r w:rsidR="00D8095B" w:rsidRPr="001B5A8F">
        <w:rPr>
          <w:b/>
          <w:bCs/>
        </w:rPr>
        <w:t xml:space="preserve">oster sustainable practice amongst providers by </w:t>
      </w:r>
      <w:r w:rsidR="00AF6A08" w:rsidRPr="001B5A8F">
        <w:rPr>
          <w:b/>
          <w:bCs/>
        </w:rPr>
        <w:t>incentivising</w:t>
      </w:r>
      <w:r w:rsidR="00D64346" w:rsidRPr="001B5A8F">
        <w:rPr>
          <w:b/>
          <w:bCs/>
        </w:rPr>
        <w:t xml:space="preserve"> </w:t>
      </w:r>
      <w:r w:rsidR="00AF6A08" w:rsidRPr="001B5A8F">
        <w:rPr>
          <w:b/>
          <w:bCs/>
        </w:rPr>
        <w:t>institutions</w:t>
      </w:r>
      <w:r w:rsidR="00D64346" w:rsidRPr="001B5A8F">
        <w:rPr>
          <w:b/>
          <w:bCs/>
        </w:rPr>
        <w:t xml:space="preserve"> to embed disability inclusion.</w:t>
      </w:r>
      <w:r w:rsidR="00D64346" w:rsidRPr="001B5A8F">
        <w:t xml:space="preserve"> </w:t>
      </w:r>
      <w:r w:rsidR="00D64346" w:rsidRPr="001B5A8F">
        <w:rPr>
          <w:lang w:val="en-AU" w:eastAsia="en-AU"/>
        </w:rPr>
        <w:t>Two key areas that could be addressed with appropriate funding include</w:t>
      </w:r>
      <w:r w:rsidR="00336083" w:rsidRPr="001B5A8F">
        <w:rPr>
          <w:lang w:val="en-AU" w:eastAsia="en-AU"/>
        </w:rPr>
        <w:t xml:space="preserve"> </w:t>
      </w:r>
      <w:r w:rsidR="00D64346" w:rsidRPr="001B5A8F">
        <w:rPr>
          <w:lang w:val="en-AU" w:eastAsia="en-AU"/>
        </w:rPr>
        <w:t>top-up grants or special project monies to assist universities to upgrade their digital accessibility</w:t>
      </w:r>
      <w:r w:rsidR="00336083" w:rsidRPr="001B5A8F">
        <w:rPr>
          <w:lang w:val="en-AU" w:eastAsia="en-AU"/>
        </w:rPr>
        <w:t xml:space="preserve"> and</w:t>
      </w:r>
      <w:r w:rsidR="00AF6A08" w:rsidRPr="001B5A8F">
        <w:rPr>
          <w:lang w:val="en-AU" w:eastAsia="en-AU"/>
        </w:rPr>
        <w:t xml:space="preserve"> the implementation of Universal Design for Learning in all teaching and learning areas</w:t>
      </w:r>
      <w:r w:rsidR="006E14CA" w:rsidRPr="001B5A8F">
        <w:rPr>
          <w:lang w:val="en-AU" w:eastAsia="en-AU"/>
        </w:rPr>
        <w:t>. For example, r</w:t>
      </w:r>
      <w:r w:rsidR="00D64346" w:rsidRPr="001B5A8F">
        <w:rPr>
          <w:lang w:val="en-AU" w:eastAsia="en-AU"/>
        </w:rPr>
        <w:t>ecently ADCET has developed an Accessible ICT Procurement Guide to assist universities to ensure that all ICT is accessible to people with disability. Top up grants similar to the National Priority Pool could assist universities to audit, review and implement fully accessible ICT.</w:t>
      </w:r>
      <w:r w:rsidR="006E14CA" w:rsidRPr="001B5A8F">
        <w:rPr>
          <w:lang w:val="en-AU" w:eastAsia="en-AU"/>
        </w:rPr>
        <w:t xml:space="preserve"> The same approach could be </w:t>
      </w:r>
      <w:r w:rsidR="00B22756" w:rsidRPr="001B5A8F">
        <w:rPr>
          <w:lang w:val="en-AU" w:eastAsia="en-AU"/>
        </w:rPr>
        <w:t>used</w:t>
      </w:r>
      <w:r w:rsidR="006E14CA" w:rsidRPr="001B5A8F">
        <w:rPr>
          <w:lang w:val="en-AU" w:eastAsia="en-AU"/>
        </w:rPr>
        <w:t xml:space="preserve"> around </w:t>
      </w:r>
      <w:r w:rsidR="00D64346" w:rsidRPr="001B5A8F">
        <w:rPr>
          <w:lang w:val="en-AU" w:eastAsia="en-AU"/>
        </w:rPr>
        <w:t xml:space="preserve">curriculum reform (e.g., </w:t>
      </w:r>
      <w:r w:rsidR="006E14CA" w:rsidRPr="001B5A8F">
        <w:rPr>
          <w:lang w:val="en-AU" w:eastAsia="en-AU"/>
        </w:rPr>
        <w:t>previous examples include i</w:t>
      </w:r>
      <w:r w:rsidR="00D64346" w:rsidRPr="001B5A8F">
        <w:rPr>
          <w:lang w:val="en-AU" w:eastAsia="en-AU"/>
        </w:rPr>
        <w:t>nternationalisation</w:t>
      </w:r>
      <w:r w:rsidR="006E14CA" w:rsidRPr="001B5A8F">
        <w:rPr>
          <w:lang w:val="en-AU" w:eastAsia="en-AU"/>
        </w:rPr>
        <w:t xml:space="preserve"> and embedding</w:t>
      </w:r>
      <w:r w:rsidR="00D64346" w:rsidRPr="001B5A8F">
        <w:rPr>
          <w:lang w:val="en-AU" w:eastAsia="en-AU"/>
        </w:rPr>
        <w:t xml:space="preserve"> Indigenous perspectives)</w:t>
      </w:r>
      <w:r w:rsidRPr="001B5A8F">
        <w:rPr>
          <w:lang w:val="en-AU" w:eastAsia="en-AU"/>
        </w:rPr>
        <w:t xml:space="preserve">. By </w:t>
      </w:r>
      <w:r w:rsidR="00B22756" w:rsidRPr="001B5A8F">
        <w:rPr>
          <w:lang w:val="en-AU" w:eastAsia="en-AU"/>
        </w:rPr>
        <w:t>using</w:t>
      </w:r>
      <w:r w:rsidR="00D64346" w:rsidRPr="001B5A8F">
        <w:rPr>
          <w:lang w:val="en-AU" w:eastAsia="en-AU"/>
        </w:rPr>
        <w:t xml:space="preserve"> the resources of ADCET such as UDL eLearning, Disability Awareness Training, inclusive teaching strategies and Communities of Practice would support the implementation of UDL for both online and face-to-face learning and build capacity across the teaching and learning workforce.</w:t>
      </w:r>
    </w:p>
    <w:p w14:paraId="4F4DA6F7" w14:textId="759ECA34" w:rsidR="00145A21" w:rsidRPr="001B5A8F" w:rsidRDefault="00145A21" w:rsidP="00692293">
      <w:pPr>
        <w:pStyle w:val="Recommendation"/>
      </w:pPr>
      <w:r w:rsidRPr="001B5A8F">
        <w:t xml:space="preserve">Recommendation </w:t>
      </w:r>
      <w:r w:rsidR="00163FE2">
        <w:t>9</w:t>
      </w:r>
    </w:p>
    <w:p w14:paraId="70933329" w14:textId="08DF6511" w:rsidR="00163FE2" w:rsidRPr="001B5A8F" w:rsidRDefault="00163FE2" w:rsidP="00163FE2">
      <w:pPr>
        <w:pStyle w:val="Recommendation"/>
        <w:rPr>
          <w:b w:val="0"/>
          <w:bCs/>
          <w:i w:val="0"/>
          <w:iCs/>
        </w:rPr>
      </w:pPr>
      <w:r w:rsidRPr="4AAF47BE">
        <w:rPr>
          <w:b w:val="0"/>
          <w:i w:val="0"/>
        </w:rPr>
        <w:t>Address</w:t>
      </w:r>
      <w:r w:rsidRPr="001B5A8F">
        <w:rPr>
          <w:b w:val="0"/>
          <w:i w:val="0"/>
        </w:rPr>
        <w:t xml:space="preserve"> cross-sectoral barrier</w:t>
      </w:r>
      <w:r w:rsidRPr="001B5A8F">
        <w:rPr>
          <w:b w:val="0"/>
          <w:bCs/>
          <w:i w:val="0"/>
          <w:iCs/>
        </w:rPr>
        <w:t xml:space="preserve">s to seamlessly moving between </w:t>
      </w:r>
      <w:r w:rsidRPr="4AAF47BE">
        <w:rPr>
          <w:b w:val="0"/>
          <w:i w:val="0"/>
        </w:rPr>
        <w:t xml:space="preserve">education </w:t>
      </w:r>
      <w:r w:rsidRPr="001B5A8F">
        <w:rPr>
          <w:b w:val="0"/>
          <w:bCs/>
          <w:i w:val="0"/>
          <w:iCs/>
        </w:rPr>
        <w:t xml:space="preserve">sectors by promoting and developing resources and building capacity amongst schooling and tertiary education providers to support students with disability </w:t>
      </w:r>
      <w:r w:rsidRPr="001B5A8F">
        <w:rPr>
          <w:b w:val="0"/>
          <w:i w:val="0"/>
        </w:rPr>
        <w:t>across the student lifecycle</w:t>
      </w:r>
      <w:r w:rsidRPr="4AAF47BE">
        <w:rPr>
          <w:b w:val="0"/>
          <w:i w:val="0"/>
        </w:rPr>
        <w:t>.</w:t>
      </w:r>
    </w:p>
    <w:p w14:paraId="5E444202" w14:textId="77777777" w:rsidR="00163FE2" w:rsidRPr="001B5A8F" w:rsidRDefault="00163FE2" w:rsidP="00163FE2">
      <w:pPr>
        <w:pStyle w:val="Recommendation"/>
      </w:pPr>
      <w:r w:rsidRPr="001B5A8F">
        <w:lastRenderedPageBreak/>
        <w:t>Recommendation 1</w:t>
      </w:r>
      <w:r>
        <w:t>0</w:t>
      </w:r>
    </w:p>
    <w:p w14:paraId="7BA53072" w14:textId="77777777" w:rsidR="00163FE2" w:rsidRPr="001B5A8F" w:rsidRDefault="00163FE2" w:rsidP="00163FE2">
      <w:pPr>
        <w:pStyle w:val="Recommendation"/>
        <w:rPr>
          <w:b w:val="0"/>
          <w:bCs/>
          <w:i w:val="0"/>
          <w:iCs/>
        </w:rPr>
      </w:pPr>
      <w:r w:rsidRPr="001B5A8F">
        <w:rPr>
          <w:b w:val="0"/>
          <w:bCs/>
          <w:i w:val="0"/>
          <w:iCs/>
        </w:rPr>
        <w:t xml:space="preserve">Investigate opportunities to </w:t>
      </w:r>
      <w:r w:rsidRPr="001B5A8F">
        <w:rPr>
          <w:b w:val="0"/>
          <w:i w:val="0"/>
        </w:rPr>
        <w:t>track students with disability across education sectors using the Unique Student Identifier and Nationally Consistent Collection of Data (NCCD)</w:t>
      </w:r>
      <w:r w:rsidRPr="001B5A8F">
        <w:rPr>
          <w:b w:val="0"/>
          <w:bCs/>
          <w:i w:val="0"/>
          <w:iCs/>
        </w:rPr>
        <w:t xml:space="preserve"> to assist students with disability to provide portable information about their adjustment needs to practitioners across education sectors</w:t>
      </w:r>
      <w:r>
        <w:rPr>
          <w:b w:val="0"/>
          <w:bCs/>
          <w:i w:val="0"/>
          <w:iCs/>
        </w:rPr>
        <w:t>.</w:t>
      </w:r>
    </w:p>
    <w:p w14:paraId="652BCF7F" w14:textId="77777777" w:rsidR="00F1255E" w:rsidRDefault="00F1255E" w:rsidP="00F1255E"/>
    <w:p w14:paraId="1BB69D96" w14:textId="36D359E1" w:rsidR="006039F6" w:rsidRPr="001B5A8F" w:rsidRDefault="001B37C3" w:rsidP="001B37C3">
      <w:pPr>
        <w:pStyle w:val="Recommendation"/>
      </w:pPr>
      <w:r w:rsidRPr="001B5A8F">
        <w:t>Recommendation 11</w:t>
      </w:r>
    </w:p>
    <w:p w14:paraId="50D46057" w14:textId="77777777" w:rsidR="001C5A99" w:rsidRPr="000E1D92" w:rsidRDefault="001C5A99" w:rsidP="001C5A99">
      <w:pPr>
        <w:pStyle w:val="Recommendation"/>
        <w:rPr>
          <w:b w:val="0"/>
          <w:bCs/>
          <w:i w:val="0"/>
          <w:iCs/>
        </w:rPr>
      </w:pPr>
      <w:r w:rsidRPr="000E1D92">
        <w:rPr>
          <w:b w:val="0"/>
          <w:bCs/>
          <w:i w:val="0"/>
          <w:iCs/>
        </w:rPr>
        <w:t>Review and strengthen the interface between tertiary education and the National Disability Insurance Scheme</w:t>
      </w:r>
      <w:r>
        <w:rPr>
          <w:b w:val="0"/>
          <w:bCs/>
          <w:i w:val="0"/>
          <w:iCs/>
        </w:rPr>
        <w:t xml:space="preserve"> (NDIA)</w:t>
      </w:r>
      <w:r w:rsidRPr="000E1D92">
        <w:rPr>
          <w:b w:val="0"/>
          <w:bCs/>
          <w:i w:val="0"/>
          <w:iCs/>
        </w:rPr>
        <w:t xml:space="preserve"> to ensure scheme participants have better access to post-secondary education</w:t>
      </w:r>
      <w:r>
        <w:rPr>
          <w:b w:val="0"/>
          <w:bCs/>
          <w:i w:val="0"/>
          <w:iCs/>
        </w:rPr>
        <w:t>.</w:t>
      </w:r>
    </w:p>
    <w:p w14:paraId="0F78AE27" w14:textId="77777777" w:rsidR="006A342F" w:rsidRPr="001B5A8F" w:rsidRDefault="00692293" w:rsidP="006A342F">
      <w:pPr>
        <w:pStyle w:val="Heading1"/>
        <w:rPr>
          <w:lang w:val="en-AU" w:eastAsia="en-AU"/>
        </w:rPr>
      </w:pPr>
      <w:r w:rsidRPr="001B5A8F">
        <w:br w:type="page"/>
      </w:r>
      <w:bookmarkStart w:id="52" w:name="_Toc132100481"/>
      <w:bookmarkStart w:id="53" w:name="_Toc132125072"/>
      <w:bookmarkStart w:id="54" w:name="_Toc132139895"/>
      <w:bookmarkStart w:id="55" w:name="_Toc132139955"/>
      <w:bookmarkStart w:id="56" w:name="_Toc132100492"/>
      <w:r w:rsidR="006A342F" w:rsidRPr="001B5A8F">
        <w:rPr>
          <w:lang w:val="en-AU" w:eastAsia="en-AU"/>
        </w:rPr>
        <w:lastRenderedPageBreak/>
        <w:t>Summary of recommendations</w:t>
      </w:r>
      <w:bookmarkEnd w:id="52"/>
      <w:bookmarkEnd w:id="53"/>
      <w:bookmarkEnd w:id="54"/>
      <w:bookmarkEnd w:id="55"/>
    </w:p>
    <w:p w14:paraId="437274D4" w14:textId="77777777" w:rsidR="006A342F" w:rsidRPr="001B5A8F" w:rsidRDefault="006A342F" w:rsidP="006A342F">
      <w:pPr>
        <w:pStyle w:val="Recommendation"/>
      </w:pPr>
      <w:r w:rsidRPr="001B5A8F">
        <w:t>Recommendation 1</w:t>
      </w:r>
    </w:p>
    <w:p w14:paraId="17C5DAD9" w14:textId="31EAAB54" w:rsidR="006A342F" w:rsidRPr="001B5A8F" w:rsidRDefault="006A342F" w:rsidP="006A342F">
      <w:pPr>
        <w:pStyle w:val="Recommendation"/>
        <w:rPr>
          <w:b w:val="0"/>
          <w:bCs/>
          <w:i w:val="0"/>
          <w:iCs/>
        </w:rPr>
      </w:pPr>
      <w:r>
        <w:rPr>
          <w:b w:val="0"/>
          <w:bCs/>
          <w:i w:val="0"/>
          <w:iCs/>
        </w:rPr>
        <w:t>Continue to p</w:t>
      </w:r>
      <w:r w:rsidRPr="001B5A8F">
        <w:rPr>
          <w:b w:val="0"/>
          <w:bCs/>
          <w:i w:val="0"/>
          <w:iCs/>
        </w:rPr>
        <w:t>rovide adequate funding to ADCET, provided on 3-year cycles, to continue its remit to support disability inclusion in the tertiary sector.</w:t>
      </w:r>
      <w:r>
        <w:rPr>
          <w:b w:val="0"/>
          <w:bCs/>
          <w:i w:val="0"/>
          <w:iCs/>
        </w:rPr>
        <w:t xml:space="preserve"> This support will enable ADCET to </w:t>
      </w:r>
      <w:r w:rsidRPr="001B5A8F">
        <w:rPr>
          <w:b w:val="0"/>
          <w:bCs/>
          <w:i w:val="0"/>
          <w:iCs/>
        </w:rPr>
        <w:t>continue to develop and deliver projects of national significance to the tertiary education sector to foster greater disability inclusion under its four strategic pillars: policy and advocacy, engagement, Universal Design and good practice.</w:t>
      </w:r>
      <w:r w:rsidRPr="003A2BB6">
        <w:rPr>
          <w:b w:val="0"/>
          <w:bCs/>
          <w:i w:val="0"/>
          <w:iCs/>
        </w:rPr>
        <w:t xml:space="preserve"> </w:t>
      </w:r>
    </w:p>
    <w:p w14:paraId="1C6980DD" w14:textId="77777777" w:rsidR="006A342F" w:rsidRPr="001B5A8F" w:rsidRDefault="006A342F" w:rsidP="006A342F"/>
    <w:p w14:paraId="16816372" w14:textId="77777777" w:rsidR="006A342F" w:rsidRPr="001B5A8F" w:rsidRDefault="006A342F" w:rsidP="006A342F">
      <w:pPr>
        <w:pStyle w:val="Recommendation"/>
        <w:rPr>
          <w:lang w:val="en-AU" w:eastAsia="en-AU"/>
        </w:rPr>
      </w:pPr>
      <w:r w:rsidRPr="001B5A8F">
        <w:rPr>
          <w:lang w:val="en-AU" w:eastAsia="en-AU"/>
        </w:rPr>
        <w:t xml:space="preserve">Recommendation </w:t>
      </w:r>
      <w:r>
        <w:rPr>
          <w:lang w:val="en-AU" w:eastAsia="en-AU"/>
        </w:rPr>
        <w:t>2</w:t>
      </w:r>
    </w:p>
    <w:p w14:paraId="7CD0D8FD" w14:textId="77777777" w:rsidR="006A342F" w:rsidRPr="001B5A8F" w:rsidRDefault="006A342F" w:rsidP="006A342F">
      <w:pPr>
        <w:pStyle w:val="Recommendation"/>
        <w:rPr>
          <w:b w:val="0"/>
          <w:bCs/>
          <w:i w:val="0"/>
          <w:iCs/>
          <w:lang w:val="en-AU" w:eastAsia="en-AU"/>
        </w:rPr>
      </w:pPr>
      <w:r w:rsidRPr="001B5A8F">
        <w:rPr>
          <w:b w:val="0"/>
          <w:bCs/>
          <w:i w:val="0"/>
          <w:iCs/>
          <w:lang w:val="en-AU" w:eastAsia="en-AU"/>
        </w:rPr>
        <w:t xml:space="preserve">Develop and implement a </w:t>
      </w:r>
      <w:r w:rsidRPr="001B5A8F">
        <w:rPr>
          <w:b w:val="0"/>
          <w:lang w:val="en-AU" w:eastAsia="en-AU"/>
        </w:rPr>
        <w:t>National Strategy for Students with Disability in Tertiary Education</w:t>
      </w:r>
      <w:r w:rsidRPr="001B5A8F">
        <w:rPr>
          <w:b w:val="0"/>
          <w:bCs/>
          <w:i w:val="0"/>
          <w:iCs/>
          <w:lang w:val="en-AU" w:eastAsia="en-AU"/>
        </w:rPr>
        <w:t xml:space="preserve"> which sets out key obligations and vision for tertiary education providers around disability inclusion. The Strategy would set requirements for tertiary education providers to have active Disability Inclusion Action Plans, strategies to improve student outcomes for people with disability across key elements of physical, digital, cultural and learning accessibility. This national strategy should be </w:t>
      </w:r>
      <w:r w:rsidRPr="001B5A8F">
        <w:rPr>
          <w:b w:val="0"/>
          <w:i w:val="0"/>
          <w:lang w:val="en-AU" w:eastAsia="en-AU"/>
        </w:rPr>
        <w:t>accompanied by appropriate funding to support providers through the assistance of ADCE</w:t>
      </w:r>
      <w:r w:rsidRPr="001B5A8F">
        <w:rPr>
          <w:b w:val="0"/>
          <w:bCs/>
          <w:i w:val="0"/>
          <w:iCs/>
          <w:lang w:val="en-AU" w:eastAsia="en-AU"/>
        </w:rPr>
        <w:t xml:space="preserve">T. </w:t>
      </w:r>
    </w:p>
    <w:p w14:paraId="7321542C" w14:textId="77777777" w:rsidR="006A342F" w:rsidRPr="001B5A8F" w:rsidRDefault="006A342F" w:rsidP="006A342F">
      <w:pPr>
        <w:pStyle w:val="NoSpacing"/>
      </w:pPr>
    </w:p>
    <w:p w14:paraId="60A71C56" w14:textId="77777777" w:rsidR="006A342F" w:rsidRPr="001B5A8F" w:rsidRDefault="006A342F" w:rsidP="006A342F">
      <w:pPr>
        <w:pStyle w:val="Recommendation"/>
        <w:rPr>
          <w:lang w:val="en-AU" w:eastAsia="en-AU"/>
        </w:rPr>
      </w:pPr>
      <w:r w:rsidRPr="001B5A8F">
        <w:rPr>
          <w:lang w:val="en-AU" w:eastAsia="en-AU"/>
        </w:rPr>
        <w:t xml:space="preserve">Recommendation </w:t>
      </w:r>
      <w:r>
        <w:rPr>
          <w:lang w:val="en-AU" w:eastAsia="en-AU"/>
        </w:rPr>
        <w:t>3</w:t>
      </w:r>
    </w:p>
    <w:p w14:paraId="05F6EEEE" w14:textId="77777777" w:rsidR="006A342F" w:rsidRPr="001B5A8F" w:rsidRDefault="006A342F" w:rsidP="006A342F">
      <w:pPr>
        <w:pStyle w:val="Recommendation"/>
        <w:rPr>
          <w:b w:val="0"/>
          <w:bCs/>
          <w:i w:val="0"/>
          <w:iCs/>
          <w:lang w:val="en-AU" w:eastAsia="en-AU"/>
        </w:rPr>
      </w:pPr>
      <w:r w:rsidRPr="001B5A8F">
        <w:rPr>
          <w:b w:val="0"/>
          <w:bCs/>
          <w:i w:val="0"/>
          <w:iCs/>
          <w:lang w:val="en-AU" w:eastAsia="en-AU"/>
        </w:rPr>
        <w:t xml:space="preserve">Develop an appropriate </w:t>
      </w:r>
      <w:r w:rsidRPr="001B5A8F">
        <w:rPr>
          <w:b w:val="0"/>
          <w:i w:val="0"/>
          <w:lang w:val="en-AU" w:eastAsia="en-AU"/>
        </w:rPr>
        <w:t>evaluation and performance framework for tracking the access, participation, retention and success of people with disability in and between education sectors in order to better understand and support their success in education.</w:t>
      </w:r>
      <w:r w:rsidRPr="001B5A8F">
        <w:rPr>
          <w:b w:val="0"/>
          <w:bCs/>
          <w:i w:val="0"/>
          <w:iCs/>
          <w:lang w:val="en-AU" w:eastAsia="en-AU"/>
        </w:rPr>
        <w:t xml:space="preserve"> Performance assessment of tertiary education providers would be an essential feature of any performance and evaluation framework.</w:t>
      </w:r>
    </w:p>
    <w:p w14:paraId="6D38D236" w14:textId="77777777" w:rsidR="006A342F" w:rsidRPr="001B5A8F" w:rsidRDefault="006A342F" w:rsidP="006A342F">
      <w:pPr>
        <w:pStyle w:val="NoSpacing"/>
        <w:rPr>
          <w:lang w:val="en-AU" w:eastAsia="en-AU"/>
        </w:rPr>
      </w:pPr>
    </w:p>
    <w:p w14:paraId="37E552D6" w14:textId="77777777" w:rsidR="006A342F" w:rsidRPr="001B5A8F" w:rsidRDefault="006A342F" w:rsidP="006A342F">
      <w:pPr>
        <w:pStyle w:val="Recommendation"/>
      </w:pPr>
      <w:r w:rsidRPr="001B5A8F">
        <w:t xml:space="preserve">Recommendation </w:t>
      </w:r>
      <w:r>
        <w:t>4</w:t>
      </w:r>
    </w:p>
    <w:p w14:paraId="73A7A0E6" w14:textId="77777777" w:rsidR="006A342F" w:rsidRPr="001B5A8F" w:rsidRDefault="006A342F" w:rsidP="006A342F">
      <w:pPr>
        <w:pStyle w:val="Recommendation"/>
        <w:rPr>
          <w:b w:val="0"/>
          <w:bCs/>
          <w:i w:val="0"/>
          <w:iCs/>
        </w:rPr>
      </w:pPr>
      <w:r w:rsidRPr="001B5A8F">
        <w:rPr>
          <w:b w:val="0"/>
          <w:bCs/>
          <w:i w:val="0"/>
          <w:iCs/>
        </w:rPr>
        <w:t xml:space="preserve">Review and increase funding to support initiatives specifically aimed at the </w:t>
      </w:r>
      <w:r w:rsidRPr="001B5A8F">
        <w:rPr>
          <w:b w:val="0"/>
          <w:i w:val="0"/>
        </w:rPr>
        <w:t>transition of students from the schooling to tertiary education sector</w:t>
      </w:r>
      <w:r w:rsidRPr="001B5A8F">
        <w:rPr>
          <w:b w:val="0"/>
          <w:bCs/>
          <w:i w:val="0"/>
          <w:iCs/>
        </w:rPr>
        <w:t xml:space="preserve"> including outreach activities, pathways, enabling programs, capacity-building for staff in school and tertiary sector in order to increase the awareness of post-secondary school options for people with disability.</w:t>
      </w:r>
    </w:p>
    <w:p w14:paraId="00D48A80" w14:textId="77777777" w:rsidR="006A342F" w:rsidRPr="001B5A8F" w:rsidRDefault="006A342F" w:rsidP="006A342F">
      <w:pPr>
        <w:pStyle w:val="NoSpacing"/>
        <w:rPr>
          <w:lang w:val="en-AU" w:eastAsia="en-AU"/>
        </w:rPr>
      </w:pPr>
    </w:p>
    <w:p w14:paraId="74D1F630" w14:textId="77777777" w:rsidR="006A342F" w:rsidRPr="001B5A8F" w:rsidRDefault="006A342F" w:rsidP="006A342F">
      <w:pPr>
        <w:pStyle w:val="Recommendation"/>
        <w:rPr>
          <w:lang w:val="en-AU" w:eastAsia="en-AU"/>
        </w:rPr>
      </w:pPr>
      <w:r w:rsidRPr="001B5A8F">
        <w:rPr>
          <w:lang w:val="en-AU" w:eastAsia="en-AU"/>
        </w:rPr>
        <w:t xml:space="preserve">Recommendation </w:t>
      </w:r>
      <w:r>
        <w:rPr>
          <w:lang w:val="en-AU" w:eastAsia="en-AU"/>
        </w:rPr>
        <w:t>5</w:t>
      </w:r>
    </w:p>
    <w:p w14:paraId="35DE774A" w14:textId="77777777" w:rsidR="006A342F" w:rsidRPr="001B5A8F" w:rsidRDefault="006A342F" w:rsidP="006A342F">
      <w:pPr>
        <w:pStyle w:val="Recommendation"/>
        <w:rPr>
          <w:b w:val="0"/>
          <w:bCs/>
          <w:i w:val="0"/>
          <w:iCs/>
          <w:lang w:val="en-AU" w:eastAsia="en-AU"/>
        </w:rPr>
      </w:pPr>
      <w:r w:rsidRPr="4AAF47BE">
        <w:rPr>
          <w:b w:val="0"/>
          <w:i w:val="0"/>
          <w:lang w:val="en-AU" w:eastAsia="en-AU"/>
        </w:rPr>
        <w:t>Provide meaningful centrally coordinated funding to address</w:t>
      </w:r>
      <w:r w:rsidRPr="001B5A8F">
        <w:rPr>
          <w:b w:val="0"/>
          <w:bCs/>
          <w:i w:val="0"/>
          <w:iCs/>
          <w:lang w:val="en-AU" w:eastAsia="en-AU"/>
        </w:rPr>
        <w:t xml:space="preserve"> disability inclusion across key elements of digital, physical, cultural and learning inclusion including </w:t>
      </w:r>
      <w:r w:rsidRPr="001B5A8F">
        <w:rPr>
          <w:b w:val="0"/>
          <w:i w:val="0"/>
          <w:lang w:val="en-AU" w:eastAsia="en-AU"/>
        </w:rPr>
        <w:t>building workforce capacity</w:t>
      </w:r>
      <w:r w:rsidRPr="001B5A8F">
        <w:rPr>
          <w:b w:val="0"/>
          <w:bCs/>
          <w:i w:val="0"/>
          <w:iCs/>
          <w:lang w:val="en-AU" w:eastAsia="en-AU"/>
        </w:rPr>
        <w:t xml:space="preserve"> to support people with disability across the student lifecycle.</w:t>
      </w:r>
    </w:p>
    <w:p w14:paraId="32932DD2" w14:textId="77777777" w:rsidR="006A342F" w:rsidRPr="001B5A8F" w:rsidRDefault="006A342F" w:rsidP="006A342F">
      <w:pPr>
        <w:pStyle w:val="bullettedlist"/>
        <w:numPr>
          <w:ilvl w:val="0"/>
          <w:numId w:val="0"/>
        </w:numPr>
        <w:ind w:left="360" w:hanging="360"/>
        <w:rPr>
          <w:sz w:val="20"/>
          <w:szCs w:val="20"/>
          <w:lang w:val="en-AU" w:eastAsia="en-AU"/>
        </w:rPr>
      </w:pPr>
    </w:p>
    <w:p w14:paraId="5351A642" w14:textId="77777777" w:rsidR="006A342F" w:rsidRPr="001B5A8F" w:rsidRDefault="006A342F" w:rsidP="006A342F">
      <w:pPr>
        <w:pStyle w:val="Recommendation"/>
        <w:rPr>
          <w:lang w:val="en-AU" w:eastAsia="en-AU"/>
        </w:rPr>
      </w:pPr>
      <w:r w:rsidRPr="001B5A8F">
        <w:rPr>
          <w:lang w:val="en-AU" w:eastAsia="en-AU"/>
        </w:rPr>
        <w:t xml:space="preserve">Recommendation </w:t>
      </w:r>
      <w:r>
        <w:rPr>
          <w:lang w:val="en-AU" w:eastAsia="en-AU"/>
        </w:rPr>
        <w:t>6</w:t>
      </w:r>
    </w:p>
    <w:p w14:paraId="7E640B10" w14:textId="77777777" w:rsidR="006A342F" w:rsidRPr="001B5A8F" w:rsidRDefault="006A342F" w:rsidP="006A342F">
      <w:pPr>
        <w:pStyle w:val="Recommendation"/>
        <w:rPr>
          <w:sz w:val="20"/>
          <w:szCs w:val="20"/>
          <w:lang w:val="en-AU" w:eastAsia="en-AU"/>
        </w:rPr>
      </w:pPr>
      <w:r w:rsidRPr="001B5A8F">
        <w:rPr>
          <w:b w:val="0"/>
          <w:i w:val="0"/>
          <w:lang w:val="en-AU" w:eastAsia="en-AU"/>
        </w:rPr>
        <w:t>Review higher education policy settings</w:t>
      </w:r>
      <w:r w:rsidRPr="001B5A8F">
        <w:rPr>
          <w:b w:val="0"/>
          <w:bCs/>
          <w:i w:val="0"/>
          <w:iCs/>
          <w:lang w:val="en-AU" w:eastAsia="en-AU"/>
        </w:rPr>
        <w:t xml:space="preserve"> to review cost implications of study through a disability inclusive lens including a</w:t>
      </w:r>
      <w:r w:rsidRPr="001B5A8F">
        <w:rPr>
          <w:b w:val="0"/>
          <w:i w:val="0"/>
          <w:lang w:val="en-AU" w:eastAsia="en-AU"/>
        </w:rPr>
        <w:t>ddressing study costs, barriers to participation and retention</w:t>
      </w:r>
      <w:r w:rsidRPr="001B5A8F">
        <w:rPr>
          <w:b w:val="0"/>
          <w:bCs/>
          <w:i w:val="0"/>
          <w:iCs/>
          <w:lang w:val="en-AU" w:eastAsia="en-AU"/>
        </w:rPr>
        <w:t xml:space="preserve">. </w:t>
      </w:r>
    </w:p>
    <w:p w14:paraId="5F0963E4" w14:textId="77777777" w:rsidR="006A342F" w:rsidRPr="001B5A8F" w:rsidRDefault="006A342F" w:rsidP="006A342F">
      <w:pPr>
        <w:pStyle w:val="NoSpacing"/>
        <w:rPr>
          <w:lang w:val="en-AU" w:eastAsia="en-AU"/>
        </w:rPr>
      </w:pPr>
    </w:p>
    <w:p w14:paraId="0649FE12" w14:textId="77777777" w:rsidR="006A342F" w:rsidRPr="001B5A8F" w:rsidRDefault="006A342F" w:rsidP="006A342F">
      <w:pPr>
        <w:pStyle w:val="Recommendation"/>
        <w:rPr>
          <w:lang w:val="en-AU" w:eastAsia="en-AU"/>
        </w:rPr>
      </w:pPr>
      <w:r w:rsidRPr="001B5A8F">
        <w:rPr>
          <w:lang w:val="en-AU" w:eastAsia="en-AU"/>
        </w:rPr>
        <w:t xml:space="preserve">Recommendation </w:t>
      </w:r>
      <w:r>
        <w:rPr>
          <w:lang w:val="en-AU" w:eastAsia="en-AU"/>
        </w:rPr>
        <w:t>7</w:t>
      </w:r>
    </w:p>
    <w:p w14:paraId="5FA49CA7" w14:textId="77777777" w:rsidR="006A342F" w:rsidRPr="001B5A8F" w:rsidRDefault="006A342F" w:rsidP="006A342F">
      <w:pPr>
        <w:pStyle w:val="Recommendation"/>
        <w:rPr>
          <w:b w:val="0"/>
          <w:bCs/>
          <w:i w:val="0"/>
          <w:iCs/>
          <w:lang w:val="en-AU" w:eastAsia="en-AU"/>
        </w:rPr>
      </w:pPr>
      <w:r w:rsidRPr="4AAF47BE">
        <w:rPr>
          <w:b w:val="0"/>
          <w:i w:val="0"/>
          <w:lang w:val="en-AU" w:eastAsia="en-AU"/>
        </w:rPr>
        <w:t>Build</w:t>
      </w:r>
      <w:r w:rsidRPr="001B5A8F">
        <w:rPr>
          <w:b w:val="0"/>
          <w:i w:val="0"/>
          <w:lang w:val="en-AU" w:eastAsia="en-AU"/>
        </w:rPr>
        <w:t xml:space="preserve"> capacit</w:t>
      </w:r>
      <w:r w:rsidRPr="001B5A8F">
        <w:rPr>
          <w:b w:val="0"/>
          <w:bCs/>
          <w:i w:val="0"/>
          <w:iCs/>
          <w:lang w:val="en-AU" w:eastAsia="en-AU"/>
        </w:rPr>
        <w:t>y within the sector and</w:t>
      </w:r>
      <w:r>
        <w:rPr>
          <w:b w:val="0"/>
          <w:bCs/>
          <w:i w:val="0"/>
          <w:iCs/>
          <w:lang w:val="en-AU" w:eastAsia="en-AU"/>
        </w:rPr>
        <w:t xml:space="preserve"> </w:t>
      </w:r>
      <w:r w:rsidRPr="4AAF47BE">
        <w:rPr>
          <w:b w:val="0"/>
          <w:i w:val="0"/>
          <w:lang w:val="en-AU" w:eastAsia="en-AU"/>
        </w:rPr>
        <w:t>engage relevant stakeholders</w:t>
      </w:r>
      <w:r w:rsidRPr="001B5A8F">
        <w:rPr>
          <w:b w:val="0"/>
          <w:bCs/>
          <w:i w:val="0"/>
          <w:iCs/>
          <w:lang w:val="en-AU" w:eastAsia="en-AU"/>
        </w:rPr>
        <w:t xml:space="preserve"> to </w:t>
      </w:r>
      <w:r w:rsidRPr="001B5A8F">
        <w:rPr>
          <w:b w:val="0"/>
          <w:i w:val="0"/>
          <w:lang w:val="en-AU" w:eastAsia="en-AU"/>
        </w:rPr>
        <w:t>improve graduate employment outcom</w:t>
      </w:r>
      <w:r w:rsidRPr="001B5A8F">
        <w:rPr>
          <w:b w:val="0"/>
          <w:bCs/>
          <w:i w:val="0"/>
          <w:iCs/>
          <w:lang w:val="en-AU" w:eastAsia="en-AU"/>
        </w:rPr>
        <w:t>es for students with disability.</w:t>
      </w:r>
    </w:p>
    <w:p w14:paraId="491AA1A3" w14:textId="77777777" w:rsidR="006A342F" w:rsidRPr="001B5A8F" w:rsidRDefault="006A342F" w:rsidP="006A342F">
      <w:pPr>
        <w:pStyle w:val="NoSpacing"/>
        <w:rPr>
          <w:lang w:val="en-AU" w:eastAsia="en-AU"/>
        </w:rPr>
      </w:pPr>
    </w:p>
    <w:p w14:paraId="1DB7C46E" w14:textId="77777777" w:rsidR="006A342F" w:rsidRPr="001B5A8F" w:rsidRDefault="006A342F" w:rsidP="006A342F">
      <w:pPr>
        <w:pStyle w:val="Recommendation"/>
        <w:rPr>
          <w:lang w:val="en-AU" w:eastAsia="en-AU"/>
        </w:rPr>
      </w:pPr>
      <w:r w:rsidRPr="001B5A8F">
        <w:rPr>
          <w:lang w:val="en-AU" w:eastAsia="en-AU"/>
        </w:rPr>
        <w:t xml:space="preserve">Recommendation </w:t>
      </w:r>
      <w:r>
        <w:rPr>
          <w:lang w:val="en-AU" w:eastAsia="en-AU"/>
        </w:rPr>
        <w:t>8</w:t>
      </w:r>
    </w:p>
    <w:p w14:paraId="2DF77E1D" w14:textId="77777777" w:rsidR="006A342F" w:rsidRPr="001B5A8F" w:rsidRDefault="006A342F" w:rsidP="006A342F">
      <w:pPr>
        <w:pStyle w:val="Recommendation"/>
        <w:rPr>
          <w:b w:val="0"/>
          <w:bCs/>
          <w:i w:val="0"/>
          <w:iCs/>
          <w:lang w:val="en-AU" w:eastAsia="en-AU"/>
        </w:rPr>
      </w:pPr>
      <w:r w:rsidRPr="001B5A8F">
        <w:rPr>
          <w:b w:val="0"/>
          <w:bCs/>
          <w:i w:val="0"/>
          <w:iCs/>
          <w:lang w:val="en-AU" w:eastAsia="en-AU"/>
        </w:rPr>
        <w:t xml:space="preserve">Develop specific performance-based targets for tertiary education providers which support </w:t>
      </w:r>
      <w:r w:rsidRPr="001B5A8F">
        <w:rPr>
          <w:b w:val="0"/>
          <w:i w:val="0"/>
          <w:lang w:val="en-AU" w:eastAsia="en-AU"/>
        </w:rPr>
        <w:t>and formalises a graduate capabilities framework, accessible work-integrated learning experiences, capability-building amongst key employment stakeholders</w:t>
      </w:r>
      <w:r w:rsidRPr="001B5A8F">
        <w:rPr>
          <w:b w:val="0"/>
          <w:bCs/>
          <w:i w:val="0"/>
          <w:iCs/>
          <w:lang w:val="en-AU" w:eastAsia="en-AU"/>
        </w:rPr>
        <w:t xml:space="preserve"> and flexible and accessible industry experiences.</w:t>
      </w:r>
    </w:p>
    <w:p w14:paraId="0AADE353" w14:textId="77777777" w:rsidR="006A342F" w:rsidRPr="001B5A8F" w:rsidRDefault="006A342F" w:rsidP="006A342F">
      <w:pPr>
        <w:pStyle w:val="NoSpacing"/>
      </w:pPr>
    </w:p>
    <w:p w14:paraId="4BF690E3" w14:textId="77777777" w:rsidR="006A342F" w:rsidRPr="001B5A8F" w:rsidRDefault="006A342F" w:rsidP="006A342F">
      <w:pPr>
        <w:pStyle w:val="Recommendation"/>
      </w:pPr>
      <w:r w:rsidRPr="001B5A8F">
        <w:t>Recommendation</w:t>
      </w:r>
      <w:r>
        <w:t xml:space="preserve"> 9</w:t>
      </w:r>
    </w:p>
    <w:p w14:paraId="4D2134F9" w14:textId="5B2ED5E3" w:rsidR="006A342F" w:rsidRPr="001B5A8F" w:rsidRDefault="006A342F" w:rsidP="006A342F">
      <w:pPr>
        <w:pStyle w:val="Recommendation"/>
        <w:rPr>
          <w:b w:val="0"/>
          <w:bCs/>
          <w:i w:val="0"/>
          <w:iCs/>
        </w:rPr>
      </w:pPr>
      <w:r w:rsidRPr="4AAF47BE">
        <w:rPr>
          <w:b w:val="0"/>
          <w:i w:val="0"/>
        </w:rPr>
        <w:t>Address</w:t>
      </w:r>
      <w:r w:rsidRPr="001B5A8F">
        <w:rPr>
          <w:b w:val="0"/>
          <w:i w:val="0"/>
        </w:rPr>
        <w:t xml:space="preserve"> cross-sectoral barrier</w:t>
      </w:r>
      <w:r w:rsidRPr="001B5A8F">
        <w:rPr>
          <w:b w:val="0"/>
          <w:bCs/>
          <w:i w:val="0"/>
          <w:iCs/>
        </w:rPr>
        <w:t xml:space="preserve">s to seamlessly moving between </w:t>
      </w:r>
      <w:r w:rsidRPr="4AAF47BE">
        <w:rPr>
          <w:b w:val="0"/>
          <w:i w:val="0"/>
        </w:rPr>
        <w:t xml:space="preserve">education </w:t>
      </w:r>
      <w:r w:rsidRPr="001B5A8F">
        <w:rPr>
          <w:b w:val="0"/>
          <w:bCs/>
          <w:i w:val="0"/>
          <w:iCs/>
        </w:rPr>
        <w:t xml:space="preserve">sectors by promoting and developing </w:t>
      </w:r>
      <w:r w:rsidR="00163FE2" w:rsidRPr="001B5A8F">
        <w:rPr>
          <w:b w:val="0"/>
          <w:bCs/>
          <w:i w:val="0"/>
          <w:iCs/>
        </w:rPr>
        <w:t>resources and</w:t>
      </w:r>
      <w:r w:rsidRPr="001B5A8F">
        <w:rPr>
          <w:b w:val="0"/>
          <w:bCs/>
          <w:i w:val="0"/>
          <w:iCs/>
        </w:rPr>
        <w:t xml:space="preserve"> building capacity amongst schooling and tertiary education providers to support students with disability </w:t>
      </w:r>
      <w:r w:rsidRPr="001B5A8F">
        <w:rPr>
          <w:b w:val="0"/>
          <w:i w:val="0"/>
        </w:rPr>
        <w:t>across the student lifecycle</w:t>
      </w:r>
      <w:r w:rsidRPr="4AAF47BE">
        <w:rPr>
          <w:b w:val="0"/>
          <w:i w:val="0"/>
        </w:rPr>
        <w:t>.</w:t>
      </w:r>
    </w:p>
    <w:p w14:paraId="0DFA0C80" w14:textId="77777777" w:rsidR="006A342F" w:rsidRPr="001B5A8F" w:rsidRDefault="006A342F" w:rsidP="006A342F">
      <w:pPr>
        <w:pStyle w:val="NoSpacing"/>
      </w:pPr>
    </w:p>
    <w:p w14:paraId="4CBE4E62" w14:textId="77777777" w:rsidR="006A342F" w:rsidRPr="001B5A8F" w:rsidRDefault="006A342F" w:rsidP="006A342F">
      <w:pPr>
        <w:pStyle w:val="Recommendation"/>
      </w:pPr>
      <w:r w:rsidRPr="001B5A8F">
        <w:t>Recommendation 1</w:t>
      </w:r>
      <w:r>
        <w:t>0</w:t>
      </w:r>
    </w:p>
    <w:p w14:paraId="3BD1F52C" w14:textId="2CCEEF9D" w:rsidR="006A342F" w:rsidRPr="001B5A8F" w:rsidRDefault="006A342F" w:rsidP="006A342F">
      <w:pPr>
        <w:pStyle w:val="Recommendation"/>
        <w:rPr>
          <w:b w:val="0"/>
          <w:bCs/>
          <w:i w:val="0"/>
          <w:iCs/>
        </w:rPr>
      </w:pPr>
      <w:r w:rsidRPr="001B5A8F">
        <w:rPr>
          <w:b w:val="0"/>
          <w:bCs/>
          <w:i w:val="0"/>
          <w:iCs/>
        </w:rPr>
        <w:t xml:space="preserve">Investigate opportunities to </w:t>
      </w:r>
      <w:r w:rsidRPr="001B5A8F">
        <w:rPr>
          <w:b w:val="0"/>
          <w:i w:val="0"/>
        </w:rPr>
        <w:t>track students with disability across education sectors using the Unique Student Identifier and Nationally Consistent Collection of Data (NCCD)</w:t>
      </w:r>
      <w:r w:rsidRPr="001B5A8F">
        <w:rPr>
          <w:b w:val="0"/>
          <w:bCs/>
          <w:i w:val="0"/>
          <w:iCs/>
        </w:rPr>
        <w:t xml:space="preserve"> to assist students with disability to provide portable information about their adjustment needs to practitioners across education sectors</w:t>
      </w:r>
      <w:r>
        <w:rPr>
          <w:b w:val="0"/>
          <w:bCs/>
          <w:i w:val="0"/>
          <w:iCs/>
        </w:rPr>
        <w:t>.</w:t>
      </w:r>
    </w:p>
    <w:p w14:paraId="00B75E39" w14:textId="77777777" w:rsidR="006A342F" w:rsidRPr="001B5A8F" w:rsidRDefault="006A342F" w:rsidP="006A342F">
      <w:pPr>
        <w:pStyle w:val="NoSpacing"/>
      </w:pPr>
    </w:p>
    <w:p w14:paraId="15A65DE4" w14:textId="77777777" w:rsidR="006A342F" w:rsidRPr="001B5A8F" w:rsidRDefault="006A342F" w:rsidP="006A342F">
      <w:pPr>
        <w:pStyle w:val="Recommendation"/>
      </w:pPr>
      <w:r w:rsidRPr="001B5A8F">
        <w:t>Recommendation 1</w:t>
      </w:r>
      <w:r>
        <w:t>1</w:t>
      </w:r>
    </w:p>
    <w:p w14:paraId="2A6CBB9D" w14:textId="5A7EEAE5" w:rsidR="006A342F" w:rsidRPr="000E1D92" w:rsidRDefault="006A342F" w:rsidP="006A342F">
      <w:pPr>
        <w:pStyle w:val="Recommendation"/>
        <w:rPr>
          <w:b w:val="0"/>
          <w:bCs/>
          <w:i w:val="0"/>
          <w:iCs/>
        </w:rPr>
      </w:pPr>
      <w:r w:rsidRPr="000E1D92">
        <w:rPr>
          <w:b w:val="0"/>
          <w:bCs/>
          <w:i w:val="0"/>
          <w:iCs/>
        </w:rPr>
        <w:t>Review and strengthen the interface between tertiary education and the National Disability Insurance Scheme</w:t>
      </w:r>
      <w:r w:rsidR="00335AF1">
        <w:rPr>
          <w:b w:val="0"/>
          <w:bCs/>
          <w:i w:val="0"/>
          <w:iCs/>
        </w:rPr>
        <w:t xml:space="preserve"> (NDIA)</w:t>
      </w:r>
      <w:r w:rsidRPr="000E1D92">
        <w:rPr>
          <w:b w:val="0"/>
          <w:bCs/>
          <w:i w:val="0"/>
          <w:iCs/>
        </w:rPr>
        <w:t xml:space="preserve"> to ensure scheme participants have better access to post-secondary education</w:t>
      </w:r>
      <w:r>
        <w:rPr>
          <w:b w:val="0"/>
          <w:bCs/>
          <w:i w:val="0"/>
          <w:iCs/>
        </w:rPr>
        <w:t>.</w:t>
      </w:r>
    </w:p>
    <w:p w14:paraId="34F872D0" w14:textId="77777777" w:rsidR="006A342F" w:rsidRDefault="006A342F">
      <w:pPr>
        <w:rPr>
          <w:b/>
          <w:bCs/>
          <w:color w:val="2F5496" w:themeColor="accent1" w:themeShade="BF"/>
          <w:kern w:val="36"/>
          <w:sz w:val="36"/>
          <w:szCs w:val="48"/>
        </w:rPr>
      </w:pPr>
      <w:r>
        <w:br w:type="page"/>
      </w:r>
    </w:p>
    <w:p w14:paraId="780E8708" w14:textId="4FD4E23F" w:rsidR="00B41A89" w:rsidRPr="001B5A8F" w:rsidRDefault="00B41A89" w:rsidP="00B443B2">
      <w:pPr>
        <w:pStyle w:val="Heading1"/>
      </w:pPr>
      <w:bookmarkStart w:id="57" w:name="_Toc132125073"/>
      <w:bookmarkStart w:id="58" w:name="_Toc132139896"/>
      <w:bookmarkStart w:id="59" w:name="_Toc132139956"/>
      <w:r w:rsidRPr="001B5A8F">
        <w:lastRenderedPageBreak/>
        <w:t>References</w:t>
      </w:r>
      <w:bookmarkEnd w:id="56"/>
      <w:bookmarkEnd w:id="57"/>
      <w:bookmarkEnd w:id="58"/>
      <w:bookmarkEnd w:id="59"/>
    </w:p>
    <w:p w14:paraId="399660CD" w14:textId="77777777" w:rsidR="00B41A89" w:rsidRPr="001B5A8F" w:rsidRDefault="00B41A89" w:rsidP="00B41A89">
      <w:pPr>
        <w:pStyle w:val="bullettedlist"/>
        <w:numPr>
          <w:ilvl w:val="0"/>
          <w:numId w:val="0"/>
        </w:numPr>
        <w:ind w:left="357" w:hanging="357"/>
      </w:pPr>
    </w:p>
    <w:p w14:paraId="57B4CBB6" w14:textId="77777777" w:rsidR="00B41A89" w:rsidRPr="001B5A8F" w:rsidRDefault="00B41A89" w:rsidP="00B41A89">
      <w:pPr>
        <w:pStyle w:val="references"/>
      </w:pPr>
      <w:r w:rsidRPr="001B5A8F">
        <w:t xml:space="preserve">ACOLA (Australian Council of Learned Academies). (2022). </w:t>
      </w:r>
      <w:r w:rsidRPr="001B5A8F">
        <w:rPr>
          <w:i/>
          <w:iCs/>
        </w:rPr>
        <w:t>Ensuring Occupations are Responsive to People with Disability</w:t>
      </w:r>
      <w:r w:rsidRPr="001B5A8F">
        <w:t xml:space="preserve">. </w:t>
      </w:r>
      <w:hyperlink r:id="rId41" w:history="1">
        <w:r w:rsidRPr="001B5A8F">
          <w:rPr>
            <w:rStyle w:val="Hyperlink"/>
          </w:rPr>
          <w:t>www.acola.org</w:t>
        </w:r>
      </w:hyperlink>
      <w:r w:rsidRPr="001B5A8F">
        <w:t xml:space="preserve">  </w:t>
      </w:r>
    </w:p>
    <w:p w14:paraId="4DF7E2B4" w14:textId="77777777" w:rsidR="00B41A89" w:rsidRPr="001B5A8F" w:rsidRDefault="00B41A89" w:rsidP="00B41A89">
      <w:pPr>
        <w:pStyle w:val="references"/>
      </w:pPr>
      <w:r w:rsidRPr="001B5A8F">
        <w:t xml:space="preserve">AHRC (Australian Human Rights Commission). (2021). Disability Action Plan Guide. </w:t>
      </w:r>
      <w:hyperlink r:id="rId42" w:history="1">
        <w:r w:rsidRPr="001B5A8F">
          <w:rPr>
            <w:rStyle w:val="Hyperlink"/>
          </w:rPr>
          <w:t>https://www.humanrights.gov.au/our-work/publications</w:t>
        </w:r>
      </w:hyperlink>
      <w:r w:rsidRPr="001B5A8F">
        <w:t xml:space="preserve"> </w:t>
      </w:r>
    </w:p>
    <w:p w14:paraId="39C0E836" w14:textId="77777777" w:rsidR="00B41A89" w:rsidRPr="001B5A8F" w:rsidRDefault="00B41A89" w:rsidP="00B41A89">
      <w:pPr>
        <w:pStyle w:val="references"/>
      </w:pPr>
      <w:r w:rsidRPr="001B5A8F">
        <w:t xml:space="preserve">AHRC. (2021). </w:t>
      </w:r>
      <w:r w:rsidRPr="001B5A8F">
        <w:rPr>
          <w:rFonts w:eastAsiaTheme="majorEastAsia"/>
        </w:rPr>
        <w:t xml:space="preserve">The economic and business benefits of employing people with disability in </w:t>
      </w:r>
      <w:r w:rsidRPr="001B5A8F">
        <w:rPr>
          <w:rFonts w:eastAsiaTheme="majorEastAsia"/>
          <w:i/>
          <w:iCs/>
        </w:rPr>
        <w:t>Includability</w:t>
      </w:r>
      <w:r w:rsidRPr="001B5A8F">
        <w:rPr>
          <w:rFonts w:eastAsiaTheme="majorEastAsia"/>
        </w:rPr>
        <w:t xml:space="preserve">.  </w:t>
      </w:r>
      <w:hyperlink r:id="rId43" w:history="1">
        <w:r w:rsidRPr="001B5A8F">
          <w:rPr>
            <w:rStyle w:val="Hyperlink"/>
            <w:rFonts w:eastAsiaTheme="majorEastAsia"/>
          </w:rPr>
          <w:t>https://includeability.gov.au/resources-employers/economic-and-business-benefits-employing-people-disability</w:t>
        </w:r>
      </w:hyperlink>
    </w:p>
    <w:p w14:paraId="38992AC5" w14:textId="77777777" w:rsidR="00B41A89" w:rsidRPr="001B5A8F" w:rsidRDefault="00B41A89" w:rsidP="00B41A89">
      <w:pPr>
        <w:rPr>
          <w:lang w:val="en-AU"/>
        </w:rPr>
      </w:pPr>
      <w:r w:rsidRPr="001B5A8F">
        <w:t xml:space="preserve">CAST (Centre for Applied Special Technology). (2022). </w:t>
      </w:r>
      <w:r w:rsidRPr="001B5A8F">
        <w:rPr>
          <w:i/>
          <w:iCs/>
        </w:rPr>
        <w:t>About Universal Design for Learning.</w:t>
      </w:r>
      <w:r w:rsidRPr="001B5A8F">
        <w:t xml:space="preserve"> </w:t>
      </w:r>
      <w:hyperlink r:id="rId44" w:tgtFrame="_blank" w:history="1">
        <w:r w:rsidRPr="001B5A8F">
          <w:rPr>
            <w:color w:val="0563C1"/>
            <w:u w:val="single"/>
          </w:rPr>
          <w:t>https://www.cast.org</w:t>
        </w:r>
      </w:hyperlink>
      <w:r w:rsidRPr="001B5A8F">
        <w:rPr>
          <w:color w:val="3A3A3A"/>
          <w:lang w:val="en-AU"/>
        </w:rPr>
        <w:t> </w:t>
      </w:r>
    </w:p>
    <w:p w14:paraId="670AA886" w14:textId="77777777" w:rsidR="00B41A89" w:rsidRPr="001B5A8F" w:rsidRDefault="00B41A89" w:rsidP="00B41A89">
      <w:pPr>
        <w:pStyle w:val="references"/>
      </w:pPr>
      <w:r w:rsidRPr="001B5A8F">
        <w:rPr>
          <w:rStyle w:val="cf01"/>
          <w:rFonts w:ascii="Arial" w:hAnsi="Arial" w:cs="Arial"/>
          <w:sz w:val="24"/>
          <w:szCs w:val="24"/>
        </w:rPr>
        <w:t>Collins, A., Azmat, F., Rentschler, R.</w:t>
      </w:r>
      <w:r w:rsidRPr="001B5A8F">
        <w:rPr>
          <w:rStyle w:val="cf21"/>
          <w:rFonts w:ascii="Arial" w:eastAsiaTheme="majorEastAsia" w:hAnsi="Arial" w:cs="Arial"/>
          <w:sz w:val="24"/>
          <w:szCs w:val="24"/>
        </w:rPr>
        <w:t xml:space="preserve"> </w:t>
      </w:r>
      <w:r w:rsidRPr="001B5A8F">
        <w:rPr>
          <w:rStyle w:val="cf01"/>
          <w:rFonts w:ascii="Arial" w:hAnsi="Arial" w:cs="Arial"/>
          <w:sz w:val="24"/>
          <w:szCs w:val="24"/>
        </w:rPr>
        <w:t>(2019)</w:t>
      </w:r>
      <w:r w:rsidRPr="001B5A8F">
        <w:rPr>
          <w:rStyle w:val="cf21"/>
          <w:rFonts w:ascii="Arial" w:eastAsiaTheme="majorEastAsia" w:hAnsi="Arial" w:cs="Arial"/>
          <w:sz w:val="24"/>
          <w:szCs w:val="24"/>
        </w:rPr>
        <w:t xml:space="preserve"> </w:t>
      </w:r>
      <w:r w:rsidRPr="001B5A8F">
        <w:rPr>
          <w:rStyle w:val="cf01"/>
          <w:rFonts w:ascii="Arial" w:hAnsi="Arial" w:cs="Arial"/>
          <w:sz w:val="24"/>
          <w:szCs w:val="24"/>
        </w:rPr>
        <w:t>Bringing everyone on the same journey: revisiting inclusion in higher education.</w:t>
      </w:r>
      <w:r w:rsidRPr="001B5A8F">
        <w:rPr>
          <w:rStyle w:val="cf21"/>
          <w:rFonts w:ascii="Arial" w:eastAsiaTheme="majorEastAsia" w:hAnsi="Arial" w:cs="Arial"/>
          <w:sz w:val="24"/>
          <w:szCs w:val="24"/>
        </w:rPr>
        <w:t xml:space="preserve"> Studies in Higher Education,</w:t>
      </w:r>
      <w:r w:rsidRPr="001B5A8F">
        <w:rPr>
          <w:rStyle w:val="cf01"/>
          <w:rFonts w:ascii="Arial" w:hAnsi="Arial" w:cs="Arial"/>
          <w:sz w:val="24"/>
          <w:szCs w:val="24"/>
        </w:rPr>
        <w:t xml:space="preserve"> Vol. 44 Issue 8, p1475-1487, 13p, 2 Charts; DOI: 10.1080/03075079.2018.1450852</w:t>
      </w:r>
    </w:p>
    <w:p w14:paraId="1EEFF82B" w14:textId="77777777" w:rsidR="00B41A89" w:rsidRPr="001B5A8F" w:rsidRDefault="00B41A89" w:rsidP="00B41A89">
      <w:pPr>
        <w:pStyle w:val="references"/>
        <w:rPr>
          <w:lang w:val="en-AU"/>
        </w:rPr>
      </w:pPr>
      <w:r w:rsidRPr="001B5A8F">
        <w:t xml:space="preserve">Department of Education (DE). (2020). 2020 Section 11 Equity groups. In </w:t>
      </w:r>
      <w:r w:rsidRPr="001B5A8F">
        <w:rPr>
          <w:i/>
          <w:iCs/>
        </w:rPr>
        <w:t>Higher Education Statistics Student Data 2020</w:t>
      </w:r>
      <w:r w:rsidRPr="001B5A8F">
        <w:t xml:space="preserve">. </w:t>
      </w:r>
      <w:hyperlink r:id="rId45" w:tgtFrame="_blank" w:history="1">
        <w:r w:rsidRPr="001B5A8F">
          <w:rPr>
            <w:color w:val="0563C1"/>
            <w:u w:val="single"/>
          </w:rPr>
          <w:t>https://www.dese.gov.au/higher-education-statistics/resources/2020-section-11-equity-groups</w:t>
        </w:r>
      </w:hyperlink>
      <w:r w:rsidRPr="001B5A8F">
        <w:rPr>
          <w:lang w:val="en-AU"/>
        </w:rPr>
        <w:t> </w:t>
      </w:r>
    </w:p>
    <w:p w14:paraId="1EC5ADA9" w14:textId="1990B49E" w:rsidR="00412676" w:rsidRPr="001B5A8F" w:rsidRDefault="00E61533" w:rsidP="00412676">
      <w:pPr>
        <w:pStyle w:val="references"/>
        <w:rPr>
          <w:color w:val="000000"/>
          <w:lang w:val="en-AU"/>
        </w:rPr>
      </w:pPr>
      <w:r w:rsidRPr="001B5A8F">
        <w:rPr>
          <w:rStyle w:val="cf01"/>
          <w:rFonts w:ascii="Arial" w:hAnsi="Arial" w:cs="Arial"/>
          <w:sz w:val="24"/>
          <w:szCs w:val="24"/>
        </w:rPr>
        <w:t xml:space="preserve">Eckstein, </w:t>
      </w:r>
      <w:r w:rsidR="00493F36" w:rsidRPr="001B5A8F">
        <w:rPr>
          <w:rStyle w:val="cf01"/>
          <w:rFonts w:ascii="Arial" w:hAnsi="Arial" w:cs="Arial"/>
          <w:sz w:val="24"/>
          <w:szCs w:val="24"/>
        </w:rPr>
        <w:t xml:space="preserve">D. (2022). </w:t>
      </w:r>
      <w:r w:rsidR="00493F36" w:rsidRPr="001B5A8F">
        <w:rPr>
          <w:rStyle w:val="cf01"/>
          <w:rFonts w:ascii="Arial" w:hAnsi="Arial" w:cs="Arial"/>
          <w:i/>
          <w:iCs/>
          <w:sz w:val="24"/>
          <w:szCs w:val="24"/>
        </w:rPr>
        <w:t xml:space="preserve">Meaningful jobs for students with disability: From luck to business as usual. </w:t>
      </w:r>
      <w:r w:rsidR="00412676" w:rsidRPr="001B5A8F">
        <w:rPr>
          <w:color w:val="000000"/>
          <w:shd w:val="clear" w:color="auto" w:fill="FFFFFF"/>
        </w:rPr>
        <w:t>Research Fellowship Report. National Centre for Student Equity in Higher Education, Curtin University. </w:t>
      </w:r>
      <w:r w:rsidR="00412676" w:rsidRPr="001B5A8F">
        <w:rPr>
          <w:color w:val="000000"/>
          <w:lang w:val="en-AU"/>
        </w:rPr>
        <w:t> </w:t>
      </w:r>
    </w:p>
    <w:p w14:paraId="77105B24" w14:textId="4B2083FC" w:rsidR="00B41A89" w:rsidRPr="001B5A8F" w:rsidRDefault="00B41A89" w:rsidP="00B41A89">
      <w:pPr>
        <w:pStyle w:val="references"/>
        <w:rPr>
          <w:rStyle w:val="Hyperlink"/>
        </w:rPr>
      </w:pPr>
      <w:r w:rsidRPr="001B5A8F">
        <w:rPr>
          <w:rStyle w:val="cf01"/>
          <w:rFonts w:ascii="Arial" w:hAnsi="Arial" w:cs="Arial"/>
          <w:sz w:val="24"/>
          <w:szCs w:val="24"/>
        </w:rPr>
        <w:t xml:space="preserve">National Skills Commission. (2022). </w:t>
      </w:r>
      <w:r w:rsidRPr="001B5A8F">
        <w:t xml:space="preserve">Projecting employment to 2026. </w:t>
      </w:r>
      <w:hyperlink r:id="rId46" w:history="1">
        <w:r w:rsidRPr="001B5A8F">
          <w:rPr>
            <w:rStyle w:val="Hyperlink"/>
          </w:rPr>
          <w:t>https://www.nationalskillscommission.gov.au/insights/projecting-employment-2026</w:t>
        </w:r>
      </w:hyperlink>
      <w:r w:rsidRPr="001B5A8F">
        <w:rPr>
          <w:rStyle w:val="Hyperlink"/>
        </w:rPr>
        <w:t xml:space="preserve"> </w:t>
      </w:r>
    </w:p>
    <w:p w14:paraId="498565E5" w14:textId="591E4FF3" w:rsidR="00B41A89" w:rsidRPr="001B5A8F" w:rsidRDefault="00B41A89" w:rsidP="00B41A89">
      <w:pPr>
        <w:pStyle w:val="references"/>
        <w:rPr>
          <w:color w:val="000000"/>
          <w:lang w:val="en-AU"/>
        </w:rPr>
      </w:pPr>
      <w:r w:rsidRPr="001B5A8F">
        <w:rPr>
          <w:color w:val="000000"/>
          <w:shd w:val="clear" w:color="auto" w:fill="FFFFFF"/>
        </w:rPr>
        <w:t xml:space="preserve">Pitman, T. (2022). </w:t>
      </w:r>
      <w:r w:rsidRPr="001B5A8F">
        <w:rPr>
          <w:i/>
          <w:iCs/>
          <w:color w:val="000000"/>
          <w:shd w:val="clear" w:color="auto" w:fill="FFFFFF"/>
        </w:rPr>
        <w:t>Supporting persons with disabilities to succeed in higher education: Final report</w:t>
      </w:r>
      <w:r w:rsidRPr="001B5A8F">
        <w:rPr>
          <w:color w:val="000000"/>
          <w:shd w:val="clear" w:color="auto" w:fill="FFFFFF"/>
        </w:rPr>
        <w:t xml:space="preserve">. Research Fellowship </w:t>
      </w:r>
      <w:r w:rsidR="00412676" w:rsidRPr="001B5A8F">
        <w:rPr>
          <w:color w:val="000000"/>
          <w:shd w:val="clear" w:color="auto" w:fill="FFFFFF"/>
        </w:rPr>
        <w:t>R</w:t>
      </w:r>
      <w:r w:rsidRPr="001B5A8F">
        <w:rPr>
          <w:color w:val="000000"/>
          <w:shd w:val="clear" w:color="auto" w:fill="FFFFFF"/>
        </w:rPr>
        <w:t>eport. National Centre for Student Equity in Higher Education, Curtin University. </w:t>
      </w:r>
      <w:r w:rsidRPr="001B5A8F">
        <w:rPr>
          <w:color w:val="000000"/>
          <w:lang w:val="en-AU"/>
        </w:rPr>
        <w:t> </w:t>
      </w:r>
    </w:p>
    <w:p w14:paraId="43912C47" w14:textId="7E0389E6" w:rsidR="00365956" w:rsidRPr="001B5A8F" w:rsidRDefault="00365956" w:rsidP="00365956">
      <w:pPr>
        <w:pStyle w:val="references"/>
      </w:pPr>
      <w:r w:rsidRPr="001B5A8F">
        <w:t>Pitman, T, Ellis, K., Brett, M., Knight, E., &amp; McLennan, D. (2022). Calculating the costs of supporting people with disability in Australian higher education. Perth: National Centre for Student Equity in Higher Education, Curtin University.</w:t>
      </w:r>
    </w:p>
    <w:p w14:paraId="1DA2D8BC" w14:textId="3B53AC0F" w:rsidR="00A675C2" w:rsidRPr="001B5A8F" w:rsidRDefault="00B41A89" w:rsidP="00B41A89">
      <w:pPr>
        <w:pStyle w:val="references"/>
        <w:rPr>
          <w:lang w:val="en-AU"/>
        </w:rPr>
      </w:pPr>
      <w:r w:rsidRPr="001B5A8F">
        <w:t xml:space="preserve">Quality Indicators in Learning and Teaching (QILT). (2021). </w:t>
      </w:r>
      <w:r w:rsidRPr="001B5A8F">
        <w:rPr>
          <w:i/>
          <w:iCs/>
        </w:rPr>
        <w:t>Graduate Outcomes Survey 2021.</w:t>
      </w:r>
      <w:r w:rsidRPr="001B5A8F">
        <w:t xml:space="preserve"> </w:t>
      </w:r>
      <w:hyperlink r:id="rId47" w:tgtFrame="_blank" w:history="1">
        <w:r w:rsidRPr="001B5A8F">
          <w:rPr>
            <w:color w:val="0563C1"/>
            <w:u w:val="single"/>
          </w:rPr>
          <w:t>https://www.qilt.edu.au/surveys/graduate-outcomes-survey-(gos)</w:t>
        </w:r>
      </w:hyperlink>
      <w:r w:rsidRPr="001B5A8F">
        <w:rPr>
          <w:lang w:val="en-AU"/>
        </w:rPr>
        <w:t> </w:t>
      </w:r>
    </w:p>
    <w:p w14:paraId="13FC97D7" w14:textId="77777777" w:rsidR="00A675C2" w:rsidRPr="001B5A8F" w:rsidRDefault="00A675C2">
      <w:pPr>
        <w:rPr>
          <w:rFonts w:eastAsia="Times New Roman" w:cs="Arial"/>
          <w:lang w:val="en-AU" w:eastAsia="en-AU"/>
        </w:rPr>
      </w:pPr>
      <w:r w:rsidRPr="001B5A8F">
        <w:rPr>
          <w:lang w:val="en-AU"/>
        </w:rPr>
        <w:br w:type="page"/>
      </w:r>
    </w:p>
    <w:p w14:paraId="4DC90E52" w14:textId="77777777" w:rsidR="009E2B83" w:rsidRPr="001B5A8F" w:rsidRDefault="009E2B83" w:rsidP="009E2B83">
      <w:pPr>
        <w:pStyle w:val="Title"/>
      </w:pPr>
    </w:p>
    <w:p w14:paraId="0C890A7D" w14:textId="4E285850" w:rsidR="009E2B83" w:rsidRDefault="00DC729E" w:rsidP="00DC729E">
      <w:pPr>
        <w:pStyle w:val="Heading1"/>
        <w:rPr>
          <w:rStyle w:val="normaltextrun"/>
          <w:rFonts w:cs="Arial"/>
        </w:rPr>
      </w:pPr>
      <w:bookmarkStart w:id="60" w:name="_Appendix_1"/>
      <w:bookmarkStart w:id="61" w:name="_Appendix_1:_Expanding"/>
      <w:bookmarkStart w:id="62" w:name="_Toc132100493"/>
      <w:bookmarkStart w:id="63" w:name="_Toc132125074"/>
      <w:bookmarkStart w:id="64" w:name="_Toc132139897"/>
      <w:bookmarkStart w:id="65" w:name="_Toc132139957"/>
      <w:bookmarkEnd w:id="60"/>
      <w:bookmarkEnd w:id="61"/>
      <w:r w:rsidRPr="001B5A8F">
        <w:t>Appendix 1</w:t>
      </w:r>
      <w:bookmarkEnd w:id="62"/>
      <w:r>
        <w:t xml:space="preserve">: </w:t>
      </w:r>
      <w:r w:rsidRPr="001B5A8F">
        <w:t>Expan</w:t>
      </w:r>
      <w:r w:rsidR="001D7ED1">
        <w:t>ding</w:t>
      </w:r>
      <w:r w:rsidRPr="001B5A8F">
        <w:t xml:space="preserve"> </w:t>
      </w:r>
      <w:r w:rsidRPr="00DC729E">
        <w:t>ADCET</w:t>
      </w:r>
      <w:r w:rsidRPr="001B5A8F">
        <w:t xml:space="preserve">: </w:t>
      </w:r>
      <w:r>
        <w:rPr>
          <w:rStyle w:val="normaltextrun"/>
          <w:rFonts w:cs="Arial"/>
        </w:rPr>
        <w:t>a</w:t>
      </w:r>
      <w:r w:rsidRPr="001B5A8F">
        <w:rPr>
          <w:rStyle w:val="normaltextrun"/>
          <w:rFonts w:cs="Arial"/>
        </w:rPr>
        <w:t xml:space="preserve"> Bold Idea </w:t>
      </w:r>
      <w:r>
        <w:rPr>
          <w:rStyle w:val="normaltextrun"/>
          <w:rFonts w:cs="Arial"/>
        </w:rPr>
        <w:t>f</w:t>
      </w:r>
      <w:r w:rsidRPr="001B5A8F">
        <w:rPr>
          <w:rStyle w:val="normaltextrun"/>
          <w:rFonts w:cs="Arial"/>
        </w:rPr>
        <w:t xml:space="preserve">or Student Equity </w:t>
      </w:r>
      <w:r>
        <w:rPr>
          <w:rStyle w:val="normaltextrun"/>
          <w:rFonts w:cs="Arial"/>
        </w:rPr>
        <w:t>i</w:t>
      </w:r>
      <w:r w:rsidRPr="001B5A8F">
        <w:rPr>
          <w:rStyle w:val="normaltextrun"/>
          <w:rFonts w:cs="Arial"/>
        </w:rPr>
        <w:t>n Higher Education</w:t>
      </w:r>
      <w:bookmarkEnd w:id="63"/>
      <w:bookmarkEnd w:id="64"/>
      <w:bookmarkEnd w:id="65"/>
    </w:p>
    <w:p w14:paraId="03D66C93" w14:textId="77777777" w:rsidR="00DC729E" w:rsidRPr="001B5A8F" w:rsidRDefault="00DC729E" w:rsidP="00DC729E">
      <w:pPr>
        <w:pStyle w:val="Heading1"/>
      </w:pPr>
    </w:p>
    <w:p w14:paraId="00642186" w14:textId="77777777" w:rsidR="009E2B83" w:rsidRPr="001B5A8F" w:rsidRDefault="009E2B83" w:rsidP="009E2B83">
      <w:pPr>
        <w:rPr>
          <w:color w:val="C00000"/>
        </w:rPr>
      </w:pPr>
    </w:p>
    <w:p w14:paraId="1C66C96E" w14:textId="77777777" w:rsidR="009E2B83" w:rsidRPr="001B5A8F" w:rsidRDefault="009E2B83" w:rsidP="009E2B83">
      <w:r w:rsidRPr="001B5A8F">
        <w:t>Prepared by ADCET</w:t>
      </w:r>
    </w:p>
    <w:p w14:paraId="2E4A39D6" w14:textId="77777777" w:rsidR="009E2B83" w:rsidRPr="001B5A8F" w:rsidRDefault="009E2B83" w:rsidP="009E2B83">
      <w:r w:rsidRPr="001B5A8F">
        <w:t>April 2023</w:t>
      </w:r>
    </w:p>
    <w:p w14:paraId="7099836E" w14:textId="77777777" w:rsidR="009E2B83" w:rsidRPr="001B5A8F" w:rsidRDefault="009E2B83" w:rsidP="009E2B83"/>
    <w:p w14:paraId="4C54181C" w14:textId="77777777" w:rsidR="009E2B83" w:rsidRPr="001B5A8F" w:rsidRDefault="009E2B83" w:rsidP="009E2B83"/>
    <w:p w14:paraId="512DBB78" w14:textId="77777777" w:rsidR="009E2B83" w:rsidRPr="001B5A8F" w:rsidRDefault="009E2B83" w:rsidP="009E2B83"/>
    <w:p w14:paraId="627DC781" w14:textId="77777777" w:rsidR="009E2B83" w:rsidRPr="001B5A8F" w:rsidRDefault="009E2B83" w:rsidP="009E2B83">
      <w:pPr>
        <w:rPr>
          <w:rFonts w:asciiTheme="majorHAnsi" w:eastAsiaTheme="majorEastAsia" w:hAnsiTheme="majorHAnsi" w:cstheme="majorBidi"/>
          <w:b/>
          <w:caps/>
          <w:color w:val="C00000"/>
          <w:sz w:val="32"/>
          <w:szCs w:val="32"/>
        </w:rPr>
      </w:pPr>
      <w:r w:rsidRPr="001B5A8F">
        <w:br w:type="page"/>
      </w:r>
    </w:p>
    <w:sdt>
      <w:sdtPr>
        <w:rPr>
          <w:rFonts w:asciiTheme="minorHAnsi" w:eastAsiaTheme="minorEastAsia" w:hAnsiTheme="minorHAnsi" w:cstheme="minorBidi"/>
          <w:color w:val="auto"/>
          <w:sz w:val="22"/>
          <w:szCs w:val="22"/>
          <w:lang w:eastAsia="zh-CN"/>
        </w:rPr>
        <w:id w:val="561221193"/>
        <w:docPartObj>
          <w:docPartGallery w:val="Table of Contents"/>
          <w:docPartUnique/>
        </w:docPartObj>
      </w:sdtPr>
      <w:sdtEndPr>
        <w:rPr>
          <w:rFonts w:ascii="Arial" w:hAnsi="Arial" w:cs="Times New Roman"/>
          <w:b/>
          <w:bCs/>
          <w:noProof/>
          <w:sz w:val="24"/>
          <w:szCs w:val="24"/>
          <w:lang w:eastAsia="en-US"/>
        </w:rPr>
      </w:sdtEndPr>
      <w:sdtContent>
        <w:p w14:paraId="0E5B82B2" w14:textId="77777777" w:rsidR="009E2B83" w:rsidRPr="001B5A8F" w:rsidRDefault="009E2B83" w:rsidP="009E2B83">
          <w:pPr>
            <w:pStyle w:val="TOCHeading"/>
          </w:pPr>
          <w:r w:rsidRPr="001B5A8F">
            <w:t>Contents</w:t>
          </w:r>
        </w:p>
        <w:p w14:paraId="1FDB9914" w14:textId="2AAA1BA6" w:rsidR="00D24C9B" w:rsidRDefault="009E2B83" w:rsidP="00D24C9B">
          <w:pPr>
            <w:pStyle w:val="TOC1"/>
            <w:rPr>
              <w:rFonts w:asciiTheme="minorHAnsi" w:hAnsiTheme="minorHAnsi" w:cstheme="minorBidi"/>
              <w:noProof/>
              <w:sz w:val="22"/>
              <w:szCs w:val="22"/>
              <w:lang w:val="en-AU" w:eastAsia="en-AU"/>
            </w:rPr>
          </w:pPr>
          <w:r w:rsidRPr="001B5A8F">
            <w:fldChar w:fldCharType="begin"/>
          </w:r>
          <w:r w:rsidRPr="001B5A8F">
            <w:instrText xml:space="preserve"> TOC \o "1-2" \h \z \u </w:instrText>
          </w:r>
          <w:r w:rsidRPr="001B5A8F">
            <w:fldChar w:fldCharType="separate"/>
          </w:r>
        </w:p>
        <w:p w14:paraId="468C650A" w14:textId="56FD437C" w:rsidR="00D24C9B" w:rsidRDefault="00000000">
          <w:pPr>
            <w:pStyle w:val="TOC1"/>
            <w:rPr>
              <w:rFonts w:asciiTheme="minorHAnsi" w:hAnsiTheme="minorHAnsi" w:cstheme="minorBidi"/>
              <w:noProof/>
              <w:sz w:val="22"/>
              <w:szCs w:val="22"/>
              <w:lang w:val="en-AU" w:eastAsia="en-AU"/>
            </w:rPr>
          </w:pPr>
          <w:hyperlink w:anchor="_Toc132139958" w:history="1">
            <w:r w:rsidR="00D24C9B" w:rsidRPr="00C43B52">
              <w:rPr>
                <w:rStyle w:val="Hyperlink"/>
                <w:noProof/>
              </w:rPr>
              <w:t>Introduction</w:t>
            </w:r>
            <w:r w:rsidR="00D24C9B">
              <w:rPr>
                <w:noProof/>
                <w:webHidden/>
              </w:rPr>
              <w:tab/>
            </w:r>
            <w:r w:rsidR="00D24C9B">
              <w:rPr>
                <w:noProof/>
                <w:webHidden/>
              </w:rPr>
              <w:fldChar w:fldCharType="begin"/>
            </w:r>
            <w:r w:rsidR="00D24C9B">
              <w:rPr>
                <w:noProof/>
                <w:webHidden/>
              </w:rPr>
              <w:instrText xml:space="preserve"> PAGEREF _Toc132139958 \h </w:instrText>
            </w:r>
            <w:r w:rsidR="00D24C9B">
              <w:rPr>
                <w:noProof/>
                <w:webHidden/>
              </w:rPr>
            </w:r>
            <w:r w:rsidR="00D24C9B">
              <w:rPr>
                <w:noProof/>
                <w:webHidden/>
              </w:rPr>
              <w:fldChar w:fldCharType="separate"/>
            </w:r>
            <w:r w:rsidR="00D24C9B">
              <w:rPr>
                <w:noProof/>
                <w:webHidden/>
              </w:rPr>
              <w:t>24</w:t>
            </w:r>
            <w:r w:rsidR="00D24C9B">
              <w:rPr>
                <w:noProof/>
                <w:webHidden/>
              </w:rPr>
              <w:fldChar w:fldCharType="end"/>
            </w:r>
          </w:hyperlink>
        </w:p>
        <w:p w14:paraId="130D0322" w14:textId="3D21B64B" w:rsidR="00D24C9B" w:rsidRDefault="00000000">
          <w:pPr>
            <w:pStyle w:val="TOC1"/>
            <w:rPr>
              <w:rFonts w:asciiTheme="minorHAnsi" w:hAnsiTheme="minorHAnsi" w:cstheme="minorBidi"/>
              <w:noProof/>
              <w:sz w:val="22"/>
              <w:szCs w:val="22"/>
              <w:lang w:val="en-AU" w:eastAsia="en-AU"/>
            </w:rPr>
          </w:pPr>
          <w:hyperlink w:anchor="_Toc132139959" w:history="1">
            <w:r w:rsidR="00D24C9B" w:rsidRPr="00C43B52">
              <w:rPr>
                <w:rStyle w:val="Hyperlink"/>
                <w:noProof/>
              </w:rPr>
              <w:t>Rationale</w:t>
            </w:r>
            <w:r w:rsidR="00D24C9B">
              <w:rPr>
                <w:noProof/>
                <w:webHidden/>
              </w:rPr>
              <w:tab/>
            </w:r>
            <w:r w:rsidR="00D24C9B">
              <w:rPr>
                <w:noProof/>
                <w:webHidden/>
              </w:rPr>
              <w:fldChar w:fldCharType="begin"/>
            </w:r>
            <w:r w:rsidR="00D24C9B">
              <w:rPr>
                <w:noProof/>
                <w:webHidden/>
              </w:rPr>
              <w:instrText xml:space="preserve"> PAGEREF _Toc132139959 \h </w:instrText>
            </w:r>
            <w:r w:rsidR="00D24C9B">
              <w:rPr>
                <w:noProof/>
                <w:webHidden/>
              </w:rPr>
            </w:r>
            <w:r w:rsidR="00D24C9B">
              <w:rPr>
                <w:noProof/>
                <w:webHidden/>
              </w:rPr>
              <w:fldChar w:fldCharType="separate"/>
            </w:r>
            <w:r w:rsidR="00D24C9B">
              <w:rPr>
                <w:noProof/>
                <w:webHidden/>
              </w:rPr>
              <w:t>25</w:t>
            </w:r>
            <w:r w:rsidR="00D24C9B">
              <w:rPr>
                <w:noProof/>
                <w:webHidden/>
              </w:rPr>
              <w:fldChar w:fldCharType="end"/>
            </w:r>
          </w:hyperlink>
        </w:p>
        <w:p w14:paraId="753DE24D" w14:textId="15ED5C0B" w:rsidR="00D24C9B" w:rsidRDefault="00000000" w:rsidP="00D24C9B">
          <w:pPr>
            <w:pStyle w:val="TOC2"/>
            <w:rPr>
              <w:rFonts w:asciiTheme="minorHAnsi" w:hAnsiTheme="minorHAnsi" w:cstheme="minorBidi"/>
              <w:sz w:val="22"/>
              <w:szCs w:val="22"/>
              <w:lang w:val="en-AU" w:eastAsia="en-AU"/>
            </w:rPr>
          </w:pPr>
          <w:hyperlink w:anchor="_Toc132139960" w:history="1">
            <w:r w:rsidR="00D24C9B" w:rsidRPr="00C43B52">
              <w:rPr>
                <w:rStyle w:val="Hyperlink"/>
              </w:rPr>
              <w:t>Alignment with national strategic priorities and legislative framework</w:t>
            </w:r>
            <w:r w:rsidR="00D24C9B">
              <w:rPr>
                <w:webHidden/>
              </w:rPr>
              <w:tab/>
            </w:r>
            <w:r w:rsidR="00D24C9B">
              <w:rPr>
                <w:webHidden/>
              </w:rPr>
              <w:fldChar w:fldCharType="begin"/>
            </w:r>
            <w:r w:rsidR="00D24C9B">
              <w:rPr>
                <w:webHidden/>
              </w:rPr>
              <w:instrText xml:space="preserve"> PAGEREF _Toc132139960 \h </w:instrText>
            </w:r>
            <w:r w:rsidR="00D24C9B">
              <w:rPr>
                <w:webHidden/>
              </w:rPr>
            </w:r>
            <w:r w:rsidR="00D24C9B">
              <w:rPr>
                <w:webHidden/>
              </w:rPr>
              <w:fldChar w:fldCharType="separate"/>
            </w:r>
            <w:r w:rsidR="00D24C9B">
              <w:rPr>
                <w:webHidden/>
              </w:rPr>
              <w:t>25</w:t>
            </w:r>
            <w:r w:rsidR="00D24C9B">
              <w:rPr>
                <w:webHidden/>
              </w:rPr>
              <w:fldChar w:fldCharType="end"/>
            </w:r>
          </w:hyperlink>
        </w:p>
        <w:p w14:paraId="621F9197" w14:textId="36B33F4B" w:rsidR="00D24C9B" w:rsidRDefault="00000000" w:rsidP="00D24C9B">
          <w:pPr>
            <w:pStyle w:val="TOC2"/>
            <w:rPr>
              <w:rFonts w:asciiTheme="minorHAnsi" w:hAnsiTheme="minorHAnsi" w:cstheme="minorBidi"/>
              <w:sz w:val="22"/>
              <w:szCs w:val="22"/>
              <w:lang w:val="en-AU" w:eastAsia="en-AU"/>
            </w:rPr>
          </w:pPr>
          <w:hyperlink w:anchor="_Toc132139961" w:history="1">
            <w:r w:rsidR="00D24C9B" w:rsidRPr="00C43B52">
              <w:rPr>
                <w:rStyle w:val="Hyperlink"/>
              </w:rPr>
              <w:t>Fostering economic benefits</w:t>
            </w:r>
            <w:r w:rsidR="00D24C9B">
              <w:rPr>
                <w:webHidden/>
              </w:rPr>
              <w:tab/>
            </w:r>
            <w:r w:rsidR="00D24C9B">
              <w:rPr>
                <w:webHidden/>
              </w:rPr>
              <w:fldChar w:fldCharType="begin"/>
            </w:r>
            <w:r w:rsidR="00D24C9B">
              <w:rPr>
                <w:webHidden/>
              </w:rPr>
              <w:instrText xml:space="preserve"> PAGEREF _Toc132139961 \h </w:instrText>
            </w:r>
            <w:r w:rsidR="00D24C9B">
              <w:rPr>
                <w:webHidden/>
              </w:rPr>
            </w:r>
            <w:r w:rsidR="00D24C9B">
              <w:rPr>
                <w:webHidden/>
              </w:rPr>
              <w:fldChar w:fldCharType="separate"/>
            </w:r>
            <w:r w:rsidR="00D24C9B">
              <w:rPr>
                <w:webHidden/>
              </w:rPr>
              <w:t>25</w:t>
            </w:r>
            <w:r w:rsidR="00D24C9B">
              <w:rPr>
                <w:webHidden/>
              </w:rPr>
              <w:fldChar w:fldCharType="end"/>
            </w:r>
          </w:hyperlink>
        </w:p>
        <w:p w14:paraId="7021442A" w14:textId="5B6E101E" w:rsidR="00D24C9B" w:rsidRDefault="00000000" w:rsidP="00D24C9B">
          <w:pPr>
            <w:pStyle w:val="TOC2"/>
            <w:rPr>
              <w:rFonts w:asciiTheme="minorHAnsi" w:hAnsiTheme="minorHAnsi" w:cstheme="minorBidi"/>
              <w:sz w:val="22"/>
              <w:szCs w:val="22"/>
              <w:lang w:val="en-AU" w:eastAsia="en-AU"/>
            </w:rPr>
          </w:pPr>
          <w:hyperlink w:anchor="_Toc132139962" w:history="1">
            <w:r w:rsidR="00D24C9B" w:rsidRPr="00C43B52">
              <w:rPr>
                <w:rStyle w:val="Hyperlink"/>
              </w:rPr>
              <w:t>Improving workforce capability</w:t>
            </w:r>
            <w:r w:rsidR="00D24C9B">
              <w:rPr>
                <w:webHidden/>
              </w:rPr>
              <w:tab/>
            </w:r>
            <w:r w:rsidR="00D24C9B">
              <w:rPr>
                <w:webHidden/>
              </w:rPr>
              <w:fldChar w:fldCharType="begin"/>
            </w:r>
            <w:r w:rsidR="00D24C9B">
              <w:rPr>
                <w:webHidden/>
              </w:rPr>
              <w:instrText xml:space="preserve"> PAGEREF _Toc132139962 \h </w:instrText>
            </w:r>
            <w:r w:rsidR="00D24C9B">
              <w:rPr>
                <w:webHidden/>
              </w:rPr>
            </w:r>
            <w:r w:rsidR="00D24C9B">
              <w:rPr>
                <w:webHidden/>
              </w:rPr>
              <w:fldChar w:fldCharType="separate"/>
            </w:r>
            <w:r w:rsidR="00D24C9B">
              <w:rPr>
                <w:webHidden/>
              </w:rPr>
              <w:t>25</w:t>
            </w:r>
            <w:r w:rsidR="00D24C9B">
              <w:rPr>
                <w:webHidden/>
              </w:rPr>
              <w:fldChar w:fldCharType="end"/>
            </w:r>
          </w:hyperlink>
        </w:p>
        <w:p w14:paraId="4740F831" w14:textId="14D6A728" w:rsidR="00D24C9B" w:rsidRDefault="00000000" w:rsidP="00D24C9B">
          <w:pPr>
            <w:pStyle w:val="TOC2"/>
            <w:rPr>
              <w:rFonts w:asciiTheme="minorHAnsi" w:hAnsiTheme="minorHAnsi" w:cstheme="minorBidi"/>
              <w:sz w:val="22"/>
              <w:szCs w:val="22"/>
              <w:lang w:val="en-AU" w:eastAsia="en-AU"/>
            </w:rPr>
          </w:pPr>
          <w:hyperlink w:anchor="_Toc132139963" w:history="1">
            <w:r w:rsidR="00D24C9B" w:rsidRPr="00C43B52">
              <w:rPr>
                <w:rStyle w:val="Hyperlink"/>
              </w:rPr>
              <w:t>Tackling emerging issues</w:t>
            </w:r>
            <w:r w:rsidR="00D24C9B">
              <w:rPr>
                <w:webHidden/>
              </w:rPr>
              <w:tab/>
            </w:r>
            <w:r w:rsidR="00D24C9B">
              <w:rPr>
                <w:webHidden/>
              </w:rPr>
              <w:fldChar w:fldCharType="begin"/>
            </w:r>
            <w:r w:rsidR="00D24C9B">
              <w:rPr>
                <w:webHidden/>
              </w:rPr>
              <w:instrText xml:space="preserve"> PAGEREF _Toc132139963 \h </w:instrText>
            </w:r>
            <w:r w:rsidR="00D24C9B">
              <w:rPr>
                <w:webHidden/>
              </w:rPr>
            </w:r>
            <w:r w:rsidR="00D24C9B">
              <w:rPr>
                <w:webHidden/>
              </w:rPr>
              <w:fldChar w:fldCharType="separate"/>
            </w:r>
            <w:r w:rsidR="00D24C9B">
              <w:rPr>
                <w:webHidden/>
              </w:rPr>
              <w:t>26</w:t>
            </w:r>
            <w:r w:rsidR="00D24C9B">
              <w:rPr>
                <w:webHidden/>
              </w:rPr>
              <w:fldChar w:fldCharType="end"/>
            </w:r>
          </w:hyperlink>
        </w:p>
        <w:p w14:paraId="227E503C" w14:textId="469584EC" w:rsidR="00D24C9B" w:rsidRPr="00D24C9B" w:rsidRDefault="00000000" w:rsidP="00D24C9B">
          <w:pPr>
            <w:pStyle w:val="TOC2"/>
            <w:rPr>
              <w:rFonts w:asciiTheme="minorHAnsi" w:hAnsiTheme="minorHAnsi" w:cstheme="minorBidi"/>
              <w:sz w:val="22"/>
              <w:szCs w:val="22"/>
              <w:lang w:val="en-AU" w:eastAsia="en-AU"/>
            </w:rPr>
          </w:pPr>
          <w:hyperlink w:anchor="_Toc132139964" w:history="1">
            <w:r w:rsidR="00D24C9B" w:rsidRPr="00D24C9B">
              <w:rPr>
                <w:rStyle w:val="Hyperlink"/>
              </w:rPr>
              <w:t>Other issues</w:t>
            </w:r>
            <w:r w:rsidR="00D24C9B" w:rsidRPr="00D24C9B">
              <w:rPr>
                <w:webHidden/>
              </w:rPr>
              <w:tab/>
            </w:r>
            <w:r w:rsidR="00D24C9B" w:rsidRPr="00D24C9B">
              <w:rPr>
                <w:webHidden/>
              </w:rPr>
              <w:fldChar w:fldCharType="begin"/>
            </w:r>
            <w:r w:rsidR="00D24C9B" w:rsidRPr="00D24C9B">
              <w:rPr>
                <w:webHidden/>
              </w:rPr>
              <w:instrText xml:space="preserve"> PAGEREF _Toc132139964 \h </w:instrText>
            </w:r>
            <w:r w:rsidR="00D24C9B" w:rsidRPr="00D24C9B">
              <w:rPr>
                <w:webHidden/>
              </w:rPr>
            </w:r>
            <w:r w:rsidR="00D24C9B" w:rsidRPr="00D24C9B">
              <w:rPr>
                <w:webHidden/>
              </w:rPr>
              <w:fldChar w:fldCharType="separate"/>
            </w:r>
            <w:r w:rsidR="00D24C9B" w:rsidRPr="00D24C9B">
              <w:rPr>
                <w:webHidden/>
              </w:rPr>
              <w:t>27</w:t>
            </w:r>
            <w:r w:rsidR="00D24C9B" w:rsidRPr="00D24C9B">
              <w:rPr>
                <w:webHidden/>
              </w:rPr>
              <w:fldChar w:fldCharType="end"/>
            </w:r>
          </w:hyperlink>
        </w:p>
        <w:p w14:paraId="62D8DEDE" w14:textId="15370C3A" w:rsidR="00D24C9B" w:rsidRDefault="00000000">
          <w:pPr>
            <w:pStyle w:val="TOC1"/>
            <w:rPr>
              <w:rFonts w:asciiTheme="minorHAnsi" w:hAnsiTheme="minorHAnsi" w:cstheme="minorBidi"/>
              <w:noProof/>
              <w:sz w:val="22"/>
              <w:szCs w:val="22"/>
              <w:lang w:val="en-AU" w:eastAsia="en-AU"/>
            </w:rPr>
          </w:pPr>
          <w:hyperlink w:anchor="_Toc132139965" w:history="1">
            <w:r w:rsidR="00D24C9B" w:rsidRPr="00C43B52">
              <w:rPr>
                <w:rStyle w:val="Hyperlink"/>
                <w:noProof/>
              </w:rPr>
              <w:t>Strategy for an expanded ADCET</w:t>
            </w:r>
            <w:r w:rsidR="00D24C9B">
              <w:rPr>
                <w:noProof/>
                <w:webHidden/>
              </w:rPr>
              <w:tab/>
            </w:r>
            <w:r w:rsidR="00D24C9B">
              <w:rPr>
                <w:noProof/>
                <w:webHidden/>
              </w:rPr>
              <w:fldChar w:fldCharType="begin"/>
            </w:r>
            <w:r w:rsidR="00D24C9B">
              <w:rPr>
                <w:noProof/>
                <w:webHidden/>
              </w:rPr>
              <w:instrText xml:space="preserve"> PAGEREF _Toc132139965 \h </w:instrText>
            </w:r>
            <w:r w:rsidR="00D24C9B">
              <w:rPr>
                <w:noProof/>
                <w:webHidden/>
              </w:rPr>
            </w:r>
            <w:r w:rsidR="00D24C9B">
              <w:rPr>
                <w:noProof/>
                <w:webHidden/>
              </w:rPr>
              <w:fldChar w:fldCharType="separate"/>
            </w:r>
            <w:r w:rsidR="00D24C9B">
              <w:rPr>
                <w:noProof/>
                <w:webHidden/>
              </w:rPr>
              <w:t>28</w:t>
            </w:r>
            <w:r w:rsidR="00D24C9B">
              <w:rPr>
                <w:noProof/>
                <w:webHidden/>
              </w:rPr>
              <w:fldChar w:fldCharType="end"/>
            </w:r>
          </w:hyperlink>
        </w:p>
        <w:p w14:paraId="34EAD905" w14:textId="6A47B9C5" w:rsidR="00D24C9B" w:rsidRDefault="00000000">
          <w:pPr>
            <w:pStyle w:val="TOC1"/>
            <w:rPr>
              <w:rFonts w:asciiTheme="minorHAnsi" w:hAnsiTheme="minorHAnsi" w:cstheme="minorBidi"/>
              <w:noProof/>
              <w:sz w:val="22"/>
              <w:szCs w:val="22"/>
              <w:lang w:val="en-AU" w:eastAsia="en-AU"/>
            </w:rPr>
          </w:pPr>
          <w:hyperlink w:anchor="_Toc132139966" w:history="1">
            <w:r w:rsidR="00D24C9B" w:rsidRPr="00C43B52">
              <w:rPr>
                <w:rStyle w:val="Hyperlink"/>
                <w:noProof/>
              </w:rPr>
              <w:t>Hosting and funding arrangements</w:t>
            </w:r>
            <w:r w:rsidR="00D24C9B">
              <w:rPr>
                <w:noProof/>
                <w:webHidden/>
              </w:rPr>
              <w:tab/>
            </w:r>
            <w:r w:rsidR="00D24C9B">
              <w:rPr>
                <w:noProof/>
                <w:webHidden/>
              </w:rPr>
              <w:fldChar w:fldCharType="begin"/>
            </w:r>
            <w:r w:rsidR="00D24C9B">
              <w:rPr>
                <w:noProof/>
                <w:webHidden/>
              </w:rPr>
              <w:instrText xml:space="preserve"> PAGEREF _Toc132139966 \h </w:instrText>
            </w:r>
            <w:r w:rsidR="00D24C9B">
              <w:rPr>
                <w:noProof/>
                <w:webHidden/>
              </w:rPr>
            </w:r>
            <w:r w:rsidR="00D24C9B">
              <w:rPr>
                <w:noProof/>
                <w:webHidden/>
              </w:rPr>
              <w:fldChar w:fldCharType="separate"/>
            </w:r>
            <w:r w:rsidR="00D24C9B">
              <w:rPr>
                <w:noProof/>
                <w:webHidden/>
              </w:rPr>
              <w:t>31</w:t>
            </w:r>
            <w:r w:rsidR="00D24C9B">
              <w:rPr>
                <w:noProof/>
                <w:webHidden/>
              </w:rPr>
              <w:fldChar w:fldCharType="end"/>
            </w:r>
          </w:hyperlink>
        </w:p>
        <w:p w14:paraId="30945DA6" w14:textId="3FB28336" w:rsidR="00D24C9B" w:rsidRDefault="00000000">
          <w:pPr>
            <w:pStyle w:val="TOC1"/>
            <w:rPr>
              <w:rFonts w:asciiTheme="minorHAnsi" w:hAnsiTheme="minorHAnsi" w:cstheme="minorBidi"/>
              <w:noProof/>
              <w:sz w:val="22"/>
              <w:szCs w:val="22"/>
              <w:lang w:val="en-AU" w:eastAsia="en-AU"/>
            </w:rPr>
          </w:pPr>
          <w:hyperlink w:anchor="_Toc132139967" w:history="1">
            <w:r w:rsidR="00D24C9B" w:rsidRPr="00C43B52">
              <w:rPr>
                <w:rStyle w:val="Hyperlink"/>
                <w:noProof/>
              </w:rPr>
              <w:t>Proposed structure</w:t>
            </w:r>
            <w:r w:rsidR="00D24C9B">
              <w:rPr>
                <w:noProof/>
                <w:webHidden/>
              </w:rPr>
              <w:tab/>
            </w:r>
            <w:r w:rsidR="00D24C9B">
              <w:rPr>
                <w:noProof/>
                <w:webHidden/>
              </w:rPr>
              <w:fldChar w:fldCharType="begin"/>
            </w:r>
            <w:r w:rsidR="00D24C9B">
              <w:rPr>
                <w:noProof/>
                <w:webHidden/>
              </w:rPr>
              <w:instrText xml:space="preserve"> PAGEREF _Toc132139967 \h </w:instrText>
            </w:r>
            <w:r w:rsidR="00D24C9B">
              <w:rPr>
                <w:noProof/>
                <w:webHidden/>
              </w:rPr>
            </w:r>
            <w:r w:rsidR="00D24C9B">
              <w:rPr>
                <w:noProof/>
                <w:webHidden/>
              </w:rPr>
              <w:fldChar w:fldCharType="separate"/>
            </w:r>
            <w:r w:rsidR="00D24C9B">
              <w:rPr>
                <w:noProof/>
                <w:webHidden/>
              </w:rPr>
              <w:t>32</w:t>
            </w:r>
            <w:r w:rsidR="00D24C9B">
              <w:rPr>
                <w:noProof/>
                <w:webHidden/>
              </w:rPr>
              <w:fldChar w:fldCharType="end"/>
            </w:r>
          </w:hyperlink>
        </w:p>
        <w:p w14:paraId="46D9720F" w14:textId="4C8CB00B" w:rsidR="00D24C9B" w:rsidRDefault="00000000">
          <w:pPr>
            <w:pStyle w:val="TOC1"/>
            <w:rPr>
              <w:rFonts w:asciiTheme="minorHAnsi" w:hAnsiTheme="minorHAnsi" w:cstheme="minorBidi"/>
              <w:noProof/>
              <w:sz w:val="22"/>
              <w:szCs w:val="22"/>
              <w:lang w:val="en-AU" w:eastAsia="en-AU"/>
            </w:rPr>
          </w:pPr>
          <w:hyperlink w:anchor="_Toc132139968" w:history="1">
            <w:r w:rsidR="00D24C9B" w:rsidRPr="00C43B52">
              <w:rPr>
                <w:rStyle w:val="Hyperlink"/>
                <w:noProof/>
              </w:rPr>
              <w:t>Governance</w:t>
            </w:r>
            <w:r w:rsidR="00D24C9B">
              <w:rPr>
                <w:noProof/>
                <w:webHidden/>
              </w:rPr>
              <w:tab/>
            </w:r>
            <w:r w:rsidR="00D24C9B">
              <w:rPr>
                <w:noProof/>
                <w:webHidden/>
              </w:rPr>
              <w:fldChar w:fldCharType="begin"/>
            </w:r>
            <w:r w:rsidR="00D24C9B">
              <w:rPr>
                <w:noProof/>
                <w:webHidden/>
              </w:rPr>
              <w:instrText xml:space="preserve"> PAGEREF _Toc132139968 \h </w:instrText>
            </w:r>
            <w:r w:rsidR="00D24C9B">
              <w:rPr>
                <w:noProof/>
                <w:webHidden/>
              </w:rPr>
            </w:r>
            <w:r w:rsidR="00D24C9B">
              <w:rPr>
                <w:noProof/>
                <w:webHidden/>
              </w:rPr>
              <w:fldChar w:fldCharType="separate"/>
            </w:r>
            <w:r w:rsidR="00D24C9B">
              <w:rPr>
                <w:noProof/>
                <w:webHidden/>
              </w:rPr>
              <w:t>35</w:t>
            </w:r>
            <w:r w:rsidR="00D24C9B">
              <w:rPr>
                <w:noProof/>
                <w:webHidden/>
              </w:rPr>
              <w:fldChar w:fldCharType="end"/>
            </w:r>
          </w:hyperlink>
        </w:p>
        <w:p w14:paraId="1EF9919A" w14:textId="43F8E468" w:rsidR="00D24C9B" w:rsidRDefault="00000000">
          <w:pPr>
            <w:pStyle w:val="TOC1"/>
            <w:rPr>
              <w:rFonts w:asciiTheme="minorHAnsi" w:hAnsiTheme="minorHAnsi" w:cstheme="minorBidi"/>
              <w:noProof/>
              <w:sz w:val="22"/>
              <w:szCs w:val="22"/>
              <w:lang w:val="en-AU" w:eastAsia="en-AU"/>
            </w:rPr>
          </w:pPr>
          <w:hyperlink w:anchor="_Toc132139969" w:history="1">
            <w:r w:rsidR="00D24C9B" w:rsidRPr="00C43B52">
              <w:rPr>
                <w:rStyle w:val="Hyperlink"/>
                <w:noProof/>
              </w:rPr>
              <w:t>Evaluation</w:t>
            </w:r>
            <w:r w:rsidR="00D24C9B">
              <w:rPr>
                <w:noProof/>
                <w:webHidden/>
              </w:rPr>
              <w:tab/>
            </w:r>
            <w:r w:rsidR="00D24C9B">
              <w:rPr>
                <w:noProof/>
                <w:webHidden/>
              </w:rPr>
              <w:fldChar w:fldCharType="begin"/>
            </w:r>
            <w:r w:rsidR="00D24C9B">
              <w:rPr>
                <w:noProof/>
                <w:webHidden/>
              </w:rPr>
              <w:instrText xml:space="preserve"> PAGEREF _Toc132139969 \h </w:instrText>
            </w:r>
            <w:r w:rsidR="00D24C9B">
              <w:rPr>
                <w:noProof/>
                <w:webHidden/>
              </w:rPr>
            </w:r>
            <w:r w:rsidR="00D24C9B">
              <w:rPr>
                <w:noProof/>
                <w:webHidden/>
              </w:rPr>
              <w:fldChar w:fldCharType="separate"/>
            </w:r>
            <w:r w:rsidR="00D24C9B">
              <w:rPr>
                <w:noProof/>
                <w:webHidden/>
              </w:rPr>
              <w:t>35</w:t>
            </w:r>
            <w:r w:rsidR="00D24C9B">
              <w:rPr>
                <w:noProof/>
                <w:webHidden/>
              </w:rPr>
              <w:fldChar w:fldCharType="end"/>
            </w:r>
          </w:hyperlink>
        </w:p>
        <w:p w14:paraId="2F7713A3" w14:textId="0A694518" w:rsidR="009E2B83" w:rsidRPr="001B5A8F" w:rsidRDefault="009E2B83" w:rsidP="009E2B83">
          <w:r w:rsidRPr="001B5A8F">
            <w:fldChar w:fldCharType="end"/>
          </w:r>
        </w:p>
      </w:sdtContent>
    </w:sdt>
    <w:p w14:paraId="06391FD2" w14:textId="77777777" w:rsidR="009E2B83" w:rsidRPr="001B5A8F" w:rsidRDefault="009E2B83" w:rsidP="009E2B83"/>
    <w:p w14:paraId="58867954" w14:textId="77777777" w:rsidR="009E2B83" w:rsidRPr="001B5A8F" w:rsidRDefault="009E2B83" w:rsidP="009E2B83">
      <w:pPr>
        <w:rPr>
          <w:rFonts w:asciiTheme="majorHAnsi" w:eastAsiaTheme="majorEastAsia" w:hAnsiTheme="majorHAnsi" w:cstheme="majorBidi"/>
          <w:b/>
          <w:caps/>
          <w:color w:val="C00000"/>
          <w:sz w:val="32"/>
          <w:szCs w:val="32"/>
        </w:rPr>
      </w:pPr>
      <w:r w:rsidRPr="001B5A8F">
        <w:br w:type="page"/>
      </w:r>
    </w:p>
    <w:p w14:paraId="17560323" w14:textId="77777777" w:rsidR="009E2B83" w:rsidRPr="001B5A8F" w:rsidRDefault="009E2B83" w:rsidP="009E2B83">
      <w:pPr>
        <w:pStyle w:val="Heading1"/>
      </w:pPr>
      <w:bookmarkStart w:id="66" w:name="_Toc132101698"/>
      <w:bookmarkStart w:id="67" w:name="_Toc132124223"/>
      <w:bookmarkStart w:id="68" w:name="_Toc132124808"/>
      <w:bookmarkStart w:id="69" w:name="_Toc132124897"/>
      <w:bookmarkStart w:id="70" w:name="_Toc132124945"/>
      <w:bookmarkStart w:id="71" w:name="_Toc132124982"/>
      <w:bookmarkStart w:id="72" w:name="_Toc132139898"/>
      <w:bookmarkStart w:id="73" w:name="_Toc132139958"/>
      <w:r w:rsidRPr="001B5A8F">
        <w:lastRenderedPageBreak/>
        <w:t>Introduction</w:t>
      </w:r>
      <w:bookmarkEnd w:id="66"/>
      <w:bookmarkEnd w:id="67"/>
      <w:bookmarkEnd w:id="68"/>
      <w:bookmarkEnd w:id="69"/>
      <w:bookmarkEnd w:id="70"/>
      <w:bookmarkEnd w:id="71"/>
      <w:bookmarkEnd w:id="72"/>
      <w:bookmarkEnd w:id="73"/>
    </w:p>
    <w:p w14:paraId="59C312B5" w14:textId="0731B085" w:rsidR="009E2B83" w:rsidRPr="001B5A8F" w:rsidRDefault="009E2B83" w:rsidP="009E2B83">
      <w:pPr>
        <w:keepNext/>
      </w:pPr>
      <w:r w:rsidRPr="001B5A8F">
        <w:t>In light of the Universities Accord consultation process and ADCET’s additional submission has 1</w:t>
      </w:r>
      <w:r w:rsidR="00510D5C">
        <w:t>1</w:t>
      </w:r>
      <w:r w:rsidRPr="001B5A8F">
        <w:t xml:space="preserve"> recommendations on how to improve disability inclusiveness within the tertiary education sector. The following proposal outlines an expanded national and centralised role for ADCET in order to support our recommendations and contribute to the overall transformation of the Higher Education sector for the benefit of students with disability.</w:t>
      </w:r>
    </w:p>
    <w:p w14:paraId="2E9AB839" w14:textId="77777777" w:rsidR="00881B19" w:rsidRPr="001B5A8F" w:rsidRDefault="00881B19" w:rsidP="009E2B83">
      <w:pPr>
        <w:keepNext/>
      </w:pPr>
    </w:p>
    <w:p w14:paraId="2BB17E0D" w14:textId="77777777" w:rsidR="009E2B83" w:rsidRPr="001B5A8F" w:rsidRDefault="009E2B83" w:rsidP="009E2B83">
      <w:pPr>
        <w:keepNext/>
      </w:pPr>
      <w:r w:rsidRPr="001B5A8F">
        <w:t>An expanded ADCET would build on the 20 years of work already undertaken in supporting tertiary education providers to improve support for students with disability.</w:t>
      </w:r>
    </w:p>
    <w:p w14:paraId="705B0762" w14:textId="77777777" w:rsidR="00EC7F75" w:rsidRDefault="009E2B83" w:rsidP="009E2B83">
      <w:pPr>
        <w:keepNext/>
      </w:pPr>
      <w:r w:rsidRPr="001B5A8F">
        <w:t xml:space="preserve">Since the </w:t>
      </w:r>
      <w:r w:rsidRPr="001B5A8F">
        <w:rPr>
          <w:i/>
          <w:iCs/>
        </w:rPr>
        <w:t>2021 Review of the National Disability Coordination Officer (NDCO)</w:t>
      </w:r>
      <w:r w:rsidRPr="001B5A8F">
        <w:t xml:space="preserve"> </w:t>
      </w:r>
      <w:r w:rsidRPr="001B5A8F">
        <w:rPr>
          <w:i/>
          <w:iCs/>
        </w:rPr>
        <w:t>Program</w:t>
      </w:r>
      <w:r w:rsidRPr="001B5A8F">
        <w:t xml:space="preserve"> which supports ADCET there has been much uncertainty in relation to ADCET’s future and funding. Currently ADCET and NDCO program are only funded until October 2023 awaiting the outcome of the Accord. </w:t>
      </w:r>
    </w:p>
    <w:p w14:paraId="35227F39" w14:textId="77777777" w:rsidR="00EC7F75" w:rsidRDefault="00EC7F75" w:rsidP="009E2B83">
      <w:pPr>
        <w:keepNext/>
      </w:pPr>
    </w:p>
    <w:p w14:paraId="533D7976" w14:textId="0C05C0A9" w:rsidR="009E2B83" w:rsidRPr="001B5A8F" w:rsidRDefault="009E2B83" w:rsidP="009E2B83">
      <w:pPr>
        <w:keepNext/>
      </w:pPr>
      <w:r w:rsidRPr="001B5A8F">
        <w:t xml:space="preserve">This submission proposes options for a reimagined ADCET (encompassing some of the elements of the National Disability Coordination Officer Program) which is strategic, sustainable and </w:t>
      </w:r>
      <w:r w:rsidR="00EC7F75" w:rsidRPr="001B5A8F">
        <w:t>focused</w:t>
      </w:r>
      <w:r w:rsidRPr="001B5A8F">
        <w:t xml:space="preserve"> on improving disability inclusion in a reformed higher education sector which is better suited to the needs of people with disability as well as other equity groups. </w:t>
      </w:r>
    </w:p>
    <w:p w14:paraId="11D4C8A6" w14:textId="77777777" w:rsidR="00881B19" w:rsidRPr="001B5A8F" w:rsidRDefault="00881B19" w:rsidP="009E2B83">
      <w:pPr>
        <w:keepNext/>
      </w:pPr>
    </w:p>
    <w:p w14:paraId="01AC5E91" w14:textId="56D2A431" w:rsidR="009E2B83" w:rsidRPr="001B5A8F" w:rsidRDefault="00B20445" w:rsidP="009E2B83">
      <w:r>
        <w:t xml:space="preserve">An expanded </w:t>
      </w:r>
      <w:r w:rsidR="009E2B83" w:rsidRPr="001B5A8F">
        <w:t>ADCET would:</w:t>
      </w:r>
    </w:p>
    <w:p w14:paraId="4CB4A4A3" w14:textId="61AEF406" w:rsidR="009E2B83" w:rsidRPr="00AF2EA3" w:rsidRDefault="00B20445" w:rsidP="00AF2EA3">
      <w:pPr>
        <w:pStyle w:val="bullettedlist"/>
      </w:pPr>
      <w:r>
        <w:t xml:space="preserve">continue to </w:t>
      </w:r>
      <w:r w:rsidR="009E2B83" w:rsidRPr="00AF2EA3">
        <w:t xml:space="preserve">take a strategic approach to sector leadership and coordination, policy and advocacy, engagement and good practice </w:t>
      </w:r>
    </w:p>
    <w:p w14:paraId="491CD164" w14:textId="77777777" w:rsidR="009E2B83" w:rsidRPr="00AF2EA3" w:rsidRDefault="009E2B83" w:rsidP="00AF2EA3">
      <w:pPr>
        <w:pStyle w:val="bullettedlist"/>
      </w:pPr>
      <w:r w:rsidRPr="00AF2EA3">
        <w:t>retain and expand the work of ADCET as part of key engagement strategies</w:t>
      </w:r>
    </w:p>
    <w:p w14:paraId="7199C171" w14:textId="77777777" w:rsidR="009E2B83" w:rsidRPr="00AF2EA3" w:rsidRDefault="009E2B83" w:rsidP="00AF2EA3">
      <w:pPr>
        <w:pStyle w:val="bullettedlist"/>
      </w:pPr>
      <w:r w:rsidRPr="00AF2EA3">
        <w:t>sharpen the remit of the NDCO Program to address systemic issues at a national and/or state level</w:t>
      </w:r>
    </w:p>
    <w:p w14:paraId="329EFD45" w14:textId="2D759DC9" w:rsidR="009E2B83" w:rsidRPr="00AF2EA3" w:rsidRDefault="009E2B83" w:rsidP="00AF2EA3">
      <w:pPr>
        <w:pStyle w:val="bullettedlist"/>
      </w:pPr>
      <w:r w:rsidRPr="00AF2EA3">
        <w:t xml:space="preserve">create </w:t>
      </w:r>
      <w:r w:rsidR="002251FC">
        <w:t xml:space="preserve">further </w:t>
      </w:r>
      <w:r w:rsidRPr="00AF2EA3">
        <w:t xml:space="preserve">opportunities for interdisciplinary evidence-based practice in areas such as Disability Inclusion and Universal Design (e.g., in learning, education, built environment, technology) </w:t>
      </w:r>
    </w:p>
    <w:p w14:paraId="1867053A" w14:textId="5A65E510" w:rsidR="009E2B83" w:rsidRPr="00AF2EA3" w:rsidRDefault="009E2B83" w:rsidP="00AF2EA3">
      <w:pPr>
        <w:pStyle w:val="bullettedlist"/>
      </w:pPr>
      <w:r w:rsidRPr="00AF2EA3">
        <w:t xml:space="preserve">create </w:t>
      </w:r>
      <w:r w:rsidR="002251FC">
        <w:t xml:space="preserve">further </w:t>
      </w:r>
      <w:r w:rsidRPr="00AF2EA3">
        <w:t>opportunities for people with subject matter expertise and lived experience to collaborate on key projects. This would include cooperation with the National Centre for Student Equity in Higher Education NCSEHE), tertiary education institutions, and peak bodies</w:t>
      </w:r>
    </w:p>
    <w:p w14:paraId="43404EA6" w14:textId="77777777" w:rsidR="009E2B83" w:rsidRPr="00AF2EA3" w:rsidRDefault="009E2B83" w:rsidP="00AF2EA3">
      <w:pPr>
        <w:pStyle w:val="bullettedlist"/>
      </w:pPr>
      <w:r w:rsidRPr="00AF2EA3">
        <w:t xml:space="preserve">ensure people with disability are a critical part of ADCET strategic planning, decision-making and staffing. </w:t>
      </w:r>
    </w:p>
    <w:p w14:paraId="6F976D00" w14:textId="77777777" w:rsidR="00367E21" w:rsidRDefault="00367E21">
      <w:pPr>
        <w:rPr>
          <w:b/>
          <w:bCs/>
          <w:color w:val="2F5496" w:themeColor="accent1" w:themeShade="BF"/>
          <w:kern w:val="36"/>
          <w:sz w:val="36"/>
          <w:szCs w:val="48"/>
        </w:rPr>
      </w:pPr>
      <w:bookmarkStart w:id="74" w:name="_Toc132101699"/>
      <w:bookmarkStart w:id="75" w:name="_Toc132124224"/>
      <w:bookmarkStart w:id="76" w:name="_Toc132124809"/>
      <w:bookmarkStart w:id="77" w:name="_Toc132124898"/>
      <w:bookmarkStart w:id="78" w:name="_Toc132124946"/>
      <w:bookmarkStart w:id="79" w:name="_Toc132124983"/>
      <w:r>
        <w:br w:type="page"/>
      </w:r>
    </w:p>
    <w:p w14:paraId="15160236" w14:textId="131A3607" w:rsidR="009E2B83" w:rsidRPr="001B5A8F" w:rsidRDefault="009E2B83" w:rsidP="009E2B83">
      <w:pPr>
        <w:pStyle w:val="Heading1"/>
      </w:pPr>
      <w:bookmarkStart w:id="80" w:name="_Toc132139899"/>
      <w:bookmarkStart w:id="81" w:name="_Toc132139959"/>
      <w:r w:rsidRPr="001B5A8F">
        <w:lastRenderedPageBreak/>
        <w:t>Rationale</w:t>
      </w:r>
      <w:bookmarkEnd w:id="74"/>
      <w:bookmarkEnd w:id="75"/>
      <w:bookmarkEnd w:id="76"/>
      <w:bookmarkEnd w:id="77"/>
      <w:bookmarkEnd w:id="78"/>
      <w:bookmarkEnd w:id="79"/>
      <w:bookmarkEnd w:id="80"/>
      <w:bookmarkEnd w:id="81"/>
    </w:p>
    <w:p w14:paraId="1866B91C" w14:textId="26BBAC6D" w:rsidR="00E15F59" w:rsidRPr="001B5A8F" w:rsidRDefault="009E2B83" w:rsidP="009E2B83">
      <w:r w:rsidRPr="001B5A8F">
        <w:t>In evolving to an expanded remit which is centralised and coordinated disability inclusion in tertiary education is addressed on a national scale more effectively. A number of strategic considerations would drive ADCET and include:</w:t>
      </w:r>
    </w:p>
    <w:p w14:paraId="53849B43" w14:textId="08D2981C" w:rsidR="009E2B83" w:rsidRDefault="009E2B83" w:rsidP="00F57C71">
      <w:pPr>
        <w:pStyle w:val="Heading2"/>
        <w:rPr>
          <w:rStyle w:val="Heading2Char"/>
        </w:rPr>
      </w:pPr>
      <w:bookmarkStart w:id="82" w:name="_Toc132139900"/>
      <w:bookmarkStart w:id="83" w:name="_Toc132139960"/>
      <w:r w:rsidRPr="00F57C71">
        <w:rPr>
          <w:rStyle w:val="Heading2Char"/>
        </w:rPr>
        <w:t>Alignment with national strategic priorities and legislative framework</w:t>
      </w:r>
      <w:bookmarkEnd w:id="82"/>
      <w:bookmarkEnd w:id="83"/>
      <w:r w:rsidRPr="00F57C71">
        <w:rPr>
          <w:rStyle w:val="Heading2Char"/>
        </w:rPr>
        <w:t xml:space="preserve"> </w:t>
      </w:r>
    </w:p>
    <w:p w14:paraId="41682005" w14:textId="5BC14AE9" w:rsidR="00F57C71" w:rsidRPr="002D40B3" w:rsidRDefault="00F57C71" w:rsidP="00AF2EA3">
      <w:r w:rsidRPr="002D40B3">
        <w:t>Key national priorities and legislation</w:t>
      </w:r>
      <w:r w:rsidR="002D40B3" w:rsidRPr="002D40B3">
        <w:t xml:space="preserve"> to be considered includes:</w:t>
      </w:r>
    </w:p>
    <w:p w14:paraId="21452E9C" w14:textId="77777777" w:rsidR="009E2B83" w:rsidRPr="001B5A8F" w:rsidRDefault="00000000" w:rsidP="009E2B83">
      <w:pPr>
        <w:pStyle w:val="bullettedlist"/>
        <w:spacing w:before="120" w:after="120"/>
      </w:pPr>
      <w:hyperlink r:id="rId48" w:history="1">
        <w:r w:rsidR="009E2B83" w:rsidRPr="001B5A8F">
          <w:rPr>
            <w:rStyle w:val="Hyperlink"/>
          </w:rPr>
          <w:t>Australia’s National Disability Strategy 2021 – 2031</w:t>
        </w:r>
      </w:hyperlink>
      <w:r w:rsidR="009E2B83" w:rsidRPr="001B5A8F">
        <w:t xml:space="preserve"> </w:t>
      </w:r>
    </w:p>
    <w:p w14:paraId="7619E545" w14:textId="77777777" w:rsidR="009E2B83" w:rsidRPr="001B5A8F" w:rsidRDefault="009E2B83" w:rsidP="00AF2EA3">
      <w:pPr>
        <w:pStyle w:val="bullettedlist"/>
      </w:pPr>
      <w:r w:rsidRPr="001B5A8F">
        <w:t xml:space="preserve">Disability Discrimination Act 1992 and the Disability Standards for Education 2005 (currently </w:t>
      </w:r>
      <w:r w:rsidRPr="00AF2EA3">
        <w:t>recommendations</w:t>
      </w:r>
      <w:r w:rsidRPr="001B5A8F">
        <w:t xml:space="preserve"> from the 2020 review are yet to be actioned), Premises Standards 2010, Web Content Accessibility Guidelines (WCAG), Higher Education Standards Framework 2021</w:t>
      </w:r>
    </w:p>
    <w:p w14:paraId="5A7D76A9" w14:textId="77777777" w:rsidR="009E2B83" w:rsidRPr="001B5A8F" w:rsidRDefault="009E2B83" w:rsidP="00AF2EA3">
      <w:pPr>
        <w:pStyle w:val="bullettedlist"/>
      </w:pPr>
      <w:r w:rsidRPr="00AF2EA3">
        <w:t>the</w:t>
      </w:r>
      <w:r w:rsidRPr="001B5A8F">
        <w:t xml:space="preserve"> </w:t>
      </w:r>
      <w:hyperlink r:id="rId49" w:history="1">
        <w:r w:rsidRPr="001B5A8F">
          <w:rPr>
            <w:rStyle w:val="Hyperlink"/>
          </w:rPr>
          <w:t>VET Reform Roadmap</w:t>
        </w:r>
      </w:hyperlink>
    </w:p>
    <w:p w14:paraId="1A3E0F22" w14:textId="77777777" w:rsidR="009E2B83" w:rsidRPr="001B5A8F" w:rsidRDefault="009E2B83" w:rsidP="00AF2EA3">
      <w:pPr>
        <w:pStyle w:val="bullettedlist"/>
      </w:pPr>
      <w:r w:rsidRPr="00AF2EA3">
        <w:t>the</w:t>
      </w:r>
      <w:r w:rsidRPr="001B5A8F">
        <w:t xml:space="preserve"> </w:t>
      </w:r>
      <w:hyperlink r:id="rId50" w:history="1">
        <w:r w:rsidRPr="001B5A8F">
          <w:rPr>
            <w:rStyle w:val="Hyperlink"/>
          </w:rPr>
          <w:t>Higher Education Disability Support Program</w:t>
        </w:r>
      </w:hyperlink>
      <w:r w:rsidRPr="001B5A8F">
        <w:t xml:space="preserve">, </w:t>
      </w:r>
      <w:hyperlink r:id="rId51" w:history="1">
        <w:r w:rsidRPr="001B5A8F">
          <w:rPr>
            <w:rStyle w:val="Hyperlink"/>
          </w:rPr>
          <w:t>Job Ready Graduates Package</w:t>
        </w:r>
      </w:hyperlink>
      <w:r w:rsidRPr="001B5A8F">
        <w:t xml:space="preserve">, and </w:t>
      </w:r>
      <w:hyperlink r:id="rId52" w:history="1">
        <w:r w:rsidRPr="001B5A8F">
          <w:rPr>
            <w:rStyle w:val="Hyperlink"/>
          </w:rPr>
          <w:t>performance-based funding</w:t>
        </w:r>
      </w:hyperlink>
    </w:p>
    <w:p w14:paraId="32E82D4C" w14:textId="4E9D00B1" w:rsidR="009E2B83" w:rsidRPr="002D40B3" w:rsidRDefault="00000000" w:rsidP="00AF2EA3">
      <w:pPr>
        <w:pStyle w:val="bullettedlist"/>
      </w:pPr>
      <w:hyperlink r:id="rId53" w:history="1">
        <w:r w:rsidR="009E2B83" w:rsidRPr="001B5A8F">
          <w:rPr>
            <w:rStyle w:val="Hyperlink"/>
          </w:rPr>
          <w:t>Australian Skills Quality Authority (ASQA)</w:t>
        </w:r>
      </w:hyperlink>
      <w:r w:rsidR="009E2B83" w:rsidRPr="001B5A8F">
        <w:t xml:space="preserve"> and </w:t>
      </w:r>
      <w:hyperlink r:id="rId54" w:history="1">
        <w:r w:rsidR="009E2B83" w:rsidRPr="001B5A8F">
          <w:rPr>
            <w:rStyle w:val="Hyperlink"/>
          </w:rPr>
          <w:t>Tertiary Education Quality and Standards Agency (teqsa.gov.au)</w:t>
        </w:r>
      </w:hyperlink>
      <w:r w:rsidR="009E2B83" w:rsidRPr="001B5A8F">
        <w:t xml:space="preserve"> </w:t>
      </w:r>
      <w:r w:rsidR="009E2B83" w:rsidRPr="00AF2EA3">
        <w:t>obligations</w:t>
      </w:r>
      <w:r w:rsidR="009E2B83" w:rsidRPr="001B5A8F">
        <w:t xml:space="preserve">. </w:t>
      </w:r>
    </w:p>
    <w:p w14:paraId="101E9E52" w14:textId="710DABF5" w:rsidR="009E2B83" w:rsidRDefault="009E2B83" w:rsidP="002D40B3">
      <w:pPr>
        <w:pStyle w:val="Heading2"/>
      </w:pPr>
      <w:bookmarkStart w:id="84" w:name="_Toc132139901"/>
      <w:bookmarkStart w:id="85" w:name="_Toc132139961"/>
      <w:r w:rsidRPr="00E15F59">
        <w:t>Fostering economic benefits</w:t>
      </w:r>
      <w:bookmarkEnd w:id="84"/>
      <w:bookmarkEnd w:id="85"/>
    </w:p>
    <w:p w14:paraId="4B099ADE" w14:textId="28FEBE7F" w:rsidR="002D40B3" w:rsidRPr="002C5DEC" w:rsidDel="00324605" w:rsidRDefault="002D40B3" w:rsidP="002C5DEC">
      <w:r w:rsidRPr="002C5DEC">
        <w:t xml:space="preserve">Better disability inclusion </w:t>
      </w:r>
      <w:r w:rsidR="002C5DEC" w:rsidRPr="002C5DEC">
        <w:t>can:</w:t>
      </w:r>
    </w:p>
    <w:p w14:paraId="01AC5DE0" w14:textId="77777777" w:rsidR="009E2B83" w:rsidRPr="00AF2EA3" w:rsidRDefault="009E2B83" w:rsidP="00AF2EA3">
      <w:pPr>
        <w:pStyle w:val="bullettedlist"/>
      </w:pPr>
      <w:r w:rsidRPr="001B5A8F">
        <w:t xml:space="preserve">reduce </w:t>
      </w:r>
      <w:r w:rsidRPr="00AF2EA3">
        <w:t>barriers to participation enabling people with disability to fully participate in the economic fabric of society thus reducing reliance on welfare and empowering self-determination</w:t>
      </w:r>
    </w:p>
    <w:p w14:paraId="4C9A02B0" w14:textId="77777777" w:rsidR="009E2B83" w:rsidRPr="00AF2EA3" w:rsidRDefault="009E2B83" w:rsidP="00AF2EA3">
      <w:pPr>
        <w:pStyle w:val="bullettedlist"/>
      </w:pPr>
      <w:r w:rsidRPr="00AF2EA3">
        <w:t>provide strategic and coordinated approaches to sharing information, resources, capacity building and advocacy support across the tertiary education sector through a central repository</w:t>
      </w:r>
    </w:p>
    <w:p w14:paraId="4B65E924" w14:textId="77777777" w:rsidR="009E2B83" w:rsidRPr="00AF2EA3" w:rsidRDefault="009E2B83" w:rsidP="00AF2EA3">
      <w:pPr>
        <w:pStyle w:val="bullettedlist"/>
      </w:pPr>
      <w:r w:rsidRPr="00AF2EA3">
        <w:t>minimise duplication and provide consistent information and good practice which is ‘fit for purpose’</w:t>
      </w:r>
    </w:p>
    <w:p w14:paraId="1FADD456" w14:textId="77777777" w:rsidR="009E2B83" w:rsidRPr="001B5A8F" w:rsidRDefault="009E2B83" w:rsidP="00AF2EA3">
      <w:pPr>
        <w:pStyle w:val="bullettedlist"/>
      </w:pPr>
      <w:r w:rsidRPr="00AF2EA3">
        <w:t>develop a disability</w:t>
      </w:r>
      <w:r w:rsidRPr="001B5A8F">
        <w:t xml:space="preserve"> confident workforce and graduate employment pool for the 21</w:t>
      </w:r>
      <w:r w:rsidRPr="001B5A8F">
        <w:rPr>
          <w:vertAlign w:val="superscript"/>
        </w:rPr>
        <w:t>st</w:t>
      </w:r>
      <w:r w:rsidRPr="001B5A8F">
        <w:t xml:space="preserve"> century through training and resources for key stakeholders.</w:t>
      </w:r>
    </w:p>
    <w:p w14:paraId="37F58F3D" w14:textId="77777777" w:rsidR="008C03BE" w:rsidRDefault="008C03BE" w:rsidP="002C5DEC">
      <w:pPr>
        <w:pStyle w:val="Heading2"/>
      </w:pPr>
      <w:bookmarkStart w:id="86" w:name="_Toc132139902"/>
      <w:bookmarkStart w:id="87" w:name="_Toc132139962"/>
      <w:r>
        <w:t>Improving workforce capability</w:t>
      </w:r>
      <w:bookmarkEnd w:id="86"/>
      <w:bookmarkEnd w:id="87"/>
    </w:p>
    <w:p w14:paraId="6AB79AF1" w14:textId="2D6C89F7" w:rsidR="009E2B83" w:rsidRPr="008C03BE" w:rsidRDefault="009E2B83" w:rsidP="008C03BE">
      <w:r w:rsidRPr="008C03BE">
        <w:t>Supporting tertiary education providers and practitioners towards disability inclusion to:</w:t>
      </w:r>
    </w:p>
    <w:p w14:paraId="20BFF621" w14:textId="77777777" w:rsidR="009E2B83" w:rsidRPr="00AF2EA3" w:rsidRDefault="009E2B83" w:rsidP="00AF2EA3">
      <w:pPr>
        <w:pStyle w:val="bullettedlist"/>
      </w:pPr>
      <w:r w:rsidRPr="001B5A8F">
        <w:t xml:space="preserve">ensure people with disability can access and benefit from a high-quality tertiary </w:t>
      </w:r>
      <w:r w:rsidRPr="00AF2EA3">
        <w:t>education of their choice</w:t>
      </w:r>
    </w:p>
    <w:p w14:paraId="7F521D03" w14:textId="073D705C" w:rsidR="009E2B83" w:rsidRPr="00AF2EA3" w:rsidRDefault="009E2B83" w:rsidP="00AF2EA3">
      <w:pPr>
        <w:pStyle w:val="bullettedlist"/>
      </w:pPr>
      <w:r w:rsidRPr="00AF2EA3">
        <w:lastRenderedPageBreak/>
        <w:t>recognise intersectionality of people with disability and their inclusion in other marginalised groups such as First Nations peoples, people from low socio-economic backgrounds, people from culturally and linguistically divers</w:t>
      </w:r>
      <w:r w:rsidR="00573847">
        <w:t>e</w:t>
      </w:r>
      <w:r w:rsidRPr="00AF2EA3">
        <w:t xml:space="preserve"> backgrounds and regional and remote backgrounds which further marginalises them from education and employment opportunities</w:t>
      </w:r>
    </w:p>
    <w:p w14:paraId="0C2FF1CE" w14:textId="77777777" w:rsidR="009E2B83" w:rsidRPr="00AF2EA3" w:rsidRDefault="009E2B83" w:rsidP="00AF2EA3">
      <w:pPr>
        <w:pStyle w:val="bullettedlist"/>
      </w:pPr>
      <w:r w:rsidRPr="00AF2EA3">
        <w:t>address structural adjustments which inhibit full participation of people with disability in tertiary education (i.e., inclusive and social justice approaches across the student journey including admissions, teaching and learning design, digital and physical environments, staffing, graduate employment)</w:t>
      </w:r>
    </w:p>
    <w:p w14:paraId="265C2D1A" w14:textId="77777777" w:rsidR="009E2B83" w:rsidRPr="00AF2EA3" w:rsidRDefault="009E2B83" w:rsidP="00AF2EA3">
      <w:pPr>
        <w:pStyle w:val="bullettedlist"/>
      </w:pPr>
      <w:r w:rsidRPr="00AF2EA3">
        <w:t>upskill the tertiary education workforce and develop graduating students with inclusive graduate attributes</w:t>
      </w:r>
    </w:p>
    <w:p w14:paraId="393AF9F0" w14:textId="77777777" w:rsidR="009E2B83" w:rsidRPr="00AF2EA3" w:rsidRDefault="009E2B83" w:rsidP="00AF2EA3">
      <w:pPr>
        <w:pStyle w:val="bullettedlist"/>
      </w:pPr>
      <w:r w:rsidRPr="00AF2EA3">
        <w:t>contribute to the intellectual, research, social and economic reform agenda which improves the lives of people with disability.</w:t>
      </w:r>
    </w:p>
    <w:p w14:paraId="1B554991" w14:textId="77777777" w:rsidR="008C03BE" w:rsidRDefault="009E2B83" w:rsidP="008C03BE">
      <w:pPr>
        <w:pStyle w:val="Heading2"/>
      </w:pPr>
      <w:bookmarkStart w:id="88" w:name="_Toc132139903"/>
      <w:bookmarkStart w:id="89" w:name="_Toc132139963"/>
      <w:r w:rsidRPr="00E15F59">
        <w:t>Tackling emerging issues</w:t>
      </w:r>
      <w:bookmarkEnd w:id="88"/>
      <w:bookmarkEnd w:id="89"/>
      <w:r w:rsidRPr="00E15F59">
        <w:t xml:space="preserve"> </w:t>
      </w:r>
    </w:p>
    <w:p w14:paraId="26934E92" w14:textId="73DE3A3E" w:rsidR="009E2B83" w:rsidRPr="003D2CE9" w:rsidRDefault="0083427F" w:rsidP="003D2CE9">
      <w:r w:rsidRPr="003D2CE9">
        <w:t xml:space="preserve">A proactive and centralised </w:t>
      </w:r>
      <w:r w:rsidR="003D2CE9" w:rsidRPr="003D2CE9">
        <w:t>approach through ADCET would</w:t>
      </w:r>
      <w:r w:rsidR="0075710B" w:rsidRPr="0075710B">
        <w:t xml:space="preserve"> </w:t>
      </w:r>
      <w:r w:rsidR="0075710B" w:rsidRPr="003D2CE9">
        <w:t>tackl</w:t>
      </w:r>
      <w:r w:rsidR="0075710B">
        <w:t>e</w:t>
      </w:r>
      <w:r w:rsidR="0075710B" w:rsidRPr="003D2CE9">
        <w:t xml:space="preserve"> emerging issues</w:t>
      </w:r>
      <w:r w:rsidR="0075710B">
        <w:t xml:space="preserve"> such as</w:t>
      </w:r>
      <w:r w:rsidR="003D2CE9" w:rsidRPr="003D2CE9">
        <w:t>:</w:t>
      </w:r>
    </w:p>
    <w:p w14:paraId="7C39FD78" w14:textId="7C9A6EB6" w:rsidR="009E2B83" w:rsidRPr="001B5A8F" w:rsidRDefault="003D2CE9" w:rsidP="00AF2EA3">
      <w:pPr>
        <w:pStyle w:val="bullettedlist"/>
      </w:pPr>
      <w:r>
        <w:t>the</w:t>
      </w:r>
      <w:r w:rsidR="009E2B83" w:rsidRPr="001B5A8F">
        <w:t xml:space="preserve"> </w:t>
      </w:r>
      <w:r w:rsidR="009E2B83" w:rsidRPr="00AF2EA3">
        <w:t>increasing</w:t>
      </w:r>
      <w:r w:rsidR="009E2B83" w:rsidRPr="001B5A8F">
        <w:t xml:space="preserve"> demand and need of people with disability to pursue tertiary education (see </w:t>
      </w:r>
      <w:r w:rsidR="009E2B83" w:rsidRPr="0075710B">
        <w:t>Key Statistics</w:t>
      </w:r>
      <w:r w:rsidR="009E2B83" w:rsidRPr="001B5A8F">
        <w:t xml:space="preserve"> in </w:t>
      </w:r>
      <w:hyperlink w:anchor="_Appendix_2" w:history="1">
        <w:r w:rsidR="0075710B" w:rsidRPr="0075710B">
          <w:rPr>
            <w:rStyle w:val="Hyperlink"/>
          </w:rPr>
          <w:t>Appendix 2</w:t>
        </w:r>
      </w:hyperlink>
      <w:r w:rsidR="009E2B83" w:rsidRPr="001B5A8F">
        <w:t>)</w:t>
      </w:r>
    </w:p>
    <w:p w14:paraId="57BDDAE8" w14:textId="0D16717C" w:rsidR="009E2B83" w:rsidRPr="001B5A8F" w:rsidRDefault="009E2B83" w:rsidP="00AF2EA3">
      <w:pPr>
        <w:pStyle w:val="bullettedlist"/>
      </w:pPr>
      <w:r w:rsidRPr="001B5A8F">
        <w:t xml:space="preserve">potential </w:t>
      </w:r>
      <w:r w:rsidRPr="00AF2EA3">
        <w:t>outcomes</w:t>
      </w:r>
      <w:r w:rsidRPr="001B5A8F">
        <w:t xml:space="preserve"> from the Royal Commission into Violence, Abuse, Neglect and Exploitation of People with Disability as they impact education</w:t>
      </w:r>
      <w:r w:rsidRPr="001B5A8F">
        <w:rPr>
          <w:rStyle w:val="FootnoteReference"/>
        </w:rPr>
        <w:footnoteReference w:id="12"/>
      </w:r>
      <w:r w:rsidRPr="001B5A8F">
        <w:t xml:space="preserve"> and employment</w:t>
      </w:r>
      <w:r w:rsidRPr="001B5A8F">
        <w:rPr>
          <w:rStyle w:val="FootnoteReference"/>
        </w:rPr>
        <w:footnoteReference w:id="13"/>
      </w:r>
    </w:p>
    <w:p w14:paraId="2983C8EE" w14:textId="77777777" w:rsidR="009E2B83" w:rsidRPr="001B5A8F" w:rsidRDefault="009E2B83" w:rsidP="00AF2EA3">
      <w:pPr>
        <w:pStyle w:val="bullettedlist"/>
      </w:pPr>
      <w:r w:rsidRPr="001B5A8F">
        <w:t xml:space="preserve">access, participation, </w:t>
      </w:r>
      <w:r w:rsidRPr="00AF2EA3">
        <w:t>retention</w:t>
      </w:r>
      <w:r w:rsidRPr="001B5A8F">
        <w:t xml:space="preserve"> and success rates including graduate outcomes for students with disability</w:t>
      </w:r>
    </w:p>
    <w:p w14:paraId="3FC01359" w14:textId="1E371686" w:rsidR="009E2B83" w:rsidRPr="001B5A8F" w:rsidRDefault="009E2B83" w:rsidP="00AF2EA3">
      <w:pPr>
        <w:pStyle w:val="bullettedlist"/>
      </w:pPr>
      <w:r w:rsidRPr="001B5A8F">
        <w:t xml:space="preserve">the rapid pace of digital </w:t>
      </w:r>
      <w:r w:rsidRPr="00AF2EA3">
        <w:t>technology</w:t>
      </w:r>
      <w:r w:rsidRPr="001B5A8F">
        <w:t xml:space="preserve"> in enabling accessibility and online learning </w:t>
      </w:r>
      <w:r w:rsidR="00BE7335">
        <w:t xml:space="preserve">and how tertiary education providers </w:t>
      </w:r>
      <w:r w:rsidR="00491738">
        <w:t xml:space="preserve">embed these technologies and how these technologies impact </w:t>
      </w:r>
      <w:r w:rsidRPr="001B5A8F">
        <w:t>people with disability</w:t>
      </w:r>
    </w:p>
    <w:p w14:paraId="46B322B6" w14:textId="77777777" w:rsidR="009E2B83" w:rsidRPr="001B5A8F" w:rsidRDefault="009E2B83" w:rsidP="00AF2EA3">
      <w:pPr>
        <w:pStyle w:val="bullettedlist"/>
      </w:pPr>
      <w:r w:rsidRPr="001B5A8F">
        <w:t xml:space="preserve">workforce changes in relation to managing staff with disability (e.g., managing wellbeing, </w:t>
      </w:r>
      <w:r w:rsidRPr="00AF2EA3">
        <w:t>workplace</w:t>
      </w:r>
      <w:r w:rsidRPr="001B5A8F">
        <w:t xml:space="preserve"> injuries and reasonable adjustment for disability; mental health; the aging workforce; improving recruitment for diversity; vicarious liability)</w:t>
      </w:r>
    </w:p>
    <w:p w14:paraId="614770BD" w14:textId="77777777" w:rsidR="009E2B83" w:rsidRPr="001B5A8F" w:rsidRDefault="009E2B83" w:rsidP="00AF2EA3">
      <w:pPr>
        <w:pStyle w:val="bullettedlist"/>
      </w:pPr>
      <w:r w:rsidRPr="001B5A8F">
        <w:t xml:space="preserve">opportunities to embed inclusive teaching practices and accessibility into all tertiary education </w:t>
      </w:r>
      <w:r w:rsidRPr="00AF2EA3">
        <w:t>courseware</w:t>
      </w:r>
      <w:r w:rsidRPr="001B5A8F">
        <w:t xml:space="preserve"> including developing courses and education pathways which address skill shortages and expertise requirements in supporting people with disability (e.g., teaching, social and health care, built environment, business etc.)</w:t>
      </w:r>
    </w:p>
    <w:p w14:paraId="0CBCED96" w14:textId="5F5E1AEF" w:rsidR="009E2B83" w:rsidRPr="001B5A8F" w:rsidRDefault="009E2B83" w:rsidP="00AF2EA3">
      <w:pPr>
        <w:pStyle w:val="bullettedlist"/>
      </w:pPr>
      <w:r w:rsidRPr="001B5A8F">
        <w:t xml:space="preserve">the increased focus on inclusive teaching strategies and Universal Design (UDL) for Learning in </w:t>
      </w:r>
      <w:r w:rsidRPr="00AF2EA3">
        <w:t>tertiary</w:t>
      </w:r>
      <w:r w:rsidRPr="001B5A8F">
        <w:t xml:space="preserve"> education to support </w:t>
      </w:r>
      <w:r w:rsidR="005712B3">
        <w:t xml:space="preserve">better outcomes for </w:t>
      </w:r>
      <w:r w:rsidRPr="001B5A8F">
        <w:t xml:space="preserve">people with disability </w:t>
      </w:r>
    </w:p>
    <w:p w14:paraId="46F34EAF" w14:textId="4CCFEB30" w:rsidR="009E2B83" w:rsidRPr="001B5A8F" w:rsidRDefault="009E2B83" w:rsidP="00AF2EA3">
      <w:pPr>
        <w:pStyle w:val="bullettedlist"/>
      </w:pPr>
      <w:r w:rsidRPr="001B5A8F">
        <w:t xml:space="preserve">improved collaboration and coordination between the tertiary education sector and the NDIS, to </w:t>
      </w:r>
      <w:r w:rsidRPr="00AF2EA3">
        <w:t>ensure</w:t>
      </w:r>
      <w:r w:rsidRPr="001B5A8F">
        <w:t xml:space="preserve"> prospective and current students with disability are able to avail themselves of </w:t>
      </w:r>
      <w:r w:rsidR="00170F0D" w:rsidRPr="001B5A8F">
        <w:t>support</w:t>
      </w:r>
      <w:r w:rsidRPr="001B5A8F">
        <w:t xml:space="preserve"> provided in both contexts. This work only represents a small </w:t>
      </w:r>
      <w:r w:rsidRPr="001B5A8F">
        <w:lastRenderedPageBreak/>
        <w:t>portion of people with disability, but it is essential that all opportunities for NDIS participants are explored and available</w:t>
      </w:r>
    </w:p>
    <w:p w14:paraId="7F1E7C71" w14:textId="77777777" w:rsidR="009E2B83" w:rsidRPr="001B5A8F" w:rsidRDefault="009E2B83" w:rsidP="00AF2EA3">
      <w:pPr>
        <w:pStyle w:val="bullettedlist"/>
      </w:pPr>
      <w:r w:rsidRPr="001B5A8F">
        <w:t>the currently small number of NDIS participants engaged in, or recorded as participating in, postsecondary education – with granular data unavailable and a lack of visible priority and knowledge relating to participants engaging in tertiary education</w:t>
      </w:r>
    </w:p>
    <w:p w14:paraId="4F98F855" w14:textId="77777777" w:rsidR="009E2B83" w:rsidRPr="001B5A8F" w:rsidRDefault="009E2B83" w:rsidP="00AF2EA3">
      <w:pPr>
        <w:pStyle w:val="bullettedlist"/>
      </w:pPr>
      <w:r w:rsidRPr="001B5A8F">
        <w:t xml:space="preserve">the </w:t>
      </w:r>
      <w:r w:rsidRPr="00AF2EA3">
        <w:t>ongoing</w:t>
      </w:r>
      <w:r w:rsidRPr="001B5A8F">
        <w:t xml:space="preserve"> impacts of COVID-19.</w:t>
      </w:r>
    </w:p>
    <w:p w14:paraId="3A7BA354" w14:textId="638720E4" w:rsidR="009E2B83" w:rsidRDefault="009E2B83" w:rsidP="00784A0B">
      <w:pPr>
        <w:pStyle w:val="Heading2"/>
        <w:rPr>
          <w:b/>
        </w:rPr>
      </w:pPr>
      <w:bookmarkStart w:id="90" w:name="_Toc132139904"/>
      <w:bookmarkStart w:id="91" w:name="_Toc132139964"/>
      <w:r w:rsidRPr="001B5A8F">
        <w:rPr>
          <w:b/>
        </w:rPr>
        <w:t>Other issues</w:t>
      </w:r>
      <w:bookmarkEnd w:id="90"/>
      <w:bookmarkEnd w:id="91"/>
    </w:p>
    <w:p w14:paraId="3B2F5F69" w14:textId="01513D80" w:rsidR="00784A0B" w:rsidRDefault="00784A0B" w:rsidP="00784A0B">
      <w:pPr>
        <w:pStyle w:val="Heading3"/>
      </w:pPr>
      <w:bookmarkStart w:id="92" w:name="_Toc132139905"/>
      <w:r>
        <w:t>Graduate employment</w:t>
      </w:r>
      <w:bookmarkEnd w:id="92"/>
      <w:r>
        <w:t xml:space="preserve"> </w:t>
      </w:r>
    </w:p>
    <w:p w14:paraId="3435AE2D" w14:textId="236C1A69" w:rsidR="009E2B83" w:rsidRPr="001B5A8F" w:rsidRDefault="009E2B83" w:rsidP="009E2B83">
      <w:r w:rsidRPr="001B5A8F">
        <w:t>There are also specific long-term considerations around participation of people with disability in employment</w:t>
      </w:r>
      <w:r w:rsidRPr="001B5A8F">
        <w:rPr>
          <w:b/>
          <w:bCs/>
        </w:rPr>
        <w:t>, including graduate employment</w:t>
      </w:r>
      <w:r w:rsidRPr="001B5A8F">
        <w:t xml:space="preserve"> </w:t>
      </w:r>
      <w:r w:rsidRPr="001B5A8F">
        <w:rPr>
          <w:b/>
          <w:bCs/>
        </w:rPr>
        <w:t>and diverse workforce needs.</w:t>
      </w:r>
      <w:r w:rsidRPr="001B5A8F">
        <w:t xml:space="preserve"> These include:</w:t>
      </w:r>
    </w:p>
    <w:p w14:paraId="0A67B3F7" w14:textId="77777777" w:rsidR="009E2B83" w:rsidRPr="001B5A8F" w:rsidRDefault="009E2B83" w:rsidP="00AF2EA3">
      <w:pPr>
        <w:pStyle w:val="bullettedlist"/>
      </w:pPr>
      <w:r w:rsidRPr="001B5A8F">
        <w:t xml:space="preserve">the rising </w:t>
      </w:r>
      <w:r w:rsidRPr="00AF2EA3">
        <w:t>necessity</w:t>
      </w:r>
      <w:r w:rsidRPr="001B5A8F">
        <w:t xml:space="preserve"> of the need for formal post-secondary qualifications to secure long-term positive employment outcomes</w:t>
      </w:r>
      <w:r w:rsidRPr="001B5A8F">
        <w:rPr>
          <w:rStyle w:val="FootnoteReference"/>
        </w:rPr>
        <w:footnoteReference w:id="14"/>
      </w:r>
    </w:p>
    <w:p w14:paraId="476FC660" w14:textId="77777777" w:rsidR="009E2B83" w:rsidRPr="001B5A8F" w:rsidRDefault="009E2B83" w:rsidP="00AF2EA3">
      <w:pPr>
        <w:pStyle w:val="bullettedlist"/>
      </w:pPr>
      <w:r w:rsidRPr="001B5A8F">
        <w:t>the recognition of persistent poor outcomes for people with disability in graduate success outcomes in tertiary education</w:t>
      </w:r>
      <w:r w:rsidRPr="001B5A8F">
        <w:rPr>
          <w:rStyle w:val="FootnoteReference"/>
        </w:rPr>
        <w:footnoteReference w:id="15"/>
      </w:r>
    </w:p>
    <w:p w14:paraId="261A1AD5" w14:textId="77777777" w:rsidR="009E2B83" w:rsidRPr="001B5A8F" w:rsidRDefault="009E2B83" w:rsidP="00AF2EA3">
      <w:pPr>
        <w:pStyle w:val="bullettedlist"/>
      </w:pPr>
      <w:r w:rsidRPr="001B5A8F">
        <w:t xml:space="preserve">the recognition of increasing demands by employers for developing a diverse </w:t>
      </w:r>
      <w:r w:rsidRPr="00AF2EA3">
        <w:t>workforce</w:t>
      </w:r>
      <w:r w:rsidRPr="001B5A8F">
        <w:rPr>
          <w:rStyle w:val="FootnoteReference"/>
        </w:rPr>
        <w:footnoteReference w:id="16"/>
      </w:r>
    </w:p>
    <w:p w14:paraId="52841B92" w14:textId="77777777" w:rsidR="009E2B83" w:rsidRPr="001B5A8F" w:rsidRDefault="009E2B83" w:rsidP="00AF2EA3">
      <w:pPr>
        <w:pStyle w:val="bullettedlist"/>
      </w:pPr>
      <w:r w:rsidRPr="00AF2EA3">
        <w:t>the</w:t>
      </w:r>
      <w:r w:rsidRPr="001B5A8F">
        <w:t xml:space="preserve"> recognition by employers for developing a disability confident workforce</w:t>
      </w:r>
      <w:r w:rsidRPr="001B5A8F">
        <w:rPr>
          <w:rStyle w:val="FootnoteReference"/>
        </w:rPr>
        <w:footnoteReference w:id="17"/>
      </w:r>
    </w:p>
    <w:p w14:paraId="312280BD" w14:textId="77777777" w:rsidR="009E2B83" w:rsidRPr="001B5A8F" w:rsidRDefault="009E2B83" w:rsidP="00AF2EA3">
      <w:pPr>
        <w:pStyle w:val="bullettedlist"/>
      </w:pPr>
      <w:r w:rsidRPr="001B5A8F">
        <w:t>recognition of current employment and skills shortages in Australia</w:t>
      </w:r>
      <w:r w:rsidRPr="001B5A8F">
        <w:rPr>
          <w:rStyle w:val="FootnoteReference"/>
        </w:rPr>
        <w:footnoteReference w:id="18"/>
      </w:r>
    </w:p>
    <w:p w14:paraId="13B19E31" w14:textId="77777777" w:rsidR="009E2B83" w:rsidRPr="001B5A8F" w:rsidRDefault="009E2B83" w:rsidP="00AF2EA3">
      <w:pPr>
        <w:pStyle w:val="bullettedlist"/>
      </w:pPr>
      <w:r w:rsidRPr="001B5A8F">
        <w:t xml:space="preserve">the shifting nature of people with disability in our schooling system as the Nationally </w:t>
      </w:r>
      <w:r w:rsidRPr="00AF2EA3">
        <w:t>Consistent</w:t>
      </w:r>
      <w:r w:rsidRPr="001B5A8F">
        <w:t xml:space="preserve"> Collection of Data (NCCD) dataset matures, and the onward increased flow to tertiary studies.</w:t>
      </w:r>
    </w:p>
    <w:p w14:paraId="1FAC7194" w14:textId="66937A8E" w:rsidR="009E2B83" w:rsidRPr="001B5A8F" w:rsidRDefault="009E2B83" w:rsidP="00784A0B">
      <w:pPr>
        <w:pStyle w:val="Heading3"/>
      </w:pPr>
      <w:bookmarkStart w:id="93" w:name="_Toc132139906"/>
      <w:r w:rsidRPr="001B5A8F">
        <w:t xml:space="preserve">Specific research </w:t>
      </w:r>
      <w:r w:rsidR="001F0BA9">
        <w:t xml:space="preserve">and </w:t>
      </w:r>
      <w:r w:rsidRPr="001B5A8F">
        <w:t>best practice</w:t>
      </w:r>
      <w:bookmarkEnd w:id="93"/>
    </w:p>
    <w:p w14:paraId="358DF882" w14:textId="77777777" w:rsidR="009E2B83" w:rsidRPr="001B5A8F" w:rsidRDefault="009E2B83" w:rsidP="009E2B83">
      <w:r w:rsidRPr="001B5A8F">
        <w:t>There is a great deal of expertise developing across universities in practice, teaching and research areas to improve disability participation, health, inclusive education to draw from to support collective knowledge across member universities. This includes:</w:t>
      </w:r>
    </w:p>
    <w:p w14:paraId="2283607B" w14:textId="77777777" w:rsidR="009E2B83" w:rsidRPr="00AF2EA3" w:rsidRDefault="009E2B83" w:rsidP="00AF2EA3">
      <w:pPr>
        <w:pStyle w:val="bullettedlist"/>
      </w:pPr>
      <w:r w:rsidRPr="00AF2EA3">
        <w:t>universities with research centres focused on disability inclusion and inclusive education</w:t>
      </w:r>
    </w:p>
    <w:p w14:paraId="25190C94" w14:textId="77777777" w:rsidR="009E2B83" w:rsidRPr="00AF2EA3" w:rsidRDefault="009E2B83" w:rsidP="00AF2EA3">
      <w:pPr>
        <w:pStyle w:val="bullettedlist"/>
      </w:pPr>
      <w:r w:rsidRPr="00AF2EA3">
        <w:t>membership with Australian Network on Disability</w:t>
      </w:r>
    </w:p>
    <w:p w14:paraId="4D043E97" w14:textId="77777777" w:rsidR="009E2B83" w:rsidRPr="00AF2EA3" w:rsidRDefault="009E2B83" w:rsidP="00AF2EA3">
      <w:pPr>
        <w:pStyle w:val="bullettedlist"/>
      </w:pPr>
      <w:r w:rsidRPr="00AF2EA3">
        <w:t>specific programs to support graduate employment such as USEP/Gradwise</w:t>
      </w:r>
    </w:p>
    <w:p w14:paraId="36E202DE" w14:textId="77777777" w:rsidR="009E2B83" w:rsidRPr="00AF2EA3" w:rsidRDefault="009E2B83" w:rsidP="00AF2EA3">
      <w:pPr>
        <w:pStyle w:val="bullettedlist"/>
      </w:pPr>
      <w:r w:rsidRPr="00AF2EA3">
        <w:t>specific mentoring programs for SWD especially ASD</w:t>
      </w:r>
    </w:p>
    <w:p w14:paraId="1794DA97" w14:textId="77777777" w:rsidR="009E2B83" w:rsidRPr="00AF2EA3" w:rsidRDefault="009E2B83" w:rsidP="00AF2EA3">
      <w:pPr>
        <w:pStyle w:val="bullettedlist"/>
      </w:pPr>
      <w:r w:rsidRPr="00AF2EA3">
        <w:t>recruitment and widening participation activities to improve student access and participation</w:t>
      </w:r>
    </w:p>
    <w:p w14:paraId="3C96E3B8" w14:textId="77777777" w:rsidR="009E2B83" w:rsidRPr="001B5A8F" w:rsidRDefault="009E2B83" w:rsidP="009E2B83">
      <w:pPr>
        <w:rPr>
          <w:b/>
          <w:bCs/>
        </w:rPr>
      </w:pPr>
      <w:r w:rsidRPr="001B5A8F">
        <w:rPr>
          <w:b/>
          <w:bCs/>
        </w:rPr>
        <w:lastRenderedPageBreak/>
        <w:t>ADCET would be in the best position to capitalise on existing relationships with these institutions on a national scale ensuring an emphasis on evidence-based and practical solutions.</w:t>
      </w:r>
    </w:p>
    <w:p w14:paraId="3A2220D0" w14:textId="77777777" w:rsidR="00003B4A" w:rsidRPr="001B5A8F" w:rsidRDefault="00003B4A" w:rsidP="009E2B83">
      <w:pPr>
        <w:rPr>
          <w:b/>
          <w:bCs/>
        </w:rPr>
      </w:pPr>
    </w:p>
    <w:p w14:paraId="03AAE616" w14:textId="11A4FF39" w:rsidR="009E2B83" w:rsidRPr="00E85DB5" w:rsidRDefault="0026222F" w:rsidP="009E2B83">
      <w:r>
        <w:t xml:space="preserve">ADCET already delivers </w:t>
      </w:r>
      <w:r w:rsidR="00BC2A9E">
        <w:t xml:space="preserve">value for money and </w:t>
      </w:r>
      <w:r w:rsidR="00437DE4">
        <w:t xml:space="preserve">significant impact given the current resources available. </w:t>
      </w:r>
      <w:r w:rsidR="009E2B83" w:rsidRPr="001B5A8F">
        <w:t xml:space="preserve">As an example of the level of engagement ADCET has in </w:t>
      </w:r>
      <w:r w:rsidR="009E2B83" w:rsidRPr="001B5A8F">
        <w:rPr>
          <w:shd w:val="clear" w:color="auto" w:fill="FFFFFF"/>
        </w:rPr>
        <w:t xml:space="preserve">2021 the ADCET website had over 1 million website engagements, 1.6k social media followers, 1.5k newsletter subscribers, and 4.7k webinar recordings accessed. Further to our demonstrated capability we have created a skilled workforce of </w:t>
      </w:r>
      <w:hyperlink r:id="rId55" w:tgtFrame="_blank" w:history="1">
        <w:r w:rsidR="009E2B83" w:rsidRPr="001B5A8F">
          <w:rPr>
            <w:color w:val="0563C1"/>
            <w:u w:val="single"/>
            <w:shd w:val="clear" w:color="auto" w:fill="FFFFFF"/>
          </w:rPr>
          <w:t>consultants and staff</w:t>
        </w:r>
      </w:hyperlink>
      <w:r w:rsidR="009E2B83" w:rsidRPr="001B5A8F">
        <w:rPr>
          <w:shd w:val="clear" w:color="auto" w:fill="FFFFFF"/>
        </w:rPr>
        <w:t xml:space="preserve"> (Figure 1) and work in partnership with a number of NDCOs across Australia producing a range of </w:t>
      </w:r>
      <w:hyperlink r:id="rId56" w:tgtFrame="_blank" w:history="1">
        <w:r w:rsidR="009E2B83" w:rsidRPr="001B5A8F">
          <w:rPr>
            <w:color w:val="0563C1"/>
            <w:u w:val="single"/>
            <w:shd w:val="clear" w:color="auto" w:fill="FFFFFF"/>
          </w:rPr>
          <w:t>resources</w:t>
        </w:r>
      </w:hyperlink>
      <w:r w:rsidR="009E2B83" w:rsidRPr="001B5A8F">
        <w:rPr>
          <w:shd w:val="clear" w:color="auto" w:fill="FFFFFF"/>
        </w:rPr>
        <w:t xml:space="preserve"> for practitioners and students. </w:t>
      </w:r>
      <w:r w:rsidR="009E2B83" w:rsidRPr="001B5A8F">
        <w:rPr>
          <w:rFonts w:ascii="Calibri" w:hAnsi="Calibri"/>
          <w:shd w:val="clear" w:color="auto" w:fill="FFFFFF"/>
        </w:rPr>
        <w:t> </w:t>
      </w:r>
    </w:p>
    <w:p w14:paraId="732A1721" w14:textId="77777777" w:rsidR="00003B4A" w:rsidRPr="001B5A8F" w:rsidRDefault="00003B4A" w:rsidP="009E2B83">
      <w:pPr>
        <w:rPr>
          <w:rFonts w:ascii="Calibri" w:hAnsi="Calibri"/>
          <w:shd w:val="clear" w:color="auto" w:fill="FFFFFF"/>
        </w:rPr>
      </w:pPr>
    </w:p>
    <w:p w14:paraId="4E497E1B" w14:textId="77777777" w:rsidR="009E2B83" w:rsidRPr="001B5A8F" w:rsidRDefault="009E2B83" w:rsidP="009E2B83">
      <w:pPr>
        <w:pStyle w:val="Caption"/>
        <w:keepNext/>
      </w:pPr>
      <w:r w:rsidRPr="001B5A8F">
        <w:t xml:space="preserve">Figure </w:t>
      </w:r>
      <w:r w:rsidRPr="001B5A8F">
        <w:fldChar w:fldCharType="begin"/>
      </w:r>
      <w:r w:rsidRPr="001B5A8F">
        <w:instrText>SEQ Figure \* ARABIC</w:instrText>
      </w:r>
      <w:r w:rsidRPr="001B5A8F">
        <w:fldChar w:fldCharType="separate"/>
      </w:r>
      <w:r w:rsidRPr="001B5A8F">
        <w:rPr>
          <w:noProof/>
        </w:rPr>
        <w:t>1</w:t>
      </w:r>
      <w:r w:rsidRPr="001B5A8F">
        <w:fldChar w:fldCharType="end"/>
      </w:r>
      <w:r w:rsidRPr="001B5A8F">
        <w:t>: Current organisational structure of ADCET</w:t>
      </w:r>
    </w:p>
    <w:p w14:paraId="7477C0C6" w14:textId="77777777" w:rsidR="009E2B83" w:rsidRPr="001B5A8F" w:rsidRDefault="009E2B83" w:rsidP="009E2B83">
      <w:pPr>
        <w:rPr>
          <w:rFonts w:ascii="Calibri" w:hAnsi="Calibri" w:cs="Calibri"/>
          <w:color w:val="000000"/>
          <w:shd w:val="clear" w:color="auto" w:fill="FFFFFF"/>
        </w:rPr>
      </w:pPr>
      <w:r w:rsidRPr="001B5A8F">
        <w:rPr>
          <w:rFonts w:ascii="Calibri" w:eastAsiaTheme="minorHAnsi" w:hAnsi="Calibri"/>
          <w:noProof/>
        </w:rPr>
        <w:drawing>
          <wp:inline distT="0" distB="0" distL="0" distR="0" wp14:anchorId="2358997E" wp14:editId="39E423B4">
            <wp:extent cx="6083300" cy="1884459"/>
            <wp:effectExtent l="0" t="0" r="508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69EE8560" w14:textId="36858D53" w:rsidR="009E2B83" w:rsidRPr="00C437CD" w:rsidRDefault="009E2B83" w:rsidP="00C437CD">
      <w:pPr>
        <w:pStyle w:val="Footnote"/>
        <w:rPr>
          <w:i w:val="0"/>
          <w:iCs/>
        </w:rPr>
      </w:pPr>
      <w:r w:rsidRPr="00C437CD">
        <w:rPr>
          <w:i w:val="0"/>
          <w:iCs/>
        </w:rPr>
        <w:t xml:space="preserve">*Funded via NDCO </w:t>
      </w:r>
      <w:r w:rsidR="00170F0D" w:rsidRPr="00C437CD">
        <w:rPr>
          <w:i w:val="0"/>
          <w:iCs/>
        </w:rPr>
        <w:t>Program</w:t>
      </w:r>
      <w:r w:rsidR="00C437CD" w:rsidRPr="00C437CD">
        <w:rPr>
          <w:i w:val="0"/>
          <w:iCs/>
        </w:rPr>
        <w:t xml:space="preserve"> |</w:t>
      </w:r>
      <w:r w:rsidR="00170F0D" w:rsidRPr="00C437CD">
        <w:rPr>
          <w:i w:val="0"/>
          <w:iCs/>
        </w:rPr>
        <w:t xml:space="preserve"> ^</w:t>
      </w:r>
      <w:r w:rsidRPr="00C437CD">
        <w:rPr>
          <w:i w:val="0"/>
          <w:iCs/>
        </w:rPr>
        <w:t xml:space="preserve">Part-time </w:t>
      </w:r>
    </w:p>
    <w:p w14:paraId="60AEE798" w14:textId="77777777" w:rsidR="009E2B83" w:rsidRPr="001B5A8F" w:rsidRDefault="009E2B83" w:rsidP="009E2B83">
      <w:pPr>
        <w:pStyle w:val="Heading1"/>
      </w:pPr>
      <w:bookmarkStart w:id="94" w:name="_Toc132101703"/>
      <w:bookmarkStart w:id="95" w:name="_Toc132124226"/>
      <w:bookmarkStart w:id="96" w:name="_Toc132124811"/>
      <w:bookmarkStart w:id="97" w:name="_Toc132124900"/>
      <w:bookmarkStart w:id="98" w:name="_Toc132124948"/>
      <w:bookmarkStart w:id="99" w:name="_Toc132124985"/>
      <w:bookmarkStart w:id="100" w:name="_Toc132139907"/>
      <w:bookmarkStart w:id="101" w:name="_Toc132139965"/>
      <w:r w:rsidRPr="001B5A8F">
        <w:t>Strategy for an expanded ADCET</w:t>
      </w:r>
      <w:bookmarkEnd w:id="94"/>
      <w:bookmarkEnd w:id="95"/>
      <w:bookmarkEnd w:id="96"/>
      <w:bookmarkEnd w:id="97"/>
      <w:bookmarkEnd w:id="98"/>
      <w:bookmarkEnd w:id="99"/>
      <w:bookmarkEnd w:id="100"/>
      <w:bookmarkEnd w:id="101"/>
      <w:r w:rsidRPr="001B5A8F">
        <w:t xml:space="preserve"> </w:t>
      </w:r>
    </w:p>
    <w:p w14:paraId="3138F709" w14:textId="77777777" w:rsidR="00E45B30" w:rsidRDefault="009E2B83" w:rsidP="009E2B83">
      <w:r w:rsidRPr="001B5A8F">
        <w:t>An expanded ADCET would continue to be positioned within the sector as collaborative, practitioner-led and evidenced-based practice. It also provides a way for a disconnected sector and stakeholders to come together on the topic of disability</w:t>
      </w:r>
      <w:r w:rsidR="008F286C">
        <w:t xml:space="preserve"> inclusion</w:t>
      </w:r>
      <w:r w:rsidRPr="001B5A8F">
        <w:t xml:space="preserve"> in tertiary education</w:t>
      </w:r>
      <w:r w:rsidR="00E45B30">
        <w:t xml:space="preserve"> by:</w:t>
      </w:r>
    </w:p>
    <w:p w14:paraId="0C353DC3" w14:textId="22B00CDF" w:rsidR="00E45B30" w:rsidRDefault="009E2B83" w:rsidP="00B6040F">
      <w:pPr>
        <w:pStyle w:val="bullettedlist"/>
      </w:pPr>
      <w:r w:rsidRPr="001B5A8F">
        <w:t>explor</w:t>
      </w:r>
      <w:r w:rsidR="008F286C">
        <w:t>ing</w:t>
      </w:r>
      <w:r w:rsidRPr="001B5A8F">
        <w:t xml:space="preserve"> the barriers </w:t>
      </w:r>
      <w:r w:rsidR="00132030">
        <w:t xml:space="preserve">to inclusion or people with disability </w:t>
      </w:r>
      <w:r w:rsidRPr="001B5A8F">
        <w:t>(through research and expertise from the sector)</w:t>
      </w:r>
    </w:p>
    <w:p w14:paraId="5998997A" w14:textId="643A8BD7" w:rsidR="00B6040F" w:rsidRDefault="00E45B30" w:rsidP="00B6040F">
      <w:pPr>
        <w:pStyle w:val="bullettedlist"/>
      </w:pPr>
      <w:r>
        <w:t>triallin</w:t>
      </w:r>
      <w:r w:rsidR="00145941">
        <w:t>g, implementing, evaluati</w:t>
      </w:r>
      <w:r w:rsidR="00B6040F">
        <w:t>ng</w:t>
      </w:r>
      <w:r w:rsidR="00145941">
        <w:t xml:space="preserve"> and monitoring </w:t>
      </w:r>
      <w:r w:rsidR="009E2B83" w:rsidRPr="001B5A8F">
        <w:t>practical solutions to systemic issues and challenges</w:t>
      </w:r>
    </w:p>
    <w:p w14:paraId="211488FF" w14:textId="114FF715" w:rsidR="00380318" w:rsidRDefault="009E2B83" w:rsidP="00B6040F">
      <w:pPr>
        <w:pStyle w:val="bullettedlist"/>
      </w:pPr>
      <w:r w:rsidRPr="001B5A8F">
        <w:t>assist</w:t>
      </w:r>
      <w:r w:rsidR="00B6040F">
        <w:t>ing</w:t>
      </w:r>
      <w:r w:rsidRPr="001B5A8F">
        <w:t xml:space="preserve"> tertiary education providers to drive change within their organisations. </w:t>
      </w:r>
    </w:p>
    <w:p w14:paraId="29C69B2D" w14:textId="77777777" w:rsidR="00380318" w:rsidRDefault="00380318" w:rsidP="009E2B83"/>
    <w:p w14:paraId="346276C1" w14:textId="63EAB967" w:rsidR="00994A63" w:rsidRPr="00994A63" w:rsidRDefault="00994A63" w:rsidP="00994A63">
      <w:r w:rsidRPr="00994A63">
        <w:t>ADCET would focus on three key priority areas</w:t>
      </w:r>
      <w:r w:rsidR="00132030">
        <w:t xml:space="preserve"> in the lifelong learning journey of people with disability and </w:t>
      </w:r>
      <w:r w:rsidR="007D16CF">
        <w:t>education ecology</w:t>
      </w:r>
      <w:r w:rsidRPr="00994A63">
        <w:t xml:space="preserve">: </w:t>
      </w:r>
    </w:p>
    <w:p w14:paraId="4072871B" w14:textId="77777777" w:rsidR="00994A63" w:rsidRPr="00994A63" w:rsidRDefault="00994A63" w:rsidP="00994A63">
      <w:pPr>
        <w:pStyle w:val="bullettedlist"/>
      </w:pPr>
      <w:r w:rsidRPr="00994A63">
        <w:t xml:space="preserve">School / Community to Tertiary Education </w:t>
      </w:r>
    </w:p>
    <w:p w14:paraId="04B5EB1B" w14:textId="77777777" w:rsidR="00994A63" w:rsidRPr="00994A63" w:rsidRDefault="00994A63" w:rsidP="00994A63">
      <w:pPr>
        <w:pStyle w:val="bullettedlist"/>
      </w:pPr>
      <w:r w:rsidRPr="00994A63">
        <w:t xml:space="preserve">Tertiary Education – Access / Participation / Success </w:t>
      </w:r>
    </w:p>
    <w:p w14:paraId="52092B8C" w14:textId="77777777" w:rsidR="00994A63" w:rsidRPr="00994A63" w:rsidRDefault="00994A63" w:rsidP="00994A63">
      <w:pPr>
        <w:pStyle w:val="bullettedlist"/>
      </w:pPr>
      <w:r w:rsidRPr="00994A63">
        <w:t xml:space="preserve">Graduate Employment </w:t>
      </w:r>
    </w:p>
    <w:p w14:paraId="5BE4D2DE" w14:textId="77777777" w:rsidR="00994A63" w:rsidRDefault="00994A63" w:rsidP="00994A63"/>
    <w:p w14:paraId="44D8714D" w14:textId="2AB8796F" w:rsidR="00994A63" w:rsidRPr="00994A63" w:rsidRDefault="00A72764" w:rsidP="00994A63">
      <w:r>
        <w:lastRenderedPageBreak/>
        <w:t xml:space="preserve">ADCET would </w:t>
      </w:r>
      <w:r w:rsidR="00994A63" w:rsidRPr="00994A63">
        <w:t>create and maintain effective national strategic partnerships</w:t>
      </w:r>
      <w:r>
        <w:t xml:space="preserve"> across these priority areas to </w:t>
      </w:r>
      <w:r w:rsidR="006B495B">
        <w:t xml:space="preserve">support cross-sectoral disability inclusion </w:t>
      </w:r>
      <w:r w:rsidR="006015B1">
        <w:t>for the benefit of people with disability navigating lifelong learning.</w:t>
      </w:r>
      <w:r w:rsidR="006B495B">
        <w:t xml:space="preserve"> </w:t>
      </w:r>
    </w:p>
    <w:p w14:paraId="69EAA796" w14:textId="77777777" w:rsidR="00380318" w:rsidRDefault="00380318" w:rsidP="009E2B83"/>
    <w:p w14:paraId="290BF057" w14:textId="77777777" w:rsidR="009E2B83" w:rsidRPr="001B5A8F" w:rsidRDefault="009E2B83" w:rsidP="009E2B83">
      <w:r w:rsidRPr="001B5A8F">
        <w:t xml:space="preserve">The ADCET would focus on four central pillars outlined in Table 1. These strategic pillars incorporate the current work of ADCET and the NDCO program. Within this framework ADCET would build on existing work as well as expand its conceptual approach to national disability coordination within the tertiary sector. </w:t>
      </w:r>
    </w:p>
    <w:p w14:paraId="18F7442C" w14:textId="77777777" w:rsidR="00003B4A" w:rsidRPr="001B5A8F" w:rsidRDefault="00003B4A" w:rsidP="009E2B83"/>
    <w:p w14:paraId="4A100043" w14:textId="77777777" w:rsidR="009E2B83" w:rsidRPr="001B5A8F" w:rsidRDefault="009E2B83" w:rsidP="009E2B83">
      <w:pPr>
        <w:pStyle w:val="tablesandfigures"/>
        <w:rPr>
          <w:lang w:val="en-US" w:eastAsia="en-US"/>
        </w:rPr>
      </w:pPr>
      <w:r w:rsidRPr="001B5A8F">
        <w:rPr>
          <w:lang w:val="en-US" w:eastAsia="en-US"/>
        </w:rPr>
        <w:t>Table 1: Strategic pillars for ADCET</w:t>
      </w:r>
    </w:p>
    <w:tbl>
      <w:tblPr>
        <w:tblStyle w:val="GridTable4-Accent1"/>
        <w:tblW w:w="9727" w:type="dxa"/>
        <w:tblLook w:val="0420" w:firstRow="1" w:lastRow="0" w:firstColumn="0" w:lastColumn="0" w:noHBand="0" w:noVBand="1"/>
      </w:tblPr>
      <w:tblGrid>
        <w:gridCol w:w="2122"/>
        <w:gridCol w:w="2551"/>
        <w:gridCol w:w="2552"/>
        <w:gridCol w:w="2502"/>
      </w:tblGrid>
      <w:tr w:rsidR="009E2B83" w:rsidRPr="001B5A8F" w14:paraId="7FBEC57E" w14:textId="77777777" w:rsidTr="00D9388F">
        <w:trPr>
          <w:cnfStyle w:val="100000000000" w:firstRow="1" w:lastRow="0" w:firstColumn="0" w:lastColumn="0" w:oddVBand="0" w:evenVBand="0" w:oddHBand="0" w:evenHBand="0" w:firstRowFirstColumn="0" w:firstRowLastColumn="0" w:lastRowFirstColumn="0" w:lastRowLastColumn="0"/>
          <w:trHeight w:val="485"/>
        </w:trPr>
        <w:tc>
          <w:tcPr>
            <w:tcW w:w="2122" w:type="dxa"/>
            <w:vAlign w:val="center"/>
          </w:tcPr>
          <w:p w14:paraId="62E6EF31" w14:textId="77777777" w:rsidR="009E2B83" w:rsidRPr="001B5A8F" w:rsidRDefault="009E2B83" w:rsidP="00D9388F">
            <w:pPr>
              <w:spacing w:line="254" w:lineRule="auto"/>
              <w:rPr>
                <w:rFonts w:ascii="Calibri" w:hAnsi="Calibri"/>
                <w:sz w:val="20"/>
                <w:szCs w:val="20"/>
              </w:rPr>
            </w:pPr>
            <w:bookmarkStart w:id="102" w:name="_Hlk110346681"/>
            <w:r w:rsidRPr="001B5A8F">
              <w:rPr>
                <w:rFonts w:ascii="Calibri" w:hAnsi="Calibri"/>
                <w:sz w:val="20"/>
                <w:szCs w:val="20"/>
              </w:rPr>
              <w:t>POLICY &amp; ADVOCACY</w:t>
            </w:r>
          </w:p>
        </w:tc>
        <w:tc>
          <w:tcPr>
            <w:tcW w:w="2551" w:type="dxa"/>
            <w:vAlign w:val="center"/>
          </w:tcPr>
          <w:p w14:paraId="5073175F" w14:textId="77777777" w:rsidR="009E2B83" w:rsidRPr="001B5A8F" w:rsidRDefault="009E2B83" w:rsidP="00D9388F">
            <w:pPr>
              <w:spacing w:line="254" w:lineRule="auto"/>
              <w:rPr>
                <w:rFonts w:ascii="Calibri" w:hAnsi="Calibri"/>
                <w:sz w:val="20"/>
                <w:szCs w:val="20"/>
              </w:rPr>
            </w:pPr>
            <w:r w:rsidRPr="001B5A8F">
              <w:rPr>
                <w:rFonts w:ascii="Calibri" w:hAnsi="Calibri"/>
                <w:sz w:val="20"/>
                <w:szCs w:val="20"/>
              </w:rPr>
              <w:t>ENGAGEMENT</w:t>
            </w:r>
          </w:p>
        </w:tc>
        <w:tc>
          <w:tcPr>
            <w:tcW w:w="2552" w:type="dxa"/>
            <w:vAlign w:val="center"/>
          </w:tcPr>
          <w:p w14:paraId="6A5478EB" w14:textId="77777777" w:rsidR="009E2B83" w:rsidRPr="001B5A8F" w:rsidRDefault="009E2B83" w:rsidP="00D9388F">
            <w:pPr>
              <w:spacing w:line="254" w:lineRule="auto"/>
              <w:rPr>
                <w:rFonts w:ascii="Calibri" w:hAnsi="Calibri"/>
                <w:sz w:val="20"/>
                <w:szCs w:val="20"/>
              </w:rPr>
            </w:pPr>
            <w:r w:rsidRPr="001B5A8F">
              <w:rPr>
                <w:rFonts w:ascii="Calibri" w:hAnsi="Calibri"/>
                <w:sz w:val="20"/>
                <w:szCs w:val="20"/>
              </w:rPr>
              <w:t>UNIVERSAL DESIGN</w:t>
            </w:r>
          </w:p>
        </w:tc>
        <w:tc>
          <w:tcPr>
            <w:tcW w:w="2502" w:type="dxa"/>
            <w:vAlign w:val="center"/>
          </w:tcPr>
          <w:p w14:paraId="45AFAE4E" w14:textId="77777777" w:rsidR="009E2B83" w:rsidRPr="001B5A8F" w:rsidRDefault="009E2B83" w:rsidP="00D9388F">
            <w:pPr>
              <w:spacing w:line="254" w:lineRule="auto"/>
              <w:rPr>
                <w:rFonts w:ascii="Calibri" w:hAnsi="Calibri"/>
                <w:sz w:val="20"/>
                <w:szCs w:val="20"/>
              </w:rPr>
            </w:pPr>
            <w:r w:rsidRPr="001B5A8F">
              <w:rPr>
                <w:rFonts w:ascii="Calibri" w:hAnsi="Calibri"/>
                <w:sz w:val="20"/>
                <w:szCs w:val="20"/>
              </w:rPr>
              <w:t>GOOD PRACTICE</w:t>
            </w:r>
          </w:p>
        </w:tc>
      </w:tr>
      <w:bookmarkEnd w:id="102"/>
      <w:tr w:rsidR="009E2B83" w:rsidRPr="001B5A8F" w14:paraId="5953C939" w14:textId="77777777" w:rsidTr="00D9388F">
        <w:trPr>
          <w:cnfStyle w:val="000000100000" w:firstRow="0" w:lastRow="0" w:firstColumn="0" w:lastColumn="0" w:oddVBand="0" w:evenVBand="0" w:oddHBand="1" w:evenHBand="0" w:firstRowFirstColumn="0" w:firstRowLastColumn="0" w:lastRowFirstColumn="0" w:lastRowLastColumn="0"/>
          <w:trHeight w:val="2148"/>
        </w:trPr>
        <w:tc>
          <w:tcPr>
            <w:tcW w:w="2122" w:type="dxa"/>
          </w:tcPr>
          <w:p w14:paraId="54AB66D6" w14:textId="77777777" w:rsidR="009E2B83" w:rsidRPr="001B5A8F" w:rsidRDefault="009E2B83" w:rsidP="00D9388F">
            <w:pPr>
              <w:rPr>
                <w:b/>
                <w:bCs/>
                <w:sz w:val="21"/>
                <w:szCs w:val="21"/>
              </w:rPr>
            </w:pPr>
            <w:r w:rsidRPr="001B5A8F">
              <w:rPr>
                <w:sz w:val="21"/>
                <w:szCs w:val="21"/>
              </w:rPr>
              <w:t>To influence national policy to impact positively on the inclusion people with disability within tertiary education environments.</w:t>
            </w:r>
          </w:p>
        </w:tc>
        <w:tc>
          <w:tcPr>
            <w:tcW w:w="2551" w:type="dxa"/>
          </w:tcPr>
          <w:p w14:paraId="4E950784" w14:textId="77777777" w:rsidR="009E2B83" w:rsidRPr="001B5A8F" w:rsidRDefault="009E2B83" w:rsidP="00D9388F">
            <w:pPr>
              <w:rPr>
                <w:sz w:val="21"/>
                <w:szCs w:val="21"/>
              </w:rPr>
            </w:pPr>
            <w:r w:rsidRPr="001B5A8F">
              <w:rPr>
                <w:sz w:val="21"/>
                <w:szCs w:val="21"/>
              </w:rPr>
              <w:t>To promote inclusion and provide practical solutions in education and employment by building networks and collaboration with key strategic partners within tertiary education environments.</w:t>
            </w:r>
          </w:p>
        </w:tc>
        <w:tc>
          <w:tcPr>
            <w:tcW w:w="2552" w:type="dxa"/>
          </w:tcPr>
          <w:p w14:paraId="464E42BF" w14:textId="77777777" w:rsidR="009E2B83" w:rsidRPr="001B5A8F" w:rsidRDefault="009E2B83" w:rsidP="00D9388F">
            <w:pPr>
              <w:rPr>
                <w:sz w:val="21"/>
                <w:szCs w:val="21"/>
              </w:rPr>
            </w:pPr>
            <w:r w:rsidRPr="001B5A8F">
              <w:rPr>
                <w:sz w:val="21"/>
                <w:szCs w:val="21"/>
              </w:rPr>
              <w:t>To promote the principles of Universal Design (UD) by creating an understanding of, and practical solutions to, UD across the learning, physical and digital contexts within tertiary education environments.</w:t>
            </w:r>
          </w:p>
        </w:tc>
        <w:tc>
          <w:tcPr>
            <w:tcW w:w="2502" w:type="dxa"/>
          </w:tcPr>
          <w:p w14:paraId="43637387" w14:textId="77777777" w:rsidR="009E2B83" w:rsidRPr="001B5A8F" w:rsidRDefault="009E2B83" w:rsidP="00D9388F">
            <w:pPr>
              <w:rPr>
                <w:sz w:val="21"/>
                <w:szCs w:val="21"/>
              </w:rPr>
            </w:pPr>
            <w:r w:rsidRPr="001B5A8F">
              <w:rPr>
                <w:sz w:val="21"/>
                <w:szCs w:val="21"/>
              </w:rPr>
              <w:t>To promote good practice in disability inclusion by providing advice and practical solutions on emerging trends, research and practice within tertiary learning environments.</w:t>
            </w:r>
          </w:p>
        </w:tc>
      </w:tr>
    </w:tbl>
    <w:p w14:paraId="7E5B7EF9" w14:textId="77777777" w:rsidR="009E2B83" w:rsidRPr="001B5A8F" w:rsidRDefault="009E2B83" w:rsidP="009E2B83">
      <w:pPr>
        <w:rPr>
          <w:rFonts w:ascii="Calibri" w:eastAsiaTheme="minorHAnsi" w:hAnsi="Calibri"/>
        </w:rPr>
      </w:pPr>
    </w:p>
    <w:p w14:paraId="17230C8C" w14:textId="2D4CA02A" w:rsidR="009E2B83" w:rsidRPr="001B5A8F" w:rsidRDefault="009E2B83" w:rsidP="009E2B83">
      <w:r w:rsidRPr="001B5A8F">
        <w:t>These pillars include key strategic objectives outlined below:</w:t>
      </w:r>
    </w:p>
    <w:p w14:paraId="36A51487" w14:textId="77777777" w:rsidR="009E2B83" w:rsidRPr="001B5A8F" w:rsidRDefault="009E2B83" w:rsidP="009E2B83">
      <w:pPr>
        <w:pStyle w:val="Heading3"/>
        <w:rPr>
          <w:b/>
        </w:rPr>
      </w:pPr>
      <w:bookmarkStart w:id="103" w:name="_Toc132101704"/>
      <w:bookmarkStart w:id="104" w:name="_Toc132124227"/>
      <w:bookmarkStart w:id="105" w:name="_Toc132124812"/>
      <w:bookmarkStart w:id="106" w:name="_Toc132124901"/>
      <w:bookmarkStart w:id="107" w:name="_Toc132124949"/>
      <w:bookmarkStart w:id="108" w:name="_Toc132124986"/>
      <w:bookmarkStart w:id="109" w:name="_Toc132139908"/>
      <w:r w:rsidRPr="001B5A8F">
        <w:t>Policy and advocacy</w:t>
      </w:r>
      <w:bookmarkEnd w:id="103"/>
      <w:bookmarkEnd w:id="104"/>
      <w:bookmarkEnd w:id="105"/>
      <w:bookmarkEnd w:id="106"/>
      <w:bookmarkEnd w:id="107"/>
      <w:bookmarkEnd w:id="108"/>
      <w:bookmarkEnd w:id="109"/>
    </w:p>
    <w:p w14:paraId="76114553" w14:textId="77777777" w:rsidR="009E2B83" w:rsidRPr="001B5A8F" w:rsidRDefault="009E2B83" w:rsidP="009E2B83">
      <w:r w:rsidRPr="001B5A8F">
        <w:t>ADCET responds collectively to policy and advocacy in an agile way leveraging this engagement, providing thought leadership, and enabling a sector and student voice to government. This includes:</w:t>
      </w:r>
    </w:p>
    <w:p w14:paraId="56E36794" w14:textId="3687F00F" w:rsidR="009E56E3" w:rsidRPr="001B5A8F" w:rsidRDefault="009E56E3" w:rsidP="009E56E3">
      <w:pPr>
        <w:pStyle w:val="bullettedlist"/>
      </w:pPr>
      <w:r>
        <w:t>working with the Government to create</w:t>
      </w:r>
      <w:r w:rsidRPr="001B5A8F">
        <w:t xml:space="preserve"> a </w:t>
      </w:r>
      <w:r w:rsidRPr="001B5A8F">
        <w:rPr>
          <w:i/>
          <w:iCs/>
        </w:rPr>
        <w:t>National Strategy</w:t>
      </w:r>
      <w:r w:rsidRPr="001B5A8F">
        <w:t xml:space="preserve"> </w:t>
      </w:r>
      <w:r w:rsidRPr="001B5A8F">
        <w:rPr>
          <w:i/>
          <w:iCs/>
        </w:rPr>
        <w:t>for Disability Inclusion in Tertiary Education</w:t>
      </w:r>
      <w:r w:rsidRPr="001B5A8F">
        <w:t xml:space="preserve"> which guides and informs all future work in this area. Aligned with the National Disability Strategy and underpinned by the </w:t>
      </w:r>
      <w:r w:rsidRPr="001B5A8F">
        <w:rPr>
          <w:i/>
          <w:iCs/>
        </w:rPr>
        <w:t>UN Convention on the Rights of Persons with Disabilities</w:t>
      </w:r>
      <w:r w:rsidRPr="001B5A8F">
        <w:t xml:space="preserve"> and the </w:t>
      </w:r>
      <w:r w:rsidRPr="001B5A8F">
        <w:rPr>
          <w:i/>
          <w:iCs/>
        </w:rPr>
        <w:t>Disability Discrimination Act 1992</w:t>
      </w:r>
      <w:r w:rsidRPr="001B5A8F">
        <w:t xml:space="preserve">. </w:t>
      </w:r>
      <w:bookmarkStart w:id="110" w:name="_Key_statistics"/>
      <w:bookmarkEnd w:id="110"/>
    </w:p>
    <w:p w14:paraId="0F9D6988" w14:textId="77777777" w:rsidR="009E2B83" w:rsidRPr="00F357DC" w:rsidRDefault="009E2B83" w:rsidP="00F357DC">
      <w:pPr>
        <w:pStyle w:val="bullettedlist"/>
      </w:pPr>
      <w:r w:rsidRPr="00F357DC">
        <w:t>engaging in useful dialogue with government agencies and peak bodies to champion the rights of people with disability in the tertiary education sector</w:t>
      </w:r>
    </w:p>
    <w:p w14:paraId="24E63AEF" w14:textId="77777777" w:rsidR="009E2B83" w:rsidRPr="00F357DC" w:rsidRDefault="009E2B83" w:rsidP="00F357DC">
      <w:pPr>
        <w:pStyle w:val="bullettedlist"/>
      </w:pPr>
      <w:r w:rsidRPr="00F357DC">
        <w:t xml:space="preserve">monitoring current and emerging issues at local national and international levels </w:t>
      </w:r>
    </w:p>
    <w:p w14:paraId="2F6FA2F7" w14:textId="77777777" w:rsidR="009E2B83" w:rsidRPr="00F357DC" w:rsidRDefault="009E2B83" w:rsidP="00F357DC">
      <w:pPr>
        <w:pStyle w:val="bullettedlist"/>
      </w:pPr>
      <w:r w:rsidRPr="00F357DC">
        <w:t>supporting tertiary institutions to meet their responsibilities under the relevant legislation such as the Disability Discrimination Act, the Disability Standards for Education, Premises Standards 2010, Web Content Accessibility Guidelines (WCAG) and other relevant legislation and standards.</w:t>
      </w:r>
    </w:p>
    <w:p w14:paraId="68CBA3C9" w14:textId="77777777" w:rsidR="009E2B83" w:rsidRPr="00F357DC" w:rsidRDefault="009E2B83" w:rsidP="00F357DC">
      <w:pPr>
        <w:pStyle w:val="bullettedlist"/>
      </w:pPr>
      <w:r w:rsidRPr="00F357DC">
        <w:t xml:space="preserve">providing systemic advocacy on the rights of people with disability in the tertiary education sector </w:t>
      </w:r>
    </w:p>
    <w:p w14:paraId="67574FDA" w14:textId="77777777" w:rsidR="009E2B83" w:rsidRPr="00F357DC" w:rsidRDefault="009E2B83" w:rsidP="00F357DC">
      <w:pPr>
        <w:pStyle w:val="bullettedlist"/>
      </w:pPr>
      <w:r w:rsidRPr="00F357DC">
        <w:t xml:space="preserve">providing professional development around disability rights including working with Federal and State human rights commissions and drawing on specialist staff such as legal practitioners for stakeholders to engage with. </w:t>
      </w:r>
    </w:p>
    <w:p w14:paraId="1B9F4560" w14:textId="77777777" w:rsidR="009E2B83" w:rsidRPr="001B5A8F" w:rsidRDefault="009E2B83" w:rsidP="009E2B83">
      <w:pPr>
        <w:pStyle w:val="Heading3"/>
      </w:pPr>
      <w:bookmarkStart w:id="111" w:name="_Toc132101705"/>
      <w:bookmarkStart w:id="112" w:name="_Toc132124228"/>
      <w:bookmarkStart w:id="113" w:name="_Toc132124813"/>
      <w:bookmarkStart w:id="114" w:name="_Toc132124902"/>
      <w:bookmarkStart w:id="115" w:name="_Toc132124950"/>
      <w:bookmarkStart w:id="116" w:name="_Toc132124987"/>
      <w:bookmarkStart w:id="117" w:name="_Toc132139909"/>
      <w:r w:rsidRPr="001B5A8F">
        <w:lastRenderedPageBreak/>
        <w:t>Engagement</w:t>
      </w:r>
      <w:bookmarkEnd w:id="111"/>
      <w:bookmarkEnd w:id="112"/>
      <w:bookmarkEnd w:id="113"/>
      <w:bookmarkEnd w:id="114"/>
      <w:bookmarkEnd w:id="115"/>
      <w:bookmarkEnd w:id="116"/>
      <w:bookmarkEnd w:id="117"/>
    </w:p>
    <w:p w14:paraId="48352BEC" w14:textId="77777777" w:rsidR="009E2B83" w:rsidRPr="001B5A8F" w:rsidRDefault="009E2B83" w:rsidP="009E2B83">
      <w:r w:rsidRPr="001B5A8F">
        <w:t>ADCET provides deep and authentic engagement with the sector by strengthening and developing key partnerships to address sectoral and inter-sectoral issues which impact people with disability in tertiary education. This would include:</w:t>
      </w:r>
    </w:p>
    <w:p w14:paraId="3AE2D17B" w14:textId="77777777" w:rsidR="009E2B83" w:rsidRPr="00F357DC" w:rsidRDefault="009E2B83" w:rsidP="00F357DC">
      <w:pPr>
        <w:pStyle w:val="bullettedlist"/>
      </w:pPr>
      <w:r w:rsidRPr="00F357DC">
        <w:t xml:space="preserve">place-based and context-based activity which recognises intersectionality, demographic and geographic contexts which can create barriers to participation in tertiary education and employment. ADCET would facilitate projects which have local application and national impact. Projects would be trialled, implemented, evaluated and monitored (TIEM) and shared with the sector as appropriate. </w:t>
      </w:r>
    </w:p>
    <w:p w14:paraId="2A8B1FDF" w14:textId="0B9DE0EE" w:rsidR="009E2B83" w:rsidRPr="00F357DC" w:rsidRDefault="009E2B83" w:rsidP="00F357DC">
      <w:pPr>
        <w:pStyle w:val="bullettedlist"/>
      </w:pPr>
      <w:r w:rsidRPr="00F357DC">
        <w:t xml:space="preserve">collaborating with stakeholders through a framework of advisory committees, communities of practice and online forums (e.g., </w:t>
      </w:r>
      <w:hyperlink r:id="rId62" w:history="1">
        <w:r w:rsidRPr="00F357DC">
          <w:rPr>
            <w:rStyle w:val="Hyperlink"/>
          </w:rPr>
          <w:t>AUSTED</w:t>
        </w:r>
      </w:hyperlink>
      <w:r w:rsidRPr="00F357DC">
        <w:t>) to support co-designed, scalable solutions to improve outcomes for people with disability</w:t>
      </w:r>
    </w:p>
    <w:p w14:paraId="36526CBA" w14:textId="77777777" w:rsidR="009E2B83" w:rsidRPr="00F357DC" w:rsidRDefault="009E2B83" w:rsidP="00F357DC">
      <w:pPr>
        <w:pStyle w:val="bullettedlist"/>
      </w:pPr>
      <w:r w:rsidRPr="00F357DC">
        <w:t xml:space="preserve">promoting the transfer of knowledge and ongoing professional development through multiple communication channels, web-based resources (e.g., ADCET), and e-learning programs. This includes the </w:t>
      </w:r>
      <w:hyperlink r:id="rId63">
        <w:r w:rsidRPr="00F357DC">
          <w:rPr>
            <w:rStyle w:val="Hyperlink"/>
          </w:rPr>
          <w:t>Disability Awareness</w:t>
        </w:r>
        <w:r w:rsidRPr="00F357DC">
          <w:rPr>
            <w:rStyle w:val="Hyperlink"/>
            <w:color w:val="auto"/>
            <w:u w:val="none"/>
          </w:rPr>
          <w:t xml:space="preserve"> Training</w:t>
        </w:r>
      </w:hyperlink>
      <w:r w:rsidRPr="00F357DC">
        <w:t xml:space="preserve"> website providing tailored disability awareness modules for VET and Higher Education practitioners, Universal Design for Learning modules for educators, and online learning for Blind and Vision-impaired students</w:t>
      </w:r>
    </w:p>
    <w:p w14:paraId="1321F6B0" w14:textId="77777777" w:rsidR="009E2B83" w:rsidRPr="00F357DC" w:rsidRDefault="009E2B83" w:rsidP="00F357DC">
      <w:pPr>
        <w:pStyle w:val="bullettedlist"/>
      </w:pPr>
      <w:r w:rsidRPr="00F357DC">
        <w:t>building efficiency across the tertiary sector by providing a crucial point for advocacy, knowledge, training and collaboration on the topic of disability in tertiary education</w:t>
      </w:r>
    </w:p>
    <w:p w14:paraId="19016C9F" w14:textId="77777777" w:rsidR="009E2B83" w:rsidRPr="00F357DC" w:rsidRDefault="009E2B83" w:rsidP="00F357DC">
      <w:pPr>
        <w:pStyle w:val="bullettedlist"/>
      </w:pPr>
      <w:r w:rsidRPr="00F357DC">
        <w:t>developing a nexus between good practice and research which supports and advances education and employment opportunities for people with disability.</w:t>
      </w:r>
    </w:p>
    <w:p w14:paraId="66B0C974" w14:textId="77777777" w:rsidR="009E2B83" w:rsidRPr="001B5A8F" w:rsidRDefault="009E2B83" w:rsidP="009E2B83">
      <w:pPr>
        <w:pStyle w:val="Heading3"/>
      </w:pPr>
      <w:bookmarkStart w:id="118" w:name="_Toc132101706"/>
      <w:bookmarkStart w:id="119" w:name="_Toc132124229"/>
      <w:bookmarkStart w:id="120" w:name="_Toc132124814"/>
      <w:bookmarkStart w:id="121" w:name="_Toc132124903"/>
      <w:bookmarkStart w:id="122" w:name="_Toc132124951"/>
      <w:bookmarkStart w:id="123" w:name="_Toc132124988"/>
      <w:bookmarkStart w:id="124" w:name="_Toc132139910"/>
      <w:r w:rsidRPr="001B5A8F">
        <w:t>Universal Design and inclusive practice</w:t>
      </w:r>
      <w:bookmarkEnd w:id="118"/>
      <w:bookmarkEnd w:id="119"/>
      <w:bookmarkEnd w:id="120"/>
      <w:bookmarkEnd w:id="121"/>
      <w:bookmarkEnd w:id="122"/>
      <w:bookmarkEnd w:id="123"/>
      <w:bookmarkEnd w:id="124"/>
    </w:p>
    <w:p w14:paraId="272D621A" w14:textId="3D66066B" w:rsidR="009E2B83" w:rsidRPr="001B5A8F" w:rsidRDefault="009E2B83" w:rsidP="009E2B83">
      <w:r w:rsidRPr="001B5A8F">
        <w:t xml:space="preserve">The ADCET will be a central resource for Universal Design </w:t>
      </w:r>
      <w:r w:rsidR="00E436A4">
        <w:t xml:space="preserve">for Learning (UDL) </w:t>
      </w:r>
      <w:r w:rsidRPr="001B5A8F">
        <w:t>and inclusive practice by building and promoting expertise in and knowledge of Universal Design principles across the student experience including:</w:t>
      </w:r>
    </w:p>
    <w:p w14:paraId="131935B2" w14:textId="3FA3CF90" w:rsidR="009E2B83" w:rsidRPr="00F357DC" w:rsidRDefault="009E2B83" w:rsidP="00822183">
      <w:pPr>
        <w:pStyle w:val="bullettedlist"/>
      </w:pPr>
      <w:r w:rsidRPr="00F357DC">
        <w:t xml:space="preserve">promoting </w:t>
      </w:r>
      <w:hyperlink r:id="rId64" w:history="1">
        <w:r w:rsidR="00E436A4">
          <w:t>UDL</w:t>
        </w:r>
        <w:r w:rsidRPr="00F357DC">
          <w:t xml:space="preserve"> training</w:t>
        </w:r>
      </w:hyperlink>
      <w:r w:rsidRPr="00F357DC">
        <w:t>, resources and coaching for tertiary providers to build their capacity to implement Universal Design for Learning at their institution including through inclusive learning practice and embedded UDL within courseware.</w:t>
      </w:r>
    </w:p>
    <w:p w14:paraId="492DB49F" w14:textId="745B390C" w:rsidR="009E2B83" w:rsidRPr="00822183" w:rsidRDefault="009E2B83" w:rsidP="00822183">
      <w:pPr>
        <w:pStyle w:val="bullettedlist"/>
      </w:pPr>
      <w:r w:rsidRPr="00822183">
        <w:t xml:space="preserve">providing expertise in </w:t>
      </w:r>
      <w:hyperlink r:id="rId65" w:history="1">
        <w:r w:rsidRPr="00822183">
          <w:t>assistive technology</w:t>
        </w:r>
      </w:hyperlink>
      <w:r w:rsidRPr="00822183">
        <w:t xml:space="preserve"> </w:t>
      </w:r>
      <w:r w:rsidR="00EB5CD9">
        <w:t xml:space="preserve">and digital accessibility </w:t>
      </w:r>
      <w:r w:rsidRPr="00822183">
        <w:t xml:space="preserve">to the sector and to students relating to the uptake of inclusive and accessible technologies (including a Community of Practice and one-on-one support) </w:t>
      </w:r>
    </w:p>
    <w:p w14:paraId="7977121F" w14:textId="77777777" w:rsidR="009E2B83" w:rsidRPr="00822183" w:rsidRDefault="009E2B83" w:rsidP="00822183">
      <w:pPr>
        <w:pStyle w:val="bullettedlist"/>
      </w:pPr>
      <w:r w:rsidRPr="00822183">
        <w:t xml:space="preserve">developing guidelines and resources to support Universal Design for built environments as part of compliance and best practice in relation to campus-based building standards for people with disability </w:t>
      </w:r>
    </w:p>
    <w:p w14:paraId="67FF31B6" w14:textId="77777777" w:rsidR="009E2B83" w:rsidRPr="00822183" w:rsidRDefault="009E2B83" w:rsidP="00822183">
      <w:pPr>
        <w:pStyle w:val="bullettedlist"/>
      </w:pPr>
      <w:r w:rsidRPr="00822183">
        <w:t xml:space="preserve">promoting and supporting implementation of guidelines for ICT accessible procurement </w:t>
      </w:r>
    </w:p>
    <w:p w14:paraId="4422F619" w14:textId="77777777" w:rsidR="009E2B83" w:rsidRPr="00822183" w:rsidRDefault="009E2B83" w:rsidP="00822183">
      <w:pPr>
        <w:pStyle w:val="bullettedlist"/>
      </w:pPr>
      <w:r w:rsidRPr="00822183">
        <w:t xml:space="preserve">coordinating good practice in </w:t>
      </w:r>
      <w:hyperlink r:id="rId66">
        <w:r w:rsidRPr="00822183">
          <w:t>graduate employment</w:t>
        </w:r>
      </w:hyperlink>
      <w:r w:rsidRPr="00822183">
        <w:t xml:space="preserve"> for people with disability </w:t>
      </w:r>
    </w:p>
    <w:p w14:paraId="0C47F4E7" w14:textId="77777777" w:rsidR="009E2B83" w:rsidRPr="00822183" w:rsidRDefault="009E2B83" w:rsidP="00822183">
      <w:pPr>
        <w:pStyle w:val="bullettedlist"/>
      </w:pPr>
      <w:r w:rsidRPr="00822183">
        <w:t xml:space="preserve">promoting </w:t>
      </w:r>
      <w:hyperlink r:id="rId67" w:history="1">
        <w:r w:rsidRPr="00822183">
          <w:t>student-focused</w:t>
        </w:r>
      </w:hyperlink>
      <w:r w:rsidRPr="00822183">
        <w:t xml:space="preserve"> materials and resources to assist students to transition successfully to tertiary study through career planning resources</w:t>
      </w:r>
    </w:p>
    <w:p w14:paraId="3F8AF0E6" w14:textId="77777777" w:rsidR="009E2B83" w:rsidRPr="00822183" w:rsidRDefault="009E2B83" w:rsidP="00822183">
      <w:pPr>
        <w:pStyle w:val="bullettedlist"/>
      </w:pPr>
      <w:r w:rsidRPr="00822183">
        <w:lastRenderedPageBreak/>
        <w:t xml:space="preserve">providing comprehensive resources for </w:t>
      </w:r>
      <w:hyperlink r:id="rId68">
        <w:r w:rsidRPr="00822183">
          <w:t>disability practitioners</w:t>
        </w:r>
      </w:hyperlink>
      <w:r w:rsidRPr="00822183">
        <w:t xml:space="preserve"> to support their knowledge, skills and professional development.</w:t>
      </w:r>
    </w:p>
    <w:p w14:paraId="50487D1F" w14:textId="77777777" w:rsidR="009E2B83" w:rsidRPr="00822183" w:rsidRDefault="009E2B83" w:rsidP="00822183">
      <w:pPr>
        <w:pStyle w:val="bullettedlist"/>
      </w:pPr>
      <w:r w:rsidRPr="00822183">
        <w:t>collaborating with schools, tertiary institutions and students with disability to design processes that would address systemic barriers to participation and enable better transitions to tertiary education.</w:t>
      </w:r>
    </w:p>
    <w:p w14:paraId="07F4F8BD" w14:textId="77777777" w:rsidR="009E2B83" w:rsidRPr="001B5A8F" w:rsidRDefault="009E2B83" w:rsidP="009E2B83">
      <w:pPr>
        <w:pStyle w:val="Heading3"/>
      </w:pPr>
      <w:bookmarkStart w:id="125" w:name="_Toc132101707"/>
      <w:bookmarkStart w:id="126" w:name="_Toc132124230"/>
      <w:bookmarkStart w:id="127" w:name="_Toc132124815"/>
      <w:bookmarkStart w:id="128" w:name="_Toc132124904"/>
      <w:bookmarkStart w:id="129" w:name="_Toc132124952"/>
      <w:bookmarkStart w:id="130" w:name="_Toc132124989"/>
      <w:bookmarkStart w:id="131" w:name="_Toc132139911"/>
      <w:r w:rsidRPr="001B5A8F">
        <w:t>Good practice leadership</w:t>
      </w:r>
      <w:bookmarkEnd w:id="125"/>
      <w:bookmarkEnd w:id="126"/>
      <w:bookmarkEnd w:id="127"/>
      <w:bookmarkEnd w:id="128"/>
      <w:bookmarkEnd w:id="129"/>
      <w:bookmarkEnd w:id="130"/>
      <w:bookmarkEnd w:id="131"/>
    </w:p>
    <w:p w14:paraId="5BF72268" w14:textId="77777777" w:rsidR="009E2B83" w:rsidRPr="001B5A8F" w:rsidRDefault="009E2B83" w:rsidP="009E2B83">
      <w:r w:rsidRPr="001B5A8F">
        <w:t>Promote good practice and research which advances access and inclusion for people with disability in tertiary education by:</w:t>
      </w:r>
    </w:p>
    <w:p w14:paraId="32EFCF04" w14:textId="77777777" w:rsidR="009E2B83" w:rsidRPr="00822183" w:rsidRDefault="009E2B83" w:rsidP="00822183">
      <w:pPr>
        <w:pStyle w:val="bullettedlist"/>
      </w:pPr>
      <w:r w:rsidRPr="00822183">
        <w:t>collaborating with practitioners, educators, researchers and people with disability to set the agenda for the priorities within research and best practice collaborating with other stakeholders such as the National Centre for Student Equity in Higher Education and the National Disability Research Partnership</w:t>
      </w:r>
    </w:p>
    <w:p w14:paraId="34E5A120" w14:textId="77777777" w:rsidR="009E2B83" w:rsidRPr="00822183" w:rsidRDefault="009E2B83" w:rsidP="00822183">
      <w:pPr>
        <w:pStyle w:val="bullettedlist"/>
      </w:pPr>
      <w:r w:rsidRPr="00822183">
        <w:t>collaborating with practitioners, educators, researchers and people with disability to develop and co-design resources which contribute to learning</w:t>
      </w:r>
    </w:p>
    <w:p w14:paraId="686305D7" w14:textId="77777777" w:rsidR="009E2B83" w:rsidRPr="00822183" w:rsidRDefault="009E2B83" w:rsidP="00822183">
      <w:pPr>
        <w:pStyle w:val="bullettedlist"/>
      </w:pPr>
      <w:r w:rsidRPr="00822183">
        <w:t>showcasing best practice and research at national and international levels from across the tertiary education and graduate employment sectors</w:t>
      </w:r>
    </w:p>
    <w:p w14:paraId="39E3F24E" w14:textId="77777777" w:rsidR="009E2B83" w:rsidRPr="00822183" w:rsidRDefault="009E2B83" w:rsidP="00822183">
      <w:pPr>
        <w:pStyle w:val="bullettedlist"/>
      </w:pPr>
      <w:r w:rsidRPr="00822183">
        <w:t>working with key data sources such as Nationally Consistent Collection of Data on Students with Disability (NCCD), National Centre for Vocational Education Research (NCVER), National Centre for Student Equity in Higher Education (NCSEHE), and Australian Bureau of Statistics (ABS) to support benchmarking and good practice</w:t>
      </w:r>
    </w:p>
    <w:p w14:paraId="78D37512" w14:textId="77777777" w:rsidR="009E2B83" w:rsidRPr="00F357DC" w:rsidRDefault="009E2B83" w:rsidP="00822183">
      <w:pPr>
        <w:pStyle w:val="bullettedlist"/>
      </w:pPr>
      <w:r w:rsidRPr="00822183">
        <w:t>promoting research and good practice that is necessary to the creation and development of</w:t>
      </w:r>
      <w:r w:rsidRPr="00F357DC">
        <w:t xml:space="preserve"> inclusive learning environments and inclusive workplaces.</w:t>
      </w:r>
    </w:p>
    <w:p w14:paraId="633F3277" w14:textId="48FD4DCD" w:rsidR="009E2B83" w:rsidRPr="001B5A8F" w:rsidRDefault="00FD230E" w:rsidP="009E2B83">
      <w:pPr>
        <w:pStyle w:val="Heading1"/>
        <w:rPr>
          <w:color w:val="595959" w:themeColor="text1" w:themeTint="A6"/>
          <w:sz w:val="26"/>
          <w:szCs w:val="26"/>
        </w:rPr>
      </w:pPr>
      <w:bookmarkStart w:id="132" w:name="_Toc132101708"/>
      <w:bookmarkStart w:id="133" w:name="_Toc132124231"/>
      <w:bookmarkStart w:id="134" w:name="_Toc132124816"/>
      <w:bookmarkStart w:id="135" w:name="_Toc132124905"/>
      <w:bookmarkStart w:id="136" w:name="_Toc132124953"/>
      <w:bookmarkStart w:id="137" w:name="_Toc132124990"/>
      <w:bookmarkStart w:id="138" w:name="_Toc132139912"/>
      <w:bookmarkStart w:id="139" w:name="_Toc132139966"/>
      <w:r w:rsidRPr="00AF2EA3">
        <w:t>Hosting and f</w:t>
      </w:r>
      <w:r w:rsidR="009E2B83" w:rsidRPr="00AF2EA3">
        <w:t>unding arrangements</w:t>
      </w:r>
      <w:bookmarkEnd w:id="132"/>
      <w:bookmarkEnd w:id="133"/>
      <w:bookmarkEnd w:id="134"/>
      <w:bookmarkEnd w:id="135"/>
      <w:bookmarkEnd w:id="136"/>
      <w:bookmarkEnd w:id="137"/>
      <w:bookmarkEnd w:id="138"/>
      <w:bookmarkEnd w:id="139"/>
    </w:p>
    <w:p w14:paraId="68FF6DE9" w14:textId="07AE5CE4" w:rsidR="00E61876" w:rsidRDefault="009E2B83" w:rsidP="009E2B83">
      <w:r w:rsidRPr="001B5A8F">
        <w:t>One possible means of facilitating the expansion of ADCET is a merger of existing funding</w:t>
      </w:r>
      <w:r w:rsidR="00E61876">
        <w:t xml:space="preserve"> from the </w:t>
      </w:r>
      <w:r w:rsidR="00E61876" w:rsidRPr="001B5A8F">
        <w:rPr>
          <w:i/>
          <w:iCs/>
        </w:rPr>
        <w:t>Higher Education Disability Support Fund</w:t>
      </w:r>
      <w:r w:rsidR="00E61876" w:rsidRPr="001B5A8F">
        <w:t xml:space="preserve"> (which funds ADCET) and the NDCO program, </w:t>
      </w:r>
      <w:r w:rsidRPr="001B5A8F">
        <w:t xml:space="preserve">to provide a centralised and coordinated response to national issues underpinned by a knowledge and resource centre. </w:t>
      </w:r>
    </w:p>
    <w:p w14:paraId="6C770E9C" w14:textId="77777777" w:rsidR="00E61876" w:rsidRDefault="00E61876" w:rsidP="009E2B83"/>
    <w:p w14:paraId="516951F2" w14:textId="30B42BEF" w:rsidR="009E2B83" w:rsidRPr="001B5A8F" w:rsidRDefault="009E2B83" w:rsidP="009E2B83">
      <w:r w:rsidRPr="001B5A8F">
        <w:t xml:space="preserve">ADCET has been hosted by the University of Tasmania (UTAS) for almost 20 years. During this time ADCET has become known across the sector as a reputable, reliable and up-to-date source of information for practitioners and increasingly, students. The University of Tasmania also hosts two NDCO regions and holds a strong track record of delivering quality projects on time relating to grants from the Department of Education. </w:t>
      </w:r>
    </w:p>
    <w:p w14:paraId="4EEA1637" w14:textId="77777777" w:rsidR="00003B4A" w:rsidRPr="001B5A8F" w:rsidRDefault="00003B4A" w:rsidP="009E2B83"/>
    <w:p w14:paraId="5079A13B" w14:textId="269297B8" w:rsidR="009E2B83" w:rsidRPr="001B5A8F" w:rsidRDefault="009E2B83" w:rsidP="009E2B83">
      <w:r w:rsidRPr="001B5A8F">
        <w:t>ADCET has strong collaborative partnerships with</w:t>
      </w:r>
      <w:r w:rsidR="0083523A" w:rsidRPr="001B5A8F">
        <w:t xml:space="preserve"> a</w:t>
      </w:r>
      <w:r w:rsidRPr="001B5A8F">
        <w:t xml:space="preserve"> wide range of organisations. This includes a wide number of Australia’s universities and TAFEs, Registered Training Organisations (RTOs), and non-profit disability organisations. Partnerships where there is a shared focus on advancing people with disability and those support staff, students and community include the National Disability Coordination Officer (NDCO), Australian Tertiary Education Network on Disability (ATEND), the Equity Practitioners in Higher </w:t>
      </w:r>
      <w:r w:rsidRPr="001B5A8F">
        <w:lastRenderedPageBreak/>
        <w:t>Education Australasia (EPHEA), the National Centre for Student Equity in Higher Education (NCSEHE), the National Centre for Vocational and Educational Research (NCVER), Office of Disability Issues (ODI) New Zealand, and AHEAD (Association of Higher Education and Disability) in Ireland and the USA.</w:t>
      </w:r>
    </w:p>
    <w:p w14:paraId="6065323B" w14:textId="77777777" w:rsidR="00003B4A" w:rsidRPr="001B5A8F" w:rsidRDefault="00003B4A" w:rsidP="009E2B83"/>
    <w:p w14:paraId="4636129C" w14:textId="74848424" w:rsidR="009E2B83" w:rsidRPr="001B5A8F" w:rsidRDefault="009E2B83" w:rsidP="009E2B83">
      <w:pPr>
        <w:rPr>
          <w:b/>
          <w:bCs/>
        </w:rPr>
      </w:pPr>
      <w:r w:rsidRPr="001B5A8F">
        <w:t>The strong positioning of ADCET within the sector and the community means it is well-placed to continue and expand strategic and high-quality work across Australia in an efficient and timely manner.</w:t>
      </w:r>
      <w:r w:rsidR="00E8190A">
        <w:t xml:space="preserve"> </w:t>
      </w:r>
      <w:r w:rsidRPr="001B5A8F">
        <w:rPr>
          <w:b/>
          <w:bCs/>
        </w:rPr>
        <w:t>Early discussions with UTAS indicate they would be open to ongoing hosting arrangements in place.</w:t>
      </w:r>
    </w:p>
    <w:p w14:paraId="2374B634" w14:textId="77777777" w:rsidR="009E2B83" w:rsidRPr="001B5A8F" w:rsidRDefault="009E2B83" w:rsidP="009E2B83">
      <w:pPr>
        <w:pStyle w:val="Heading1"/>
      </w:pPr>
      <w:bookmarkStart w:id="140" w:name="_Strategy_for_NDITE"/>
      <w:bookmarkStart w:id="141" w:name="_Toc132101710"/>
      <w:bookmarkStart w:id="142" w:name="_Toc132124233"/>
      <w:bookmarkStart w:id="143" w:name="_Toc132124818"/>
      <w:bookmarkStart w:id="144" w:name="_Toc132124907"/>
      <w:bookmarkStart w:id="145" w:name="_Toc132124955"/>
      <w:bookmarkStart w:id="146" w:name="_Toc132124992"/>
      <w:bookmarkStart w:id="147" w:name="_Toc132139913"/>
      <w:bookmarkStart w:id="148" w:name="_Toc132139967"/>
      <w:bookmarkEnd w:id="140"/>
      <w:r w:rsidRPr="001B5A8F">
        <w:t>Proposed structure</w:t>
      </w:r>
      <w:bookmarkEnd w:id="141"/>
      <w:bookmarkEnd w:id="142"/>
      <w:bookmarkEnd w:id="143"/>
      <w:bookmarkEnd w:id="144"/>
      <w:bookmarkEnd w:id="145"/>
      <w:bookmarkEnd w:id="146"/>
      <w:bookmarkEnd w:id="147"/>
      <w:bookmarkEnd w:id="148"/>
    </w:p>
    <w:p w14:paraId="4F7E9FF6" w14:textId="65A35EDF" w:rsidR="009E2B83" w:rsidRPr="001B5A8F" w:rsidRDefault="009E2B83" w:rsidP="009E2B83">
      <w:r w:rsidRPr="001B5A8F">
        <w:t xml:space="preserve">To ensure the four pillars are appropriately </w:t>
      </w:r>
      <w:r w:rsidR="0083523A" w:rsidRPr="001B5A8F">
        <w:t>put</w:t>
      </w:r>
      <w:r w:rsidRPr="001B5A8F">
        <w:t xml:space="preserve"> into practice, the proposed structure </w:t>
      </w:r>
      <w:r w:rsidR="007C3C0D">
        <w:t>w</w:t>
      </w:r>
      <w:r w:rsidRPr="001B5A8F">
        <w:t xml:space="preserve">ould have three central portfolios – Education and Training, Projects and Evaluation and Policy – which work in an integrated and strategic way. Each </w:t>
      </w:r>
      <w:r w:rsidR="00D86A11">
        <w:t>p</w:t>
      </w:r>
      <w:r w:rsidRPr="001B5A8F">
        <w:t xml:space="preserve">ortfolio would be overseen by a manager who has oversight for the key projects and activities within that portfolio. </w:t>
      </w:r>
    </w:p>
    <w:p w14:paraId="76388E71" w14:textId="77777777" w:rsidR="00A24688" w:rsidRPr="001B5A8F" w:rsidRDefault="00A24688" w:rsidP="009E2B83"/>
    <w:p w14:paraId="47CB8D9D" w14:textId="77777777" w:rsidR="009E2B83" w:rsidRPr="001B5A8F" w:rsidRDefault="009E2B83" w:rsidP="009E2B83">
      <w:r w:rsidRPr="001B5A8F">
        <w:t xml:space="preserve">The ADCET Program would have a Director with responsibility for the strategic approach for the Program reporting regularly to the Department of Education, the host provider, and the Advisory Committee. </w:t>
      </w:r>
    </w:p>
    <w:p w14:paraId="0BFE51DB" w14:textId="77777777" w:rsidR="00A24688" w:rsidRPr="001B5A8F" w:rsidRDefault="00A24688" w:rsidP="009E2B83"/>
    <w:p w14:paraId="6704936E" w14:textId="3F1DD5A9" w:rsidR="009E2B83" w:rsidRDefault="009E2B83" w:rsidP="009E2B83">
      <w:r w:rsidRPr="001B5A8F">
        <w:t xml:space="preserve">A Business Services area would have responsibility for administrative (human and physical resources, finance </w:t>
      </w:r>
      <w:r w:rsidR="006D1510" w:rsidRPr="001B5A8F">
        <w:t>etc.</w:t>
      </w:r>
      <w:r w:rsidRPr="001B5A8F">
        <w:t>), technical elements (web management and implementation), and marketing and communications to underpin the work of the three portfolios and provide comprehensive communications to stakeholders.</w:t>
      </w:r>
    </w:p>
    <w:p w14:paraId="68A1921E" w14:textId="77777777" w:rsidR="00D86A11" w:rsidRPr="001B5A8F" w:rsidRDefault="00D86A11" w:rsidP="009E2B83"/>
    <w:p w14:paraId="3598C32B" w14:textId="77777777" w:rsidR="009E2B83" w:rsidRPr="001B5A8F" w:rsidRDefault="009E2B83" w:rsidP="009E2B83">
      <w:r w:rsidRPr="001B5A8F">
        <w:t>The three portfolios are as follows:</w:t>
      </w:r>
    </w:p>
    <w:p w14:paraId="40842B27" w14:textId="77777777" w:rsidR="009E2B83" w:rsidRPr="001B5A8F" w:rsidRDefault="009E2B83" w:rsidP="009E2B83">
      <w:pPr>
        <w:pStyle w:val="Heading3"/>
      </w:pPr>
      <w:bookmarkStart w:id="149" w:name="_Toc132101711"/>
      <w:bookmarkStart w:id="150" w:name="_Toc132124234"/>
      <w:bookmarkStart w:id="151" w:name="_Toc132124819"/>
      <w:bookmarkStart w:id="152" w:name="_Toc132124908"/>
      <w:bookmarkStart w:id="153" w:name="_Toc132124956"/>
      <w:bookmarkStart w:id="154" w:name="_Toc132124993"/>
      <w:bookmarkStart w:id="155" w:name="_Toc132139914"/>
      <w:r w:rsidRPr="001B5A8F">
        <w:t>Education and Training portfolio:</w:t>
      </w:r>
      <w:bookmarkEnd w:id="149"/>
      <w:bookmarkEnd w:id="150"/>
      <w:bookmarkEnd w:id="151"/>
      <w:bookmarkEnd w:id="152"/>
      <w:bookmarkEnd w:id="153"/>
      <w:bookmarkEnd w:id="154"/>
      <w:bookmarkEnd w:id="155"/>
      <w:r w:rsidRPr="001B5A8F">
        <w:t xml:space="preserve"> </w:t>
      </w:r>
    </w:p>
    <w:p w14:paraId="7F1051FF" w14:textId="227C4A59" w:rsidR="00003B4A" w:rsidRPr="001B5A8F" w:rsidRDefault="00D86A11" w:rsidP="009E2B83">
      <w:r>
        <w:t>This portfolio w</w:t>
      </w:r>
      <w:r w:rsidR="009E2B83" w:rsidRPr="001B5A8F">
        <w:t xml:space="preserve">ould build on </w:t>
      </w:r>
      <w:r w:rsidR="00581A97">
        <w:t>ASCET’s</w:t>
      </w:r>
      <w:r w:rsidR="009E2B83" w:rsidRPr="001B5A8F">
        <w:t xml:space="preserve"> current repository of good practice and expand opportunities to raise awareness and build capacity within the Sector. ADCET is </w:t>
      </w:r>
      <w:r w:rsidR="00003B4A" w:rsidRPr="001B5A8F">
        <w:t>currently</w:t>
      </w:r>
      <w:r w:rsidR="009E2B83" w:rsidRPr="001B5A8F">
        <w:t xml:space="preserve"> legislated within the </w:t>
      </w:r>
      <w:r w:rsidR="009E2B83" w:rsidRPr="001B5A8F">
        <w:rPr>
          <w:i/>
        </w:rPr>
        <w:t>Higher Education Other Grants and Guidelines</w:t>
      </w:r>
      <w:r w:rsidR="009E2B83" w:rsidRPr="001B5A8F">
        <w:t xml:space="preserve"> for the purposes of Higher Education support, however, ADCET has developed content that is useful to the whole tertiary sector through special projects. </w:t>
      </w:r>
    </w:p>
    <w:p w14:paraId="245E3A9A" w14:textId="77777777" w:rsidR="00003B4A" w:rsidRPr="001B5A8F" w:rsidRDefault="00003B4A" w:rsidP="009E2B83"/>
    <w:p w14:paraId="06F6B4D8" w14:textId="12AE9F10" w:rsidR="009E2B83" w:rsidRPr="001B5A8F" w:rsidRDefault="009E2B83" w:rsidP="009E2B83">
      <w:r w:rsidRPr="001B5A8F">
        <w:t>Having ADCET as a critical element to the Education and Training portfolio will allow for expansion to create appropriate information, resources, and training opportunities to build capacity across VET and Higher Education. Some key examples include:</w:t>
      </w:r>
    </w:p>
    <w:p w14:paraId="41846F6D" w14:textId="77777777" w:rsidR="009E2B83" w:rsidRPr="00C47049" w:rsidRDefault="00000000" w:rsidP="00C47049">
      <w:pPr>
        <w:pStyle w:val="bullettedlist"/>
      </w:pPr>
      <w:hyperlink r:id="rId69" w:history="1">
        <w:r w:rsidR="009E2B83" w:rsidRPr="00C47049">
          <w:rPr>
            <w:rStyle w:val="Hyperlink"/>
          </w:rPr>
          <w:t>Inclusive Teaching resources</w:t>
        </w:r>
      </w:hyperlink>
      <w:r w:rsidR="009E2B83" w:rsidRPr="00C47049">
        <w:t xml:space="preserve"> including online eLearning in University Design for Learning (UDL)</w:t>
      </w:r>
    </w:p>
    <w:p w14:paraId="10B381D7" w14:textId="77777777" w:rsidR="009E2B83" w:rsidRPr="00C47049" w:rsidRDefault="00000000" w:rsidP="00C47049">
      <w:pPr>
        <w:pStyle w:val="bullettedlist"/>
        <w:rPr>
          <w:rStyle w:val="Hyperlink"/>
        </w:rPr>
      </w:pPr>
      <w:hyperlink r:id="rId70" w:history="1">
        <w:r w:rsidR="009E2B83" w:rsidRPr="00C47049">
          <w:rPr>
            <w:rStyle w:val="Hyperlink"/>
          </w:rPr>
          <w:t>Disability Awareness eLearning modules</w:t>
        </w:r>
      </w:hyperlink>
    </w:p>
    <w:p w14:paraId="5188D565" w14:textId="77777777" w:rsidR="009E2B83" w:rsidRPr="00C47049" w:rsidRDefault="00000000" w:rsidP="00C47049">
      <w:pPr>
        <w:pStyle w:val="bullettedlist"/>
        <w:rPr>
          <w:rStyle w:val="Hyperlink"/>
        </w:rPr>
      </w:pPr>
      <w:hyperlink r:id="rId71" w:history="1">
        <w:r w:rsidR="009E2B83" w:rsidRPr="00C47049">
          <w:rPr>
            <w:rStyle w:val="Hyperlink"/>
          </w:rPr>
          <w:t>ICT Procurement guidelines</w:t>
        </w:r>
      </w:hyperlink>
    </w:p>
    <w:p w14:paraId="096F57B1" w14:textId="77777777" w:rsidR="009E2B83" w:rsidRPr="00C47049" w:rsidRDefault="00000000" w:rsidP="00C47049">
      <w:pPr>
        <w:pStyle w:val="bullettedlist"/>
        <w:rPr>
          <w:rStyle w:val="Hyperlink"/>
        </w:rPr>
      </w:pPr>
      <w:hyperlink r:id="rId72" w:history="1">
        <w:r w:rsidR="009E2B83" w:rsidRPr="00C47049">
          <w:rPr>
            <w:rStyle w:val="Hyperlink"/>
          </w:rPr>
          <w:t>COVID-19 resources</w:t>
        </w:r>
      </w:hyperlink>
    </w:p>
    <w:p w14:paraId="0F83C62B" w14:textId="77777777" w:rsidR="009E2B83" w:rsidRPr="00C47049" w:rsidRDefault="009E2B83" w:rsidP="00C47049">
      <w:pPr>
        <w:pStyle w:val="bullettedlist"/>
      </w:pPr>
      <w:r w:rsidRPr="00C47049">
        <w:rPr>
          <w:rStyle w:val="Hyperlink"/>
        </w:rPr>
        <w:lastRenderedPageBreak/>
        <w:t>Guidelines for students</w:t>
      </w:r>
      <w:r w:rsidRPr="00C47049">
        <w:t xml:space="preserve"> e.g., for students who are </w:t>
      </w:r>
      <w:hyperlink r:id="rId73" w:history="1">
        <w:r w:rsidRPr="00C47049">
          <w:rPr>
            <w:rStyle w:val="Hyperlink"/>
            <w:color w:val="auto"/>
            <w:u w:val="none"/>
          </w:rPr>
          <w:t>blind or vision-impaired</w:t>
        </w:r>
      </w:hyperlink>
      <w:r w:rsidRPr="00C47049">
        <w:t xml:space="preserve">, or </w:t>
      </w:r>
      <w:hyperlink r:id="rId74" w:history="1">
        <w:r w:rsidRPr="00C47049">
          <w:rPr>
            <w:rStyle w:val="Hyperlink"/>
            <w:color w:val="auto"/>
            <w:u w:val="none"/>
          </w:rPr>
          <w:t>Deaf/hard of hearing</w:t>
        </w:r>
      </w:hyperlink>
    </w:p>
    <w:p w14:paraId="4D56212F" w14:textId="10D7AB72" w:rsidR="009E2B83" w:rsidRPr="00F357DC" w:rsidRDefault="00000000" w:rsidP="00C47049">
      <w:pPr>
        <w:pStyle w:val="bullettedlist"/>
        <w:rPr>
          <w:rStyle w:val="Hyperlink"/>
        </w:rPr>
      </w:pPr>
      <w:hyperlink r:id="rId75" w:history="1">
        <w:r w:rsidR="009E2B83" w:rsidRPr="00F357DC">
          <w:rPr>
            <w:rStyle w:val="Hyperlink"/>
          </w:rPr>
          <w:t>Planning for post-secondary study</w:t>
        </w:r>
      </w:hyperlink>
      <w:r w:rsidR="006D39E1">
        <w:rPr>
          <w:rStyle w:val="Hyperlink"/>
        </w:rPr>
        <w:t>.</w:t>
      </w:r>
    </w:p>
    <w:p w14:paraId="7C43DF70" w14:textId="77777777" w:rsidR="009E2B83" w:rsidRPr="001B5A8F" w:rsidRDefault="009E2B83" w:rsidP="009E2B83">
      <w:pPr>
        <w:pStyle w:val="Heading3"/>
      </w:pPr>
      <w:bookmarkStart w:id="156" w:name="_Toc132101712"/>
      <w:bookmarkStart w:id="157" w:name="_Toc132124235"/>
      <w:bookmarkStart w:id="158" w:name="_Toc132124820"/>
      <w:bookmarkStart w:id="159" w:name="_Toc132124909"/>
      <w:bookmarkStart w:id="160" w:name="_Toc132124957"/>
      <w:bookmarkStart w:id="161" w:name="_Toc132124994"/>
      <w:bookmarkStart w:id="162" w:name="_Toc132139915"/>
      <w:r w:rsidRPr="001B5A8F">
        <w:t>Project portfolio.</w:t>
      </w:r>
      <w:bookmarkEnd w:id="156"/>
      <w:bookmarkEnd w:id="157"/>
      <w:bookmarkEnd w:id="158"/>
      <w:bookmarkEnd w:id="159"/>
      <w:bookmarkEnd w:id="160"/>
      <w:bookmarkEnd w:id="161"/>
      <w:bookmarkEnd w:id="162"/>
      <w:r w:rsidRPr="001B5A8F">
        <w:t xml:space="preserve"> </w:t>
      </w:r>
    </w:p>
    <w:p w14:paraId="52DFC3F2" w14:textId="77777777" w:rsidR="009E2B83" w:rsidRPr="001B5A8F" w:rsidRDefault="009E2B83" w:rsidP="009E2B83">
      <w:r w:rsidRPr="001B5A8F">
        <w:t xml:space="preserve">This portfolio would absorb the work of NDCOs as three main project areas which mirror the student journey and reflect the student life stages outlined in the Student Equity in Higher Education Evaluation Framework (SEHEEF): </w:t>
      </w:r>
    </w:p>
    <w:p w14:paraId="6D6D0948" w14:textId="77777777" w:rsidR="009E2B83" w:rsidRPr="005A7AAF" w:rsidRDefault="009E2B83" w:rsidP="005A7AAF">
      <w:pPr>
        <w:pStyle w:val="bullettedlist"/>
      </w:pPr>
      <w:r w:rsidRPr="005A7AAF">
        <w:t xml:space="preserve">pre-access (outreach and transitions from school into tertiary education) </w:t>
      </w:r>
    </w:p>
    <w:p w14:paraId="0B09FE5A" w14:textId="77777777" w:rsidR="009E2B83" w:rsidRPr="005A7AAF" w:rsidRDefault="009E2B83" w:rsidP="005A7AAF">
      <w:pPr>
        <w:pStyle w:val="bullettedlist"/>
      </w:pPr>
      <w:r w:rsidRPr="005A7AAF">
        <w:t>access and participation (all aspects of participation within VET or Higher Education)</w:t>
      </w:r>
    </w:p>
    <w:p w14:paraId="196F8B74" w14:textId="77777777" w:rsidR="009E2B83" w:rsidRPr="005A7AAF" w:rsidRDefault="009E2B83" w:rsidP="005A7AAF">
      <w:pPr>
        <w:pStyle w:val="bullettedlist"/>
      </w:pPr>
      <w:r w:rsidRPr="005A7AAF">
        <w:t xml:space="preserve">attainment and transition out (graduate employment). </w:t>
      </w:r>
    </w:p>
    <w:p w14:paraId="6745A2ED" w14:textId="77777777" w:rsidR="009E2B83" w:rsidRPr="001B5A8F" w:rsidRDefault="009E2B83" w:rsidP="009E2B83"/>
    <w:p w14:paraId="5EFB39EF" w14:textId="77777777" w:rsidR="0064449D" w:rsidRDefault="009E2B83" w:rsidP="009E2B83">
      <w:r w:rsidRPr="001B5A8F">
        <w:t xml:space="preserve">Projects and activities across these three areas will aim to address the systemic issues and barriers for students with disability at these three key junctures. Projects would be developed based on known barriers, research and good practice. Project development, piloting and implementation would place-based and context-based working on issues and barriers at the local level which can be tested, evaluated and scaled to address systemic barriers at a national level. </w:t>
      </w:r>
    </w:p>
    <w:p w14:paraId="483110C2" w14:textId="77777777" w:rsidR="0064449D" w:rsidRDefault="0064449D" w:rsidP="009E2B83"/>
    <w:p w14:paraId="0899E40D" w14:textId="507A8DDE" w:rsidR="009E2B83" w:rsidRPr="001B5A8F" w:rsidRDefault="009E2B83" w:rsidP="009E2B83">
      <w:r w:rsidRPr="001B5A8F">
        <w:t>Projects would draw on the expertise of expert project advisory groups working in collaboration with partners and those with lived experience. All project deliverables would include robust evaluation (developed and monitored by the Evaluation and Policy team and drawing on relevant models such as SEHEEF). The outputs of activities from all projects would be filtered through to the Evaluation and Policy portfolio for advocacy with relevant stakeholders such as government and education providers. Any relevant resources that can further enhance practitioner and educator knowledge will be developed through the Education and Training portfolio and communicated to the Sector.</w:t>
      </w:r>
    </w:p>
    <w:p w14:paraId="12CE696B" w14:textId="77777777" w:rsidR="009E2B83" w:rsidRPr="001B5A8F" w:rsidRDefault="009E2B83" w:rsidP="009E2B83">
      <w:pPr>
        <w:pStyle w:val="Heading3"/>
      </w:pPr>
      <w:bookmarkStart w:id="163" w:name="_Toc132101713"/>
      <w:bookmarkStart w:id="164" w:name="_Toc132124236"/>
      <w:bookmarkStart w:id="165" w:name="_Toc132124821"/>
      <w:bookmarkStart w:id="166" w:name="_Toc132124910"/>
      <w:bookmarkStart w:id="167" w:name="_Toc132124958"/>
      <w:bookmarkStart w:id="168" w:name="_Toc132124995"/>
      <w:bookmarkStart w:id="169" w:name="_Toc132139916"/>
      <w:r w:rsidRPr="001B5A8F">
        <w:t>Evaluation and policy portfolio.</w:t>
      </w:r>
      <w:bookmarkEnd w:id="163"/>
      <w:bookmarkEnd w:id="164"/>
      <w:bookmarkEnd w:id="165"/>
      <w:bookmarkEnd w:id="166"/>
      <w:bookmarkEnd w:id="167"/>
      <w:bookmarkEnd w:id="168"/>
      <w:bookmarkEnd w:id="169"/>
      <w:r w:rsidRPr="001B5A8F">
        <w:t xml:space="preserve"> </w:t>
      </w:r>
    </w:p>
    <w:p w14:paraId="13AEE52C" w14:textId="77777777" w:rsidR="009E2B83" w:rsidRPr="001B5A8F" w:rsidRDefault="009E2B83" w:rsidP="009E2B83">
      <w:r w:rsidRPr="001B5A8F">
        <w:t xml:space="preserve">This portfolio would absorb some of the work of the NDCOs but would also provide a new aspect to the existing NDCO program, which is to evaluate program outputs, consider any policy or legislative implications or improvements, share findings with support from robust evaluation and research practices and implement as good practice opportunities. This implementation would be provided through the Education and Training portfolio. The Evaluation and Policy portfolio would also work closely with Government, peak bodies, and sector representatives to support change which supports better inclusion of people with disability in education. </w:t>
      </w:r>
    </w:p>
    <w:p w14:paraId="56F806B9" w14:textId="77777777" w:rsidR="00A24688" w:rsidRPr="001B5A8F" w:rsidRDefault="00A24688" w:rsidP="009E2B83"/>
    <w:p w14:paraId="379A7E69" w14:textId="77777777" w:rsidR="009E2B83" w:rsidRPr="001B5A8F" w:rsidRDefault="009E2B83" w:rsidP="009E2B83">
      <w:r w:rsidRPr="001B5A8F">
        <w:t>Both ADCET and the NDCO Program work with a wide range of stakeholders with a shared focus on advancing people with disability and those support staff, students and community include:</w:t>
      </w:r>
    </w:p>
    <w:p w14:paraId="3CF0492D" w14:textId="77777777" w:rsidR="009E2B83" w:rsidRPr="002F359F" w:rsidRDefault="009E2B83" w:rsidP="002F359F">
      <w:pPr>
        <w:pStyle w:val="bullettedlist"/>
      </w:pPr>
      <w:r w:rsidRPr="002F359F">
        <w:t>Federal Government departments – Education, Skills and Employment, Australian Human Rights Commission, TEQSA and Australia Skills Quality Authority (ASQA)</w:t>
      </w:r>
    </w:p>
    <w:p w14:paraId="693424AD" w14:textId="77777777" w:rsidR="009E2B83" w:rsidRPr="002F359F" w:rsidRDefault="009E2B83" w:rsidP="002F359F">
      <w:pPr>
        <w:pStyle w:val="bullettedlist"/>
      </w:pPr>
      <w:r w:rsidRPr="002F359F">
        <w:lastRenderedPageBreak/>
        <w:t xml:space="preserve">Vocational Education and Training (VET) providers and Registered Training Organisations (RTO) </w:t>
      </w:r>
    </w:p>
    <w:p w14:paraId="106FFF2E" w14:textId="77777777" w:rsidR="009E2B83" w:rsidRPr="002F359F" w:rsidRDefault="009E2B83" w:rsidP="002F359F">
      <w:pPr>
        <w:pStyle w:val="bullettedlist"/>
      </w:pPr>
      <w:r w:rsidRPr="002F359F">
        <w:t xml:space="preserve">partner organisations including NDCO host organisations </w:t>
      </w:r>
    </w:p>
    <w:p w14:paraId="339D44A1" w14:textId="77777777" w:rsidR="009E2B83" w:rsidRPr="002F359F" w:rsidRDefault="009E2B83" w:rsidP="002F359F">
      <w:pPr>
        <w:pStyle w:val="bullettedlist"/>
      </w:pPr>
      <w:r w:rsidRPr="002F359F">
        <w:t>peak bodies such as the Australian Tertiary Education Network on Disability (ATEND), the Equity Practitioners in Higher Education Australasia (EPHEA), and Universities Australia</w:t>
      </w:r>
    </w:p>
    <w:p w14:paraId="335EA1D1" w14:textId="77777777" w:rsidR="009E2B83" w:rsidRPr="002F359F" w:rsidRDefault="009E2B83" w:rsidP="002F359F">
      <w:pPr>
        <w:pStyle w:val="bullettedlist"/>
      </w:pPr>
      <w:r w:rsidRPr="002F359F">
        <w:t>research, practice and data organisations such as the National Centre for Student Equity in Higher Education (NCSEHE) and the National Centre for Vocational and Educational Research (NCVER)</w:t>
      </w:r>
    </w:p>
    <w:p w14:paraId="507293C9" w14:textId="77777777" w:rsidR="009E2B83" w:rsidRPr="001B5A8F" w:rsidRDefault="009E2B83" w:rsidP="002F359F">
      <w:pPr>
        <w:pStyle w:val="bullettedlist"/>
      </w:pPr>
      <w:r w:rsidRPr="002F359F">
        <w:t>international organisations such as Office of Disability Issues (ODI) New Zealand, and AHEAD</w:t>
      </w:r>
      <w:r w:rsidRPr="001B5A8F">
        <w:t xml:space="preserve"> (Association of Higher Education and Disability) in Ireland and the USA.</w:t>
      </w:r>
    </w:p>
    <w:p w14:paraId="72799D8C" w14:textId="77777777" w:rsidR="005A7AAF" w:rsidRDefault="005A7AAF" w:rsidP="009E2B83"/>
    <w:p w14:paraId="47ABF161" w14:textId="5B840326" w:rsidR="009E2B83" w:rsidRPr="001B5A8F" w:rsidRDefault="009E2B83" w:rsidP="009E2B83">
      <w:r w:rsidRPr="001B5A8F">
        <w:t>The structure below (Figure 4) outlines some of the key areas for focus from the four strategic pillars and the proposed concepts of</w:t>
      </w:r>
      <w:r w:rsidRPr="001B5A8F">
        <w:rPr>
          <w:rFonts w:eastAsia="Calibri" w:cs="Calibri"/>
          <w:sz w:val="20"/>
          <w:szCs w:val="20"/>
        </w:rPr>
        <w:t xml:space="preserve"> </w:t>
      </w:r>
      <w:r w:rsidRPr="001B5A8F">
        <w:t xml:space="preserve">the NDCO review as well as existing work undertaken by ADCET.  The structure reflects a combination of policy and practice, enabling direct solutions to be evidenced, built, provided and implemented with tertiary providers in Australia in a timely and effective end-to-end manner. </w:t>
      </w:r>
    </w:p>
    <w:p w14:paraId="754F2EBE" w14:textId="77777777" w:rsidR="00A24688" w:rsidRPr="001B5A8F" w:rsidRDefault="00A24688" w:rsidP="009E2B83"/>
    <w:p w14:paraId="2A57EEA8" w14:textId="3E7A14F1" w:rsidR="009E2B83" w:rsidRDefault="009E2B83" w:rsidP="009E2B83">
      <w:pPr>
        <w:pStyle w:val="Caption"/>
        <w:keepNext/>
      </w:pPr>
      <w:r w:rsidRPr="001B5A8F">
        <w:t xml:space="preserve">Figure </w:t>
      </w:r>
      <w:r w:rsidRPr="001B5A8F">
        <w:fldChar w:fldCharType="begin"/>
      </w:r>
      <w:r w:rsidRPr="001B5A8F">
        <w:instrText>SEQ Figure \* ARABIC</w:instrText>
      </w:r>
      <w:r w:rsidRPr="001B5A8F">
        <w:fldChar w:fldCharType="separate"/>
      </w:r>
      <w:r w:rsidRPr="001B5A8F">
        <w:rPr>
          <w:noProof/>
        </w:rPr>
        <w:t>4</w:t>
      </w:r>
      <w:r w:rsidRPr="001B5A8F">
        <w:fldChar w:fldCharType="end"/>
      </w:r>
      <w:r w:rsidRPr="001B5A8F">
        <w:t>: Proposed structure for the ADCET Program (overview)</w:t>
      </w:r>
    </w:p>
    <w:p w14:paraId="2F718550" w14:textId="77777777" w:rsidR="00DF1BCC" w:rsidRPr="00DF1BCC" w:rsidRDefault="00DF1BCC" w:rsidP="00DF1BCC">
      <w:pPr>
        <w:rPr>
          <w:lang w:val="en-AU" w:eastAsia="zh-CN"/>
        </w:rPr>
      </w:pPr>
    </w:p>
    <w:p w14:paraId="0A6B6366" w14:textId="77777777" w:rsidR="009E2B83" w:rsidRPr="001B5A8F" w:rsidRDefault="009E2B83" w:rsidP="009E2B83">
      <w:r w:rsidRPr="001B5A8F">
        <w:rPr>
          <w:noProof/>
        </w:rPr>
        <w:drawing>
          <wp:inline distT="0" distB="0" distL="0" distR="0" wp14:anchorId="7B9C2C95" wp14:editId="18CE1E0D">
            <wp:extent cx="6233795" cy="2782957"/>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tbl>
      <w:tblPr>
        <w:tblStyle w:val="GridTable4-Accent5"/>
        <w:tblW w:w="9725" w:type="dxa"/>
        <w:jc w:val="center"/>
        <w:tblBorders>
          <w:top w:val="none" w:sz="0" w:space="0" w:color="auto"/>
          <w:left w:val="single" w:sz="48" w:space="0" w:color="5B9BD5" w:themeColor="accent5"/>
          <w:bottom w:val="single" w:sz="48" w:space="0" w:color="5B9BD5" w:themeColor="accent5"/>
          <w:right w:val="single" w:sz="48" w:space="0" w:color="5B9BD5" w:themeColor="accent5"/>
          <w:insideH w:val="none" w:sz="0" w:space="0" w:color="auto"/>
          <w:insideV w:val="none" w:sz="0" w:space="0" w:color="auto"/>
        </w:tblBorders>
        <w:shd w:val="clear" w:color="auto" w:fill="FFFFFF" w:themeFill="background1"/>
        <w:tblLook w:val="02A0" w:firstRow="1" w:lastRow="0" w:firstColumn="1" w:lastColumn="0" w:noHBand="1" w:noVBand="0"/>
      </w:tblPr>
      <w:tblGrid>
        <w:gridCol w:w="2917"/>
        <w:gridCol w:w="2410"/>
        <w:gridCol w:w="1966"/>
        <w:gridCol w:w="2432"/>
      </w:tblGrid>
      <w:tr w:rsidR="009E2B83" w:rsidRPr="001B5A8F" w14:paraId="49537744" w14:textId="77777777" w:rsidTr="00D9388F">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917" w:type="dxa"/>
            <w:tcBorders>
              <w:top w:val="none" w:sz="0" w:space="0" w:color="auto"/>
              <w:left w:val="none" w:sz="0" w:space="0" w:color="auto"/>
              <w:bottom w:val="none" w:sz="0" w:space="0" w:color="auto"/>
              <w:right w:val="none" w:sz="0" w:space="0" w:color="auto"/>
            </w:tcBorders>
            <w:shd w:val="clear" w:color="auto" w:fill="FFFFFF" w:themeFill="background1"/>
          </w:tcPr>
          <w:p w14:paraId="54D0F4A7" w14:textId="77777777" w:rsidR="009E2B83" w:rsidRPr="001B5A8F" w:rsidRDefault="009E2B83" w:rsidP="00D9388F">
            <w:pPr>
              <w:jc w:val="center"/>
              <w:rPr>
                <w:color w:val="auto"/>
                <w:sz w:val="18"/>
                <w:szCs w:val="18"/>
              </w:rPr>
            </w:pPr>
            <w:r w:rsidRPr="001B5A8F">
              <w:rPr>
                <w:color w:val="auto"/>
                <w:sz w:val="18"/>
                <w:szCs w:val="18"/>
              </w:rPr>
              <w:t>UNIVERSAL DESIGN</w:t>
            </w:r>
          </w:p>
        </w:tc>
        <w:tc>
          <w:tcPr>
            <w:cnfStyle w:val="000010000000" w:firstRow="0" w:lastRow="0" w:firstColumn="0" w:lastColumn="0" w:oddVBand="1"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shd w:val="clear" w:color="auto" w:fill="FFFFFF" w:themeFill="background1"/>
          </w:tcPr>
          <w:p w14:paraId="6F469823" w14:textId="77777777" w:rsidR="009E2B83" w:rsidRPr="001B5A8F" w:rsidRDefault="009E2B83" w:rsidP="00D9388F">
            <w:pPr>
              <w:jc w:val="center"/>
              <w:rPr>
                <w:color w:val="auto"/>
                <w:sz w:val="18"/>
                <w:szCs w:val="18"/>
              </w:rPr>
            </w:pPr>
            <w:r w:rsidRPr="001B5A8F">
              <w:rPr>
                <w:color w:val="auto"/>
                <w:sz w:val="18"/>
                <w:szCs w:val="18"/>
              </w:rPr>
              <w:t>POLICY &amp; ADVOCACY</w:t>
            </w:r>
          </w:p>
        </w:tc>
        <w:tc>
          <w:tcPr>
            <w:tcW w:w="1966" w:type="dxa"/>
            <w:tcBorders>
              <w:top w:val="none" w:sz="0" w:space="0" w:color="auto"/>
              <w:left w:val="none" w:sz="0" w:space="0" w:color="auto"/>
              <w:bottom w:val="none" w:sz="0" w:space="0" w:color="auto"/>
              <w:right w:val="none" w:sz="0" w:space="0" w:color="auto"/>
            </w:tcBorders>
            <w:shd w:val="clear" w:color="auto" w:fill="FFFFFF" w:themeFill="background1"/>
          </w:tcPr>
          <w:p w14:paraId="02475F05" w14:textId="77777777" w:rsidR="009E2B83" w:rsidRPr="001B5A8F" w:rsidRDefault="009E2B83" w:rsidP="00D9388F">
            <w:pPr>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1B5A8F">
              <w:rPr>
                <w:color w:val="auto"/>
                <w:sz w:val="18"/>
                <w:szCs w:val="18"/>
              </w:rPr>
              <w:t>BEST PRACTICE</w:t>
            </w:r>
          </w:p>
        </w:tc>
        <w:tc>
          <w:tcPr>
            <w:cnfStyle w:val="000010000000" w:firstRow="0" w:lastRow="0" w:firstColumn="0" w:lastColumn="0" w:oddVBand="1" w:evenVBand="0" w:oddHBand="0" w:evenHBand="0" w:firstRowFirstColumn="0" w:firstRowLastColumn="0" w:lastRowFirstColumn="0" w:lastRowLastColumn="0"/>
            <w:tcW w:w="2432" w:type="dxa"/>
            <w:tcBorders>
              <w:top w:val="none" w:sz="0" w:space="0" w:color="auto"/>
              <w:left w:val="none" w:sz="0" w:space="0" w:color="auto"/>
              <w:bottom w:val="none" w:sz="0" w:space="0" w:color="auto"/>
              <w:right w:val="none" w:sz="0" w:space="0" w:color="auto"/>
            </w:tcBorders>
            <w:shd w:val="clear" w:color="auto" w:fill="FFFFFF" w:themeFill="background1"/>
          </w:tcPr>
          <w:p w14:paraId="0714F04D" w14:textId="77777777" w:rsidR="009E2B83" w:rsidRPr="001B5A8F" w:rsidRDefault="009E2B83" w:rsidP="00D9388F">
            <w:pPr>
              <w:jc w:val="center"/>
              <w:rPr>
                <w:color w:val="auto"/>
                <w:sz w:val="18"/>
                <w:szCs w:val="18"/>
              </w:rPr>
            </w:pPr>
            <w:r w:rsidRPr="001B5A8F">
              <w:rPr>
                <w:color w:val="auto"/>
                <w:sz w:val="18"/>
                <w:szCs w:val="18"/>
              </w:rPr>
              <w:t>ENGAGEMENT</w:t>
            </w:r>
          </w:p>
        </w:tc>
      </w:tr>
    </w:tbl>
    <w:p w14:paraId="6CE442C1" w14:textId="77777777" w:rsidR="00DF1BCC" w:rsidRDefault="00DF1BCC" w:rsidP="009E2B83">
      <w:pPr>
        <w:pStyle w:val="Heading1"/>
      </w:pPr>
      <w:bookmarkStart w:id="170" w:name="_Toc132101714"/>
      <w:bookmarkStart w:id="171" w:name="_Toc132124237"/>
      <w:bookmarkStart w:id="172" w:name="_Toc132124822"/>
      <w:bookmarkStart w:id="173" w:name="_Toc132124911"/>
      <w:bookmarkStart w:id="174" w:name="_Toc132124959"/>
      <w:bookmarkStart w:id="175" w:name="_Toc132124996"/>
    </w:p>
    <w:p w14:paraId="52B8DCD5" w14:textId="77777777" w:rsidR="00DC1FA9" w:rsidRDefault="00DC1FA9">
      <w:pPr>
        <w:rPr>
          <w:b/>
          <w:bCs/>
          <w:color w:val="2F5496" w:themeColor="accent1" w:themeShade="BF"/>
          <w:kern w:val="36"/>
          <w:sz w:val="36"/>
          <w:szCs w:val="48"/>
        </w:rPr>
      </w:pPr>
      <w:bookmarkStart w:id="176" w:name="_Toc132139917"/>
      <w:bookmarkStart w:id="177" w:name="_Toc132139968"/>
      <w:r>
        <w:br w:type="page"/>
      </w:r>
    </w:p>
    <w:p w14:paraId="596AAF21" w14:textId="1B1D6BAF" w:rsidR="009E2B83" w:rsidRPr="001B5A8F" w:rsidRDefault="009E2B83" w:rsidP="009E2B83">
      <w:pPr>
        <w:pStyle w:val="Heading1"/>
      </w:pPr>
      <w:r w:rsidRPr="001B5A8F">
        <w:lastRenderedPageBreak/>
        <w:t>Governance</w:t>
      </w:r>
      <w:bookmarkEnd w:id="170"/>
      <w:bookmarkEnd w:id="171"/>
      <w:bookmarkEnd w:id="172"/>
      <w:bookmarkEnd w:id="173"/>
      <w:bookmarkEnd w:id="174"/>
      <w:bookmarkEnd w:id="175"/>
      <w:bookmarkEnd w:id="176"/>
      <w:bookmarkEnd w:id="177"/>
    </w:p>
    <w:p w14:paraId="6CCD5CA7" w14:textId="3B10E7D4" w:rsidR="009E2B83" w:rsidRPr="001B5A8F" w:rsidRDefault="009E2B83" w:rsidP="009E2B83">
      <w:r w:rsidRPr="001B5A8F">
        <w:t xml:space="preserve">The ADCET Program would have an overarching Advisory Committee which could include key leadership from the Host organisation, Department of Education representatives, representatives from peak bodies and the Higher Education, VET and RTO sectors, ADCET representatives, and student representatives. Lived experience of people with disability and those with an understanding of intersectional issues who are part of the sector (i.e., students, educators, practitioners, peak bodies </w:t>
      </w:r>
      <w:r w:rsidR="006D1510" w:rsidRPr="001B5A8F">
        <w:t>etc.</w:t>
      </w:r>
      <w:r w:rsidRPr="001B5A8F">
        <w:t xml:space="preserve">) will be essential. </w:t>
      </w:r>
    </w:p>
    <w:p w14:paraId="1D686071" w14:textId="6210D153" w:rsidR="009E2B83" w:rsidRPr="001B5A8F" w:rsidRDefault="009E2B83" w:rsidP="00AF2EA3">
      <w:pPr>
        <w:pStyle w:val="Heading1"/>
      </w:pPr>
      <w:bookmarkStart w:id="178" w:name="_Toc132101715"/>
      <w:bookmarkStart w:id="179" w:name="_Toc132124238"/>
      <w:bookmarkStart w:id="180" w:name="_Toc132124823"/>
      <w:bookmarkStart w:id="181" w:name="_Toc132124912"/>
      <w:bookmarkStart w:id="182" w:name="_Toc132124960"/>
      <w:bookmarkStart w:id="183" w:name="_Toc132124997"/>
      <w:bookmarkStart w:id="184" w:name="_Toc132139918"/>
      <w:bookmarkStart w:id="185" w:name="_Toc132139969"/>
      <w:r w:rsidRPr="001B5A8F">
        <w:t>Evaluation</w:t>
      </w:r>
      <w:bookmarkEnd w:id="178"/>
      <w:bookmarkEnd w:id="179"/>
      <w:bookmarkEnd w:id="180"/>
      <w:bookmarkEnd w:id="181"/>
      <w:bookmarkEnd w:id="182"/>
      <w:bookmarkEnd w:id="183"/>
      <w:bookmarkEnd w:id="184"/>
      <w:bookmarkEnd w:id="185"/>
    </w:p>
    <w:p w14:paraId="48488693" w14:textId="11CF73D6" w:rsidR="009E2B83" w:rsidRPr="001B5A8F" w:rsidRDefault="009E2B83" w:rsidP="009E2B83">
      <w:pPr>
        <w:keepNext/>
      </w:pPr>
      <w:r w:rsidRPr="001B5A8F">
        <w:t xml:space="preserve">ADCET will use an evaluation framework which supports the strategic work being undertaken drawing on models such as the </w:t>
      </w:r>
      <w:hyperlink r:id="rId81">
        <w:r w:rsidRPr="001B5A8F">
          <w:rPr>
            <w:rStyle w:val="Hyperlink"/>
          </w:rPr>
          <w:t>Student Equity in Higher Education Evaluation Framework (SEHEEF)</w:t>
        </w:r>
      </w:hyperlink>
      <w:r w:rsidRPr="001B5A8F">
        <w:t>. The evaluation framework will be designed to have a particular focus on measuring implementation of disability rights and measuring capacity and impact relating to disability</w:t>
      </w:r>
      <w:r w:rsidR="007D43AB">
        <w:t xml:space="preserve"> inclusion</w:t>
      </w:r>
      <w:r w:rsidRPr="001B5A8F">
        <w:t xml:space="preserve"> in all activities.</w:t>
      </w:r>
    </w:p>
    <w:p w14:paraId="3EF213BA" w14:textId="77777777" w:rsidR="00A24688" w:rsidRPr="001B5A8F" w:rsidRDefault="00A24688" w:rsidP="009E2B83">
      <w:pPr>
        <w:keepNext/>
      </w:pPr>
    </w:p>
    <w:p w14:paraId="67B409F7" w14:textId="02BE727C" w:rsidR="009E2B83" w:rsidRPr="001B5A8F" w:rsidRDefault="009E2B83" w:rsidP="009E2B83">
      <w:pPr>
        <w:keepNext/>
      </w:pPr>
      <w:r w:rsidRPr="001B5A8F">
        <w:t xml:space="preserve">The evaluation will cover </w:t>
      </w:r>
      <w:r w:rsidR="009F6576">
        <w:t>key disability inclusion benchmarks including monitoring the implementation of UDL, accessible ICT procurement processes,</w:t>
      </w:r>
      <w:r w:rsidR="00E006EF">
        <w:t xml:space="preserve"> disability responsiveness training a</w:t>
      </w:r>
      <w:r w:rsidR="00981239">
        <w:t xml:space="preserve">nd existing data and performance indicators such as access, retention and success. </w:t>
      </w:r>
      <w:r w:rsidR="0009667A">
        <w:t>Interactio</w:t>
      </w:r>
      <w:r w:rsidRPr="001B5A8F">
        <w:t xml:space="preserve">n </w:t>
      </w:r>
      <w:r w:rsidR="0009667A">
        <w:t xml:space="preserve">with activities such as </w:t>
      </w:r>
      <w:r w:rsidRPr="001B5A8F">
        <w:t>training, engagements in projects, pilot</w:t>
      </w:r>
      <w:r w:rsidR="0009667A">
        <w:t xml:space="preserve"> proje</w:t>
      </w:r>
      <w:r w:rsidR="00394F34">
        <w:t>c</w:t>
      </w:r>
      <w:r w:rsidR="0009667A">
        <w:t xml:space="preserve">ts, </w:t>
      </w:r>
      <w:r w:rsidRPr="001B5A8F">
        <w:t xml:space="preserve">good practice, and the experiences and interactions of various stakeholders </w:t>
      </w:r>
      <w:r w:rsidR="00394F34">
        <w:t>are important areas for monitoring disability inclusion</w:t>
      </w:r>
      <w:r w:rsidRPr="001B5A8F">
        <w:t xml:space="preserve">. The evaluation framework will include qualitative and quantitative measures and importantly, will also be designed to learn from participants and stakeholders about current trends and issues.  </w:t>
      </w:r>
    </w:p>
    <w:p w14:paraId="6944E9E2" w14:textId="77777777" w:rsidR="00A24688" w:rsidRPr="001B5A8F" w:rsidRDefault="00A24688" w:rsidP="009E2B83">
      <w:pPr>
        <w:keepNext/>
      </w:pPr>
    </w:p>
    <w:p w14:paraId="6EC954BE" w14:textId="20FACBA8" w:rsidR="003500B8" w:rsidRDefault="003500B8">
      <w:pPr>
        <w:rPr>
          <w:b/>
          <w:bCs/>
          <w:color w:val="2F5496" w:themeColor="accent1" w:themeShade="BF"/>
          <w:kern w:val="36"/>
          <w:sz w:val="36"/>
          <w:szCs w:val="48"/>
        </w:rPr>
      </w:pPr>
      <w:r>
        <w:rPr>
          <w:b/>
          <w:bCs/>
          <w:color w:val="2F5496" w:themeColor="accent1" w:themeShade="BF"/>
          <w:kern w:val="36"/>
          <w:sz w:val="36"/>
          <w:szCs w:val="48"/>
        </w:rPr>
        <w:br w:type="page"/>
      </w:r>
    </w:p>
    <w:p w14:paraId="256E8EF9" w14:textId="10194B75" w:rsidR="003500B8" w:rsidRPr="001B5A8F" w:rsidRDefault="001D5DB0" w:rsidP="003500B8">
      <w:pPr>
        <w:pStyle w:val="Heading1"/>
      </w:pPr>
      <w:bookmarkStart w:id="186" w:name="_Appendix_2"/>
      <w:bookmarkStart w:id="187" w:name="_Appendix_2:_Key"/>
      <w:bookmarkStart w:id="188" w:name="_Toc132101701"/>
      <w:bookmarkStart w:id="189" w:name="_Toc132139919"/>
      <w:bookmarkStart w:id="190" w:name="_Toc132139970"/>
      <w:bookmarkEnd w:id="186"/>
      <w:bookmarkEnd w:id="187"/>
      <w:r>
        <w:lastRenderedPageBreak/>
        <w:t>Appendix 2</w:t>
      </w:r>
      <w:r w:rsidR="00371F07">
        <w:t xml:space="preserve">: </w:t>
      </w:r>
      <w:r w:rsidR="003500B8" w:rsidRPr="001B5A8F">
        <w:t>Key statistics</w:t>
      </w:r>
      <w:bookmarkEnd w:id="188"/>
      <w:bookmarkEnd w:id="189"/>
      <w:bookmarkEnd w:id="190"/>
    </w:p>
    <w:p w14:paraId="1D6F9D3B" w14:textId="77777777" w:rsidR="003500B8" w:rsidRPr="001B5A8F" w:rsidRDefault="003500B8" w:rsidP="003500B8">
      <w:r w:rsidRPr="001B5A8F">
        <w:t>To put the issues facing students with disability in the tertiary education sector into context it is important to understand some of the data collected about students with disability. In the last decade the number of people with disability entering and completing higher education has improved but is still significantly lower than for people without disability. The increase in figures is also related to higher reporting of disability, health and mental health conditions, improved data collection, and increased need for people choosing to share to access adjustments for their study.</w:t>
      </w:r>
    </w:p>
    <w:p w14:paraId="5DEFB1CE" w14:textId="77777777" w:rsidR="003500B8" w:rsidRPr="001B5A8F" w:rsidRDefault="003500B8" w:rsidP="003500B8"/>
    <w:p w14:paraId="4F850FB7" w14:textId="77777777" w:rsidR="003500B8" w:rsidRPr="001B5A8F" w:rsidRDefault="003500B8" w:rsidP="003500B8">
      <w:pPr>
        <w:rPr>
          <w:b/>
          <w:bCs/>
        </w:rPr>
      </w:pPr>
      <w:r w:rsidRPr="001B5A8F">
        <w:rPr>
          <w:b/>
          <w:bCs/>
        </w:rPr>
        <w:t>Educational participation</w:t>
      </w:r>
    </w:p>
    <w:p w14:paraId="3EB8BE31" w14:textId="77777777" w:rsidR="003500B8" w:rsidRPr="001B5A8F" w:rsidRDefault="003500B8" w:rsidP="003500B8">
      <w:pPr>
        <w:rPr>
          <w:b/>
          <w:bCs/>
        </w:rPr>
      </w:pPr>
    </w:p>
    <w:p w14:paraId="5065280E" w14:textId="4982AE63" w:rsidR="003500B8" w:rsidRPr="001B5A8F" w:rsidRDefault="003500B8" w:rsidP="003500B8">
      <w:r w:rsidRPr="001B5A8F">
        <w:t xml:space="preserve">As </w:t>
      </w:r>
      <w:r w:rsidR="008806BC" w:rsidRPr="001B5A8F">
        <w:t>evidenced</w:t>
      </w:r>
      <w:r w:rsidRPr="001B5A8F">
        <w:t xml:space="preserve"> in Graph 1 there is a gap between the number of students with disability in secondary education compared with those that transition to either university or VET studies. Given that 9 out of 10 jobs created in the next 5 years will require formal post-secondary credentials</w:t>
      </w:r>
      <w:r w:rsidRPr="001B5A8F">
        <w:rPr>
          <w:rStyle w:val="FootnoteReference"/>
        </w:rPr>
        <w:footnoteReference w:id="19"/>
      </w:r>
      <w:r w:rsidRPr="001B5A8F">
        <w:t xml:space="preserve"> there is work to be done to improve uptake to post-secondary education and training. </w:t>
      </w:r>
    </w:p>
    <w:p w14:paraId="53BE7B26" w14:textId="77777777" w:rsidR="003500B8" w:rsidRPr="001B5A8F" w:rsidRDefault="003500B8" w:rsidP="003500B8"/>
    <w:p w14:paraId="4D874762" w14:textId="77777777" w:rsidR="003500B8" w:rsidRPr="001B5A8F" w:rsidRDefault="003500B8" w:rsidP="003500B8">
      <w:pPr>
        <w:rPr>
          <w:b/>
          <w:bCs/>
        </w:rPr>
      </w:pPr>
      <w:r w:rsidRPr="001B5A8F">
        <w:rPr>
          <w:b/>
          <w:bCs/>
          <w:noProof/>
        </w:rPr>
        <w:drawing>
          <wp:inline distT="0" distB="0" distL="0" distR="0" wp14:anchorId="145C99CA" wp14:editId="62EB900D">
            <wp:extent cx="5899150" cy="2568271"/>
            <wp:effectExtent l="0" t="0" r="635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59CA47A0" w14:textId="77777777" w:rsidR="003500B8" w:rsidRPr="001B5A8F" w:rsidRDefault="003500B8" w:rsidP="003500B8">
      <w:pPr>
        <w:pStyle w:val="Footnote"/>
        <w:rPr>
          <w:b/>
          <w:bCs/>
        </w:rPr>
      </w:pPr>
      <w:r w:rsidRPr="001B5A8F">
        <w:rPr>
          <w:rFonts w:cs="Arial"/>
          <w:b/>
          <w:bCs/>
          <w:iCs/>
          <w:szCs w:val="16"/>
          <w:shd w:val="clear" w:color="auto" w:fill="FFFFFF"/>
        </w:rPr>
        <w:t>Source:</w:t>
      </w:r>
      <w:r w:rsidRPr="001B5A8F">
        <w:rPr>
          <w:rFonts w:cs="Arial"/>
          <w:iCs/>
          <w:szCs w:val="16"/>
          <w:shd w:val="clear" w:color="auto" w:fill="FFFFFF"/>
        </w:rPr>
        <w:t xml:space="preserve"> Department of Education, Skills, and Employment 2018; ADCET VET Statistics 2018; NCCD 2018; Australian Bureau of Statistics 2018</w:t>
      </w:r>
    </w:p>
    <w:p w14:paraId="402ABAD6" w14:textId="77777777" w:rsidR="003500B8" w:rsidRPr="001B5A8F" w:rsidRDefault="003500B8" w:rsidP="003500B8">
      <w:pPr>
        <w:rPr>
          <w:b/>
          <w:bCs/>
        </w:rPr>
      </w:pPr>
    </w:p>
    <w:p w14:paraId="424E8B4B" w14:textId="77777777" w:rsidR="003500B8" w:rsidRPr="001B5A8F" w:rsidRDefault="003500B8" w:rsidP="003500B8">
      <w:pPr>
        <w:rPr>
          <w:b/>
          <w:bCs/>
        </w:rPr>
      </w:pPr>
      <w:r w:rsidRPr="001B5A8F">
        <w:rPr>
          <w:b/>
          <w:bCs/>
        </w:rPr>
        <w:t>Educational participation and attainment</w:t>
      </w:r>
    </w:p>
    <w:p w14:paraId="5A429722" w14:textId="77777777" w:rsidR="003500B8" w:rsidRPr="001B5A8F" w:rsidRDefault="003500B8" w:rsidP="003500B8">
      <w:pPr>
        <w:rPr>
          <w:b/>
          <w:bCs/>
        </w:rPr>
      </w:pPr>
    </w:p>
    <w:p w14:paraId="47ACD9DA" w14:textId="77777777" w:rsidR="003500B8" w:rsidRPr="001B5A8F" w:rsidRDefault="003500B8" w:rsidP="003500B8">
      <w:pPr>
        <w:rPr>
          <w:b/>
          <w:bCs/>
        </w:rPr>
      </w:pPr>
      <w:r w:rsidRPr="001B5A8F">
        <w:t xml:space="preserve">The </w:t>
      </w:r>
      <w:hyperlink r:id="rId83" w:history="1">
        <w:r w:rsidRPr="001B5A8F">
          <w:rPr>
            <w:rStyle w:val="Hyperlink"/>
          </w:rPr>
          <w:t>Selected Higher Education Statistics – 2020</w:t>
        </w:r>
      </w:hyperlink>
      <w:r w:rsidRPr="001B5A8F">
        <w:t xml:space="preserve"> student data shows lower retention and success rates for students with disability compared with all students. </w:t>
      </w:r>
    </w:p>
    <w:p w14:paraId="4D2E6C9E" w14:textId="4C340275" w:rsidR="003500B8" w:rsidRPr="001B5A8F" w:rsidRDefault="003500B8" w:rsidP="003500B8">
      <w:pPr>
        <w:pStyle w:val="bullettedlist"/>
        <w:spacing w:before="120" w:after="120"/>
      </w:pPr>
      <w:r w:rsidRPr="001B5A8F">
        <w:t xml:space="preserve">The </w:t>
      </w:r>
      <w:r w:rsidR="00F84E73">
        <w:rPr>
          <w:b/>
          <w:bCs/>
        </w:rPr>
        <w:t>r</w:t>
      </w:r>
      <w:r w:rsidRPr="001B5A8F">
        <w:rPr>
          <w:b/>
          <w:bCs/>
        </w:rPr>
        <w:t>etention rate</w:t>
      </w:r>
      <w:r w:rsidRPr="001B5A8F">
        <w:t xml:space="preserve"> for students with disability is 79.58 compared with all students at 82.81</w:t>
      </w:r>
    </w:p>
    <w:p w14:paraId="0909BCDF" w14:textId="4BA54B30" w:rsidR="003500B8" w:rsidRPr="001B5A8F" w:rsidRDefault="003500B8" w:rsidP="003500B8">
      <w:pPr>
        <w:pStyle w:val="bullettedlist"/>
        <w:spacing w:before="120" w:after="120"/>
      </w:pPr>
      <w:r w:rsidRPr="001B5A8F">
        <w:lastRenderedPageBreak/>
        <w:t xml:space="preserve">The </w:t>
      </w:r>
      <w:r w:rsidR="00F84E73">
        <w:rPr>
          <w:b/>
          <w:bCs/>
        </w:rPr>
        <w:t>s</w:t>
      </w:r>
      <w:r w:rsidRPr="001B5A8F">
        <w:rPr>
          <w:b/>
          <w:bCs/>
        </w:rPr>
        <w:t>uccess rate</w:t>
      </w:r>
      <w:r w:rsidRPr="001B5A8F">
        <w:t xml:space="preserve"> for students with disability is 82.96 compared with all students at 88.37</w:t>
      </w:r>
    </w:p>
    <w:p w14:paraId="559F77D3" w14:textId="77777777" w:rsidR="003500B8" w:rsidRPr="001B5A8F" w:rsidRDefault="003500B8" w:rsidP="003500B8">
      <w:pPr>
        <w:pStyle w:val="bullettedlist"/>
        <w:spacing w:before="120" w:after="120"/>
      </w:pPr>
      <w:r w:rsidRPr="001B5A8F">
        <w:t xml:space="preserve">The </w:t>
      </w:r>
      <w:hyperlink r:id="rId84" w:anchor="Highest%20level%20of%20education" w:history="1">
        <w:r w:rsidRPr="001B5A8F">
          <w:rPr>
            <w:rStyle w:val="Hyperlink"/>
          </w:rPr>
          <w:t>AIHW</w:t>
        </w:r>
      </w:hyperlink>
      <w:r w:rsidRPr="001B5A8F">
        <w:t xml:space="preserve"> states the highest level of educational attainment was a bachelor’s degree or higher for:</w:t>
      </w:r>
    </w:p>
    <w:p w14:paraId="61C4B80F" w14:textId="77777777" w:rsidR="003500B8" w:rsidRPr="001B5A8F" w:rsidRDefault="003500B8" w:rsidP="005E3186">
      <w:pPr>
        <w:pStyle w:val="bullet2"/>
      </w:pPr>
      <w:r w:rsidRPr="001B5A8F">
        <w:t>17% (or 614,000) of people with disability aged 20 and over</w:t>
      </w:r>
    </w:p>
    <w:p w14:paraId="52D6128E" w14:textId="408604DC" w:rsidR="003500B8" w:rsidRDefault="003500B8" w:rsidP="00313BBA">
      <w:pPr>
        <w:pStyle w:val="bullet2"/>
      </w:pPr>
      <w:r w:rsidRPr="001B5A8F">
        <w:t>11% (or 107,000) of those with severe or profound disability in the same age range</w:t>
      </w:r>
      <w:r w:rsidRPr="001B5A8F">
        <w:br/>
        <w:t>(This compared with 35% (or 5 million) of people without disability (</w:t>
      </w:r>
      <w:hyperlink r:id="rId85" w:history="1">
        <w:r w:rsidRPr="001B5A8F">
          <w:rPr>
            <w:rStyle w:val="Hyperlink"/>
          </w:rPr>
          <w:t>ABS 2019</w:t>
        </w:r>
      </w:hyperlink>
      <w:r w:rsidRPr="001B5A8F">
        <w:t>).</w:t>
      </w:r>
    </w:p>
    <w:p w14:paraId="665FBF80" w14:textId="77777777" w:rsidR="005E3186" w:rsidRPr="001B5A8F" w:rsidRDefault="005E3186" w:rsidP="005E3186"/>
    <w:p w14:paraId="7992BC21" w14:textId="77777777" w:rsidR="003500B8" w:rsidRDefault="003500B8" w:rsidP="003500B8">
      <w:pPr>
        <w:rPr>
          <w:b/>
          <w:bCs/>
        </w:rPr>
      </w:pPr>
      <w:r w:rsidRPr="008806BC">
        <w:rPr>
          <w:b/>
          <w:bCs/>
        </w:rPr>
        <w:t>Domestic students with disability</w:t>
      </w:r>
    </w:p>
    <w:p w14:paraId="125677C1" w14:textId="77777777" w:rsidR="008806BC" w:rsidRPr="001B5A8F" w:rsidRDefault="008806BC" w:rsidP="003500B8">
      <w:pPr>
        <w:rPr>
          <w:b/>
          <w:bCs/>
        </w:rPr>
      </w:pPr>
    </w:p>
    <w:p w14:paraId="0D48496F" w14:textId="77777777" w:rsidR="003500B8" w:rsidRDefault="003500B8" w:rsidP="003500B8">
      <w:r w:rsidRPr="001B5A8F">
        <w:t>In the last 10 years the percentage of domestic students with disability has increased from 4.51% (38,102 in 2010) to 7.44% (83,686 in 2020)</w:t>
      </w:r>
    </w:p>
    <w:p w14:paraId="3613F809" w14:textId="77777777" w:rsidR="004D5FE8" w:rsidRDefault="004D5FE8" w:rsidP="003500B8"/>
    <w:p w14:paraId="430AAB74" w14:textId="0B605032" w:rsidR="004D5FE8" w:rsidRPr="001B5A8F" w:rsidRDefault="004D5FE8" w:rsidP="003500B8">
      <w:r>
        <w:rPr>
          <w:noProof/>
        </w:rPr>
        <w:drawing>
          <wp:inline distT="0" distB="0" distL="0" distR="0" wp14:anchorId="08F1337B" wp14:editId="4F128C5B">
            <wp:extent cx="5943600" cy="2282024"/>
            <wp:effectExtent l="0" t="0" r="0" b="4445"/>
            <wp:docPr id="3" name="Chart 3">
              <a:extLst xmlns:a="http://schemas.openxmlformats.org/drawingml/2006/main">
                <a:ext uri="{FF2B5EF4-FFF2-40B4-BE49-F238E27FC236}">
                  <a16:creationId xmlns:a16="http://schemas.microsoft.com/office/drawing/2014/main" id="{69FB6FDF-9248-DA59-FD87-88CBEF537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1F0DCB1D" w14:textId="77777777" w:rsidR="00172479" w:rsidRDefault="00172479" w:rsidP="003500B8">
      <w:pPr>
        <w:pStyle w:val="Footnote"/>
        <w:rPr>
          <w:b/>
          <w:bCs/>
          <w:iCs/>
        </w:rPr>
      </w:pPr>
    </w:p>
    <w:p w14:paraId="748D22DC" w14:textId="159F65B7" w:rsidR="003500B8" w:rsidRPr="001B5A8F" w:rsidRDefault="003500B8" w:rsidP="003500B8">
      <w:pPr>
        <w:pStyle w:val="Footnote"/>
        <w:rPr>
          <w:i w:val="0"/>
          <w:iCs/>
        </w:rPr>
      </w:pPr>
      <w:r w:rsidRPr="001B5A8F">
        <w:rPr>
          <w:b/>
          <w:bCs/>
          <w:iCs/>
        </w:rPr>
        <w:t>Source:</w:t>
      </w:r>
      <w:r w:rsidRPr="001B5A8F">
        <w:rPr>
          <w:iCs/>
        </w:rPr>
        <w:t xml:space="preserve"> </w:t>
      </w:r>
      <w:hyperlink r:id="rId87" w:history="1">
        <w:r w:rsidRPr="004D5FE8">
          <w:rPr>
            <w:rStyle w:val="Hyperlink"/>
            <w:iCs/>
            <w:sz w:val="18"/>
            <w:szCs w:val="14"/>
          </w:rPr>
          <w:t>Selected Higher Education Statistics</w:t>
        </w:r>
      </w:hyperlink>
      <w:r w:rsidRPr="001B5A8F">
        <w:rPr>
          <w:iCs/>
        </w:rPr>
        <w:t xml:space="preserve"> – 2020 Student data (Section 11: Equity Performance)</w:t>
      </w:r>
    </w:p>
    <w:p w14:paraId="657F4D40" w14:textId="77777777" w:rsidR="003500B8" w:rsidRPr="001B5A8F" w:rsidRDefault="003500B8" w:rsidP="003500B8">
      <w:pPr>
        <w:rPr>
          <w:b/>
          <w:bCs/>
        </w:rPr>
      </w:pPr>
    </w:p>
    <w:p w14:paraId="5FC38FDA" w14:textId="77777777" w:rsidR="003500B8" w:rsidRPr="001B5A8F" w:rsidRDefault="003500B8" w:rsidP="003500B8">
      <w:pPr>
        <w:rPr>
          <w:b/>
          <w:bCs/>
        </w:rPr>
      </w:pPr>
      <w:r w:rsidRPr="001B5A8F">
        <w:rPr>
          <w:b/>
          <w:bCs/>
        </w:rPr>
        <w:t>Employment</w:t>
      </w:r>
    </w:p>
    <w:p w14:paraId="6C7284D8" w14:textId="77777777" w:rsidR="003500B8" w:rsidRPr="001B5A8F" w:rsidRDefault="003500B8" w:rsidP="00313BBA">
      <w:pPr>
        <w:pStyle w:val="Quote"/>
      </w:pPr>
      <w:r w:rsidRPr="001B5A8F">
        <w:t>The increasing importance of tertiary education and skills development beyond secondary school is highlighted by the five-year projections that show more than nine-in-ten new jobs are projected to require post-school qualifications.</w:t>
      </w:r>
      <w:r w:rsidRPr="001B5A8F">
        <w:rPr>
          <w:rStyle w:val="FootnoteReference"/>
        </w:rPr>
        <w:footnoteReference w:id="20"/>
      </w:r>
    </w:p>
    <w:p w14:paraId="4A9ABADB" w14:textId="77777777" w:rsidR="00313BBA" w:rsidRDefault="00313BBA" w:rsidP="00313BBA"/>
    <w:p w14:paraId="63132C51" w14:textId="4AA8D907" w:rsidR="003500B8" w:rsidRPr="001B5A8F" w:rsidRDefault="003500B8" w:rsidP="008806BC">
      <w:pPr>
        <w:pStyle w:val="bullettedlist"/>
      </w:pPr>
      <w:r w:rsidRPr="001B5A8F">
        <w:t xml:space="preserve">53% of working age people with disability are in the labour force compared with 85% of </w:t>
      </w:r>
      <w:r w:rsidRPr="008806BC">
        <w:t>people</w:t>
      </w:r>
      <w:r w:rsidRPr="001B5A8F">
        <w:t xml:space="preserve"> without disability</w:t>
      </w:r>
    </w:p>
    <w:p w14:paraId="71980E52" w14:textId="77777777" w:rsidR="003500B8" w:rsidRPr="001B5A8F" w:rsidRDefault="003500B8" w:rsidP="008806BC">
      <w:pPr>
        <w:pStyle w:val="bullettedlist"/>
      </w:pPr>
      <w:r w:rsidRPr="001B5A8F">
        <w:t>Undergraduates with disability had a full-time employment rate of 58.7% per cent, compared with those without disability at 70% (</w:t>
      </w:r>
      <w:hyperlink r:id="rId88" w:history="1">
        <w:r w:rsidRPr="001B5A8F">
          <w:rPr>
            <w:rStyle w:val="Hyperlink"/>
          </w:rPr>
          <w:t>QILT, 2021</w:t>
        </w:r>
      </w:hyperlink>
      <w:r w:rsidRPr="001B5A8F">
        <w:t xml:space="preserve">)  </w:t>
      </w:r>
    </w:p>
    <w:p w14:paraId="6B9DF28A" w14:textId="4C9F53F9" w:rsidR="003500B8" w:rsidRDefault="003500B8" w:rsidP="008806BC">
      <w:pPr>
        <w:pStyle w:val="bullettedlist"/>
      </w:pPr>
      <w:r w:rsidRPr="001B5A8F">
        <w:t xml:space="preserve">22 out of 43 </w:t>
      </w:r>
      <w:r w:rsidRPr="008806BC">
        <w:t>universities</w:t>
      </w:r>
      <w:r w:rsidRPr="001B5A8F">
        <w:t xml:space="preserve"> are utilising </w:t>
      </w:r>
      <w:hyperlink r:id="rId89" w:history="1">
        <w:r w:rsidRPr="001B5A8F">
          <w:rPr>
            <w:rStyle w:val="Hyperlink"/>
          </w:rPr>
          <w:t>University Specialist Employment Program</w:t>
        </w:r>
      </w:hyperlink>
      <w:r w:rsidRPr="001B5A8F">
        <w:t xml:space="preserve"> (USEP) or </w:t>
      </w:r>
      <w:hyperlink r:id="rId90" w:history="1">
        <w:r w:rsidRPr="001B5A8F">
          <w:rPr>
            <w:rStyle w:val="Hyperlink"/>
          </w:rPr>
          <w:t>Gradwise</w:t>
        </w:r>
      </w:hyperlink>
      <w:r w:rsidRPr="001B5A8F">
        <w:t xml:space="preserve"> to help support graduates with disability</w:t>
      </w:r>
      <w:r w:rsidR="009F118B">
        <w:t>.</w:t>
      </w:r>
    </w:p>
    <w:sectPr w:rsidR="003500B8" w:rsidSect="00C37310">
      <w:headerReference w:type="default" r:id="rId91"/>
      <w:footerReference w:type="default" r:id="rId92"/>
      <w:pgSz w:w="12240" w:h="15840"/>
      <w:pgMar w:top="1440" w:right="1440" w:bottom="1134" w:left="1276"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303D" w14:textId="77777777" w:rsidR="00145491" w:rsidRDefault="00145491" w:rsidP="00E01341">
      <w:r>
        <w:separator/>
      </w:r>
    </w:p>
  </w:endnote>
  <w:endnote w:type="continuationSeparator" w:id="0">
    <w:p w14:paraId="16C4B3F8" w14:textId="77777777" w:rsidR="00145491" w:rsidRDefault="00145491" w:rsidP="00E01341">
      <w:r>
        <w:continuationSeparator/>
      </w:r>
    </w:p>
  </w:endnote>
  <w:endnote w:type="continuationNotice" w:id="1">
    <w:p w14:paraId="09BF3A0A" w14:textId="77777777" w:rsidR="00145491" w:rsidRDefault="00145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tletico Medium">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98307659"/>
      <w:docPartObj>
        <w:docPartGallery w:val="Page Numbers (Bottom of Page)"/>
        <w:docPartUnique/>
      </w:docPartObj>
    </w:sdtPr>
    <w:sdtEndPr>
      <w:rPr>
        <w:color w:val="003366"/>
        <w:spacing w:val="60"/>
      </w:rPr>
    </w:sdtEndPr>
    <w:sdtContent>
      <w:p w14:paraId="4A23B642" w14:textId="663C7649" w:rsidR="003C3281" w:rsidRPr="003A4B5C" w:rsidRDefault="003C3281" w:rsidP="003C3281">
        <w:pPr>
          <w:pStyle w:val="Footer"/>
          <w:pBdr>
            <w:top w:val="single" w:sz="4" w:space="1" w:color="003366"/>
          </w:pBdr>
          <w:jc w:val="right"/>
          <w:rPr>
            <w:color w:val="003366"/>
            <w:sz w:val="20"/>
            <w:szCs w:val="20"/>
          </w:rPr>
        </w:pPr>
        <w:r w:rsidRPr="003A4B5C">
          <w:rPr>
            <w:color w:val="003366"/>
            <w:sz w:val="20"/>
            <w:szCs w:val="20"/>
          </w:rPr>
          <w:fldChar w:fldCharType="begin"/>
        </w:r>
        <w:r w:rsidRPr="003A4B5C">
          <w:rPr>
            <w:color w:val="003366"/>
            <w:sz w:val="20"/>
            <w:szCs w:val="20"/>
          </w:rPr>
          <w:instrText xml:space="preserve"> PAGE   \* MERGEFORMAT </w:instrText>
        </w:r>
        <w:r w:rsidRPr="003A4B5C">
          <w:rPr>
            <w:color w:val="003366"/>
            <w:sz w:val="20"/>
            <w:szCs w:val="20"/>
          </w:rPr>
          <w:fldChar w:fldCharType="separate"/>
        </w:r>
        <w:r w:rsidRPr="003A4B5C">
          <w:rPr>
            <w:noProof/>
            <w:color w:val="003366"/>
            <w:sz w:val="20"/>
            <w:szCs w:val="20"/>
          </w:rPr>
          <w:t>2</w:t>
        </w:r>
        <w:r w:rsidRPr="003A4B5C">
          <w:rPr>
            <w:noProof/>
            <w:color w:val="003366"/>
            <w:sz w:val="20"/>
            <w:szCs w:val="20"/>
          </w:rPr>
          <w:fldChar w:fldCharType="end"/>
        </w:r>
        <w:r w:rsidRPr="003A4B5C">
          <w:rPr>
            <w:color w:val="003366"/>
            <w:sz w:val="20"/>
            <w:szCs w:val="20"/>
          </w:rPr>
          <w:t xml:space="preserve"> | </w:t>
        </w:r>
        <w:r w:rsidRPr="003A4B5C">
          <w:rPr>
            <w:color w:val="003366"/>
            <w:spacing w:val="60"/>
            <w:sz w:val="20"/>
            <w:szCs w:val="20"/>
          </w:rPr>
          <w:t>Page</w:t>
        </w:r>
      </w:p>
    </w:sdtContent>
  </w:sdt>
  <w:p w14:paraId="05576F35" w14:textId="77777777" w:rsidR="007971CD" w:rsidRDefault="0079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392E" w14:textId="77777777" w:rsidR="00145491" w:rsidRDefault="00145491" w:rsidP="00E01341">
      <w:r>
        <w:separator/>
      </w:r>
    </w:p>
  </w:footnote>
  <w:footnote w:type="continuationSeparator" w:id="0">
    <w:p w14:paraId="2BF9C94E" w14:textId="77777777" w:rsidR="00145491" w:rsidRDefault="00145491" w:rsidP="00E01341">
      <w:r>
        <w:continuationSeparator/>
      </w:r>
    </w:p>
  </w:footnote>
  <w:footnote w:type="continuationNotice" w:id="1">
    <w:p w14:paraId="7C5FC126" w14:textId="77777777" w:rsidR="00145491" w:rsidRDefault="00145491"/>
  </w:footnote>
  <w:footnote w:id="2">
    <w:p w14:paraId="007B5997" w14:textId="19FEA24D" w:rsidR="007A6BB3" w:rsidRPr="007A6BB3" w:rsidRDefault="007A6BB3" w:rsidP="007A6BB3">
      <w:pPr>
        <w:pStyle w:val="footnotetext0"/>
      </w:pPr>
      <w:r>
        <w:rPr>
          <w:rStyle w:val="FootnoteReference"/>
        </w:rPr>
        <w:footnoteRef/>
      </w:r>
      <w:r>
        <w:t xml:space="preserve"> Until recent changes in the legislation ADCET has always supported both HE and VET sectors.</w:t>
      </w:r>
    </w:p>
  </w:footnote>
  <w:footnote w:id="3">
    <w:p w14:paraId="334CECC8" w14:textId="106F6732" w:rsidR="27C7FFB0" w:rsidRDefault="27C7FFB0" w:rsidP="00726391">
      <w:pPr>
        <w:pStyle w:val="FootnoteText"/>
      </w:pPr>
      <w:r w:rsidRPr="27C7FFB0">
        <w:rPr>
          <w:rStyle w:val="FootnoteReference"/>
        </w:rPr>
        <w:footnoteRef/>
      </w:r>
      <w:r>
        <w:t xml:space="preserve"> Note: ADCET believes the TEQSA guidance note on equity requires significant review to align with our international commitments to ensure access to general tertiary education</w:t>
      </w:r>
      <w:r w:rsidR="002F23D1">
        <w:t xml:space="preserve"> as outlined </w:t>
      </w:r>
      <w:r>
        <w:t xml:space="preserve">in the </w:t>
      </w:r>
      <w:r w:rsidRPr="002F23D1">
        <w:rPr>
          <w:i/>
          <w:iCs/>
        </w:rPr>
        <w:t>United Nations Convention on the Rights of Persons with Disabilities</w:t>
      </w:r>
      <w:r>
        <w:t xml:space="preserve">. </w:t>
      </w:r>
    </w:p>
  </w:footnote>
  <w:footnote w:id="4">
    <w:p w14:paraId="3B8FF5A1" w14:textId="17893DA6" w:rsidR="00373507" w:rsidRPr="00373507" w:rsidRDefault="00373507">
      <w:pPr>
        <w:pStyle w:val="FootnoteText"/>
        <w:rPr>
          <w:lang w:val="en-AU"/>
        </w:rPr>
      </w:pPr>
      <w:r>
        <w:rPr>
          <w:rStyle w:val="FootnoteReference"/>
        </w:rPr>
        <w:footnoteRef/>
      </w:r>
      <w:r>
        <w:t xml:space="preserve"> </w:t>
      </w:r>
      <w:hyperlink r:id="rId1" w:history="1">
        <w:r w:rsidR="00971A31" w:rsidRPr="006047A4">
          <w:rPr>
            <w:rStyle w:val="Hyperlink"/>
            <w:i/>
            <w:iCs/>
            <w:sz w:val="18"/>
            <w:szCs w:val="14"/>
          </w:rPr>
          <w:t>Education attainment - Population with tertiary education - OECD Data</w:t>
        </w:r>
      </w:hyperlink>
    </w:p>
  </w:footnote>
  <w:footnote w:id="5">
    <w:p w14:paraId="25BE02A9" w14:textId="16B64C32" w:rsidR="00C22642" w:rsidRPr="00C22642" w:rsidRDefault="00C22642">
      <w:pPr>
        <w:pStyle w:val="FootnoteText"/>
        <w:rPr>
          <w:lang w:val="en-AU"/>
        </w:rPr>
      </w:pPr>
      <w:r>
        <w:rPr>
          <w:rStyle w:val="FootnoteReference"/>
        </w:rPr>
        <w:footnoteRef/>
      </w:r>
      <w:r>
        <w:t xml:space="preserve"> </w:t>
      </w:r>
      <w:hyperlink r:id="rId2" w:history="1">
        <w:r w:rsidRPr="00C22642">
          <w:rPr>
            <w:rStyle w:val="Hyperlink"/>
            <w:i/>
            <w:iCs/>
            <w:sz w:val="20"/>
            <w:szCs w:val="16"/>
          </w:rPr>
          <w:t xml:space="preserve">Disability, Work and </w:t>
        </w:r>
        <w:r w:rsidR="00916091" w:rsidRPr="00C22642">
          <w:rPr>
            <w:rStyle w:val="Hyperlink"/>
            <w:i/>
            <w:iCs/>
            <w:sz w:val="20"/>
            <w:szCs w:val="16"/>
          </w:rPr>
          <w:t>Inclusion:</w:t>
        </w:r>
        <w:r w:rsidRPr="00C22642">
          <w:rPr>
            <w:rStyle w:val="Hyperlink"/>
            <w:i/>
            <w:iCs/>
            <w:sz w:val="20"/>
            <w:szCs w:val="16"/>
          </w:rPr>
          <w:t xml:space="preserve"> Mainstreaming in All Policies and Practices – OECD</w:t>
        </w:r>
      </w:hyperlink>
      <w:r w:rsidRPr="00C22642">
        <w:rPr>
          <w:i/>
          <w:iCs/>
          <w:szCs w:val="16"/>
        </w:rPr>
        <w:t xml:space="preserve"> </w:t>
      </w:r>
    </w:p>
  </w:footnote>
  <w:footnote w:id="6">
    <w:p w14:paraId="775217E0" w14:textId="77777777" w:rsidR="00C22642" w:rsidRPr="0013355A" w:rsidRDefault="00C22642" w:rsidP="00C22642">
      <w:pPr>
        <w:pStyle w:val="footnotetext0"/>
      </w:pPr>
      <w:r>
        <w:rPr>
          <w:rStyle w:val="FootnoteReference"/>
        </w:rPr>
        <w:footnoteRef/>
      </w:r>
      <w:r>
        <w:t xml:space="preserve"> </w:t>
      </w:r>
      <w:hyperlink r:id="rId3" w:history="1">
        <w:r w:rsidRPr="0013355A">
          <w:rPr>
            <w:rStyle w:val="Hyperlink"/>
            <w:sz w:val="18"/>
            <w:szCs w:val="18"/>
          </w:rPr>
          <w:t>Education resources - Education spending - OECD Data</w:t>
        </w:r>
      </w:hyperlink>
    </w:p>
  </w:footnote>
  <w:footnote w:id="7">
    <w:p w14:paraId="38AAFAC4" w14:textId="35088872" w:rsidR="00A04F33" w:rsidRPr="00A04F33" w:rsidRDefault="00A04F33" w:rsidP="00A04F33">
      <w:pPr>
        <w:pStyle w:val="footnotetext0"/>
      </w:pPr>
      <w:r>
        <w:rPr>
          <w:rStyle w:val="FootnoteReference"/>
        </w:rPr>
        <w:footnoteRef/>
      </w:r>
      <w:r>
        <w:t xml:space="preserve"> </w:t>
      </w:r>
      <w:hyperlink r:id="rId4" w:history="1">
        <w:r>
          <w:rPr>
            <w:rStyle w:val="cf01"/>
            <w:color w:val="0000FF"/>
            <w:u w:val="single"/>
          </w:rPr>
          <w:t>2010-2023 Higher Education Participation and Partnerships Program (HEPPP) Participation Allocations</w:t>
        </w:r>
      </w:hyperlink>
    </w:p>
  </w:footnote>
  <w:footnote w:id="8">
    <w:p w14:paraId="14FD52D0" w14:textId="1A9EB692" w:rsidR="002F1460" w:rsidRPr="002F1460" w:rsidRDefault="002F1460">
      <w:pPr>
        <w:pStyle w:val="FootnoteText"/>
        <w:rPr>
          <w:lang w:val="en-AU"/>
        </w:rPr>
      </w:pPr>
      <w:r>
        <w:rPr>
          <w:rStyle w:val="FootnoteReference"/>
        </w:rPr>
        <w:footnoteRef/>
      </w:r>
      <w:r>
        <w:t xml:space="preserve"> </w:t>
      </w:r>
      <w:hyperlink r:id="rId5" w:history="1">
        <w:r w:rsidR="003C3A5F" w:rsidRPr="00C03F83">
          <w:rPr>
            <w:rStyle w:val="Hyperlink"/>
            <w:i/>
            <w:iCs/>
            <w:sz w:val="18"/>
            <w:szCs w:val="14"/>
          </w:rPr>
          <w:t>Calculating the costs of supporting people with disability in Australian higher education - NCSEHE</w:t>
        </w:r>
      </w:hyperlink>
    </w:p>
  </w:footnote>
  <w:footnote w:id="9">
    <w:p w14:paraId="08C591DC" w14:textId="77777777" w:rsidR="008F4771" w:rsidRPr="0013355A" w:rsidRDefault="008F4771" w:rsidP="008F4771">
      <w:pPr>
        <w:pStyle w:val="footnotetext0"/>
      </w:pPr>
      <w:r w:rsidRPr="0013355A">
        <w:rPr>
          <w:rStyle w:val="FootnoteReference"/>
          <w:szCs w:val="18"/>
        </w:rPr>
        <w:footnoteRef/>
      </w:r>
      <w:r w:rsidRPr="0013355A">
        <w:t xml:space="preserve"> </w:t>
      </w:r>
      <w:hyperlink r:id="rId6" w:history="1">
        <w:r w:rsidRPr="0013355A">
          <w:rPr>
            <w:rStyle w:val="Hyperlink"/>
            <w:sz w:val="18"/>
            <w:szCs w:val="18"/>
          </w:rPr>
          <w:t>Projecting employment to 2026 | National Skills Commission</w:t>
        </w:r>
      </w:hyperlink>
    </w:p>
  </w:footnote>
  <w:footnote w:id="10">
    <w:p w14:paraId="1E794C90" w14:textId="77777777" w:rsidR="008F4771" w:rsidRPr="0016293E" w:rsidRDefault="008F4771" w:rsidP="008F4771">
      <w:pPr>
        <w:pStyle w:val="footnotetext0"/>
      </w:pPr>
      <w:r w:rsidRPr="0013355A">
        <w:rPr>
          <w:rStyle w:val="FootnoteReference"/>
          <w:szCs w:val="18"/>
        </w:rPr>
        <w:footnoteRef/>
      </w:r>
      <w:r w:rsidRPr="0013355A">
        <w:t xml:space="preserve"> </w:t>
      </w:r>
      <w:hyperlink r:id="rId7" w:history="1">
        <w:r w:rsidRPr="0013355A">
          <w:rPr>
            <w:rStyle w:val="Hyperlink"/>
            <w:sz w:val="18"/>
            <w:szCs w:val="18"/>
          </w:rPr>
          <w:t>2021 Selected Higher Education Statistics – Section 16 Equity Performance</w:t>
        </w:r>
      </w:hyperlink>
    </w:p>
  </w:footnote>
  <w:footnote w:id="11">
    <w:p w14:paraId="4237AEDC" w14:textId="668798EB" w:rsidR="006540F9" w:rsidRPr="006540F9" w:rsidRDefault="006540F9" w:rsidP="0013355A">
      <w:pPr>
        <w:pStyle w:val="footnotetext0"/>
      </w:pPr>
      <w:r>
        <w:rPr>
          <w:rStyle w:val="FootnoteReference"/>
        </w:rPr>
        <w:footnoteRef/>
      </w:r>
      <w:r>
        <w:t xml:space="preserve"> </w:t>
      </w:r>
      <w:hyperlink r:id="rId8" w:anchor="GOS" w:history="1">
        <w:r w:rsidR="00B3038C" w:rsidRPr="00BA30D6">
          <w:rPr>
            <w:rStyle w:val="Hyperlink"/>
            <w:sz w:val="18"/>
            <w:szCs w:val="18"/>
          </w:rPr>
          <w:t>Current HE Data Analysis - ADC</w:t>
        </w:r>
        <w:r w:rsidR="00A26595">
          <w:rPr>
            <w:rStyle w:val="Hyperlink"/>
            <w:sz w:val="18"/>
            <w:szCs w:val="18"/>
          </w:rPr>
          <w:t>ET</w:t>
        </w:r>
      </w:hyperlink>
    </w:p>
  </w:footnote>
  <w:footnote w:id="12">
    <w:p w14:paraId="3D322BC2" w14:textId="77777777" w:rsidR="009E2B83" w:rsidRPr="00D4501A" w:rsidRDefault="009E2B83" w:rsidP="009E2B83">
      <w:pPr>
        <w:pStyle w:val="FootnoteText"/>
        <w:rPr>
          <w:sz w:val="18"/>
          <w:szCs w:val="18"/>
        </w:rPr>
      </w:pPr>
      <w:r w:rsidRPr="00D4501A">
        <w:rPr>
          <w:rStyle w:val="FootnoteReference"/>
          <w:sz w:val="18"/>
          <w:szCs w:val="18"/>
        </w:rPr>
        <w:footnoteRef/>
      </w:r>
      <w:r w:rsidRPr="00D4501A">
        <w:rPr>
          <w:sz w:val="18"/>
          <w:szCs w:val="18"/>
        </w:rPr>
        <w:t xml:space="preserve"> </w:t>
      </w:r>
      <w:hyperlink r:id="rId9" w:history="1">
        <w:r w:rsidRPr="00D4501A">
          <w:rPr>
            <w:rStyle w:val="Hyperlink"/>
            <w:sz w:val="18"/>
            <w:szCs w:val="18"/>
          </w:rPr>
          <w:t>Education and learning | Royal Commission into Violence, Abuse, Neglect and Exploitation of People with Disability</w:t>
        </w:r>
      </w:hyperlink>
    </w:p>
  </w:footnote>
  <w:footnote w:id="13">
    <w:p w14:paraId="48C5743D" w14:textId="77777777" w:rsidR="009E2B83" w:rsidRPr="00D4501A" w:rsidRDefault="009E2B83" w:rsidP="009E2B83">
      <w:pPr>
        <w:pStyle w:val="FootnoteText"/>
        <w:rPr>
          <w:sz w:val="18"/>
          <w:szCs w:val="18"/>
        </w:rPr>
      </w:pPr>
      <w:r w:rsidRPr="00D4501A">
        <w:rPr>
          <w:rStyle w:val="FootnoteReference"/>
          <w:sz w:val="18"/>
          <w:szCs w:val="18"/>
        </w:rPr>
        <w:footnoteRef/>
      </w:r>
      <w:r w:rsidRPr="00D4501A">
        <w:rPr>
          <w:sz w:val="18"/>
          <w:szCs w:val="18"/>
        </w:rPr>
        <w:t xml:space="preserve"> </w:t>
      </w:r>
      <w:hyperlink r:id="rId10" w:history="1">
        <w:r w:rsidRPr="00D4501A">
          <w:rPr>
            <w:rStyle w:val="Hyperlink"/>
            <w:sz w:val="18"/>
            <w:szCs w:val="18"/>
          </w:rPr>
          <w:t>Employment | Royal Commission into Violence, Abuse, Neglect and Exploitation of People with Disability</w:t>
        </w:r>
      </w:hyperlink>
    </w:p>
  </w:footnote>
  <w:footnote w:id="14">
    <w:p w14:paraId="5A091BEE" w14:textId="6B58D3E0" w:rsidR="009E2B83" w:rsidRPr="009914DD" w:rsidRDefault="009E2B83" w:rsidP="009E2B83">
      <w:pPr>
        <w:pStyle w:val="FootnoteText"/>
        <w:rPr>
          <w:sz w:val="16"/>
          <w:szCs w:val="16"/>
        </w:rPr>
      </w:pPr>
      <w:r>
        <w:rPr>
          <w:rStyle w:val="FootnoteReference"/>
        </w:rPr>
        <w:footnoteRef/>
      </w:r>
      <w:hyperlink r:id="rId11" w:history="1">
        <w:r w:rsidRPr="009914DD">
          <w:rPr>
            <w:rStyle w:val="Hyperlink"/>
            <w:sz w:val="18"/>
            <w:szCs w:val="16"/>
          </w:rPr>
          <w:t>2020 Employment Projections - for the five years to November 2025 | National Skills Commission</w:t>
        </w:r>
      </w:hyperlink>
    </w:p>
  </w:footnote>
  <w:footnote w:id="15">
    <w:p w14:paraId="2A815626" w14:textId="77777777" w:rsidR="009E2B83" w:rsidRPr="009914DD" w:rsidRDefault="009E2B83" w:rsidP="009E2B83">
      <w:pPr>
        <w:pStyle w:val="FootnoteText"/>
        <w:rPr>
          <w:sz w:val="16"/>
          <w:szCs w:val="16"/>
        </w:rPr>
      </w:pPr>
      <w:r w:rsidRPr="009914DD">
        <w:rPr>
          <w:rStyle w:val="FootnoteReference"/>
          <w:sz w:val="16"/>
          <w:szCs w:val="16"/>
        </w:rPr>
        <w:footnoteRef/>
      </w:r>
      <w:r w:rsidRPr="009914DD">
        <w:rPr>
          <w:sz w:val="16"/>
          <w:szCs w:val="16"/>
        </w:rPr>
        <w:t xml:space="preserve"> </w:t>
      </w:r>
      <w:hyperlink r:id="rId12" w:history="1">
        <w:r w:rsidRPr="009914DD">
          <w:rPr>
            <w:rStyle w:val="Hyperlink"/>
            <w:sz w:val="18"/>
            <w:szCs w:val="16"/>
          </w:rPr>
          <w:t>Graduate Outcomes Survey (qilt.edu.au)</w:t>
        </w:r>
      </w:hyperlink>
    </w:p>
  </w:footnote>
  <w:footnote w:id="16">
    <w:p w14:paraId="3ED2BDBB" w14:textId="77777777" w:rsidR="009E2B83" w:rsidRPr="009914DD" w:rsidRDefault="009E2B83" w:rsidP="009E2B83">
      <w:pPr>
        <w:pStyle w:val="FootnoteText"/>
        <w:rPr>
          <w:sz w:val="16"/>
          <w:szCs w:val="16"/>
        </w:rPr>
      </w:pPr>
      <w:r w:rsidRPr="009914DD">
        <w:rPr>
          <w:rStyle w:val="FootnoteReference"/>
          <w:sz w:val="16"/>
          <w:szCs w:val="16"/>
        </w:rPr>
        <w:footnoteRef/>
      </w:r>
      <w:r w:rsidRPr="009914DD">
        <w:rPr>
          <w:sz w:val="16"/>
          <w:szCs w:val="16"/>
        </w:rPr>
        <w:t xml:space="preserve"> </w:t>
      </w:r>
      <w:hyperlink r:id="rId13" w:history="1">
        <w:r w:rsidRPr="009914DD">
          <w:rPr>
            <w:rStyle w:val="Hyperlink"/>
            <w:sz w:val="18"/>
            <w:szCs w:val="16"/>
          </w:rPr>
          <w:t>AHRI Diversity &amp; Inclusion Maturity Model | Australian HR Institute</w:t>
        </w:r>
      </w:hyperlink>
    </w:p>
  </w:footnote>
  <w:footnote w:id="17">
    <w:p w14:paraId="35C5852D" w14:textId="77777777" w:rsidR="009E2B83" w:rsidRPr="009914DD" w:rsidRDefault="009E2B83" w:rsidP="009E2B83">
      <w:pPr>
        <w:pStyle w:val="FootnoteText"/>
        <w:rPr>
          <w:sz w:val="16"/>
          <w:szCs w:val="16"/>
        </w:rPr>
      </w:pPr>
      <w:r w:rsidRPr="009914DD">
        <w:rPr>
          <w:rStyle w:val="FootnoteReference"/>
          <w:sz w:val="16"/>
          <w:szCs w:val="16"/>
        </w:rPr>
        <w:footnoteRef/>
      </w:r>
      <w:r w:rsidRPr="009914DD">
        <w:rPr>
          <w:sz w:val="16"/>
          <w:szCs w:val="16"/>
        </w:rPr>
        <w:t xml:space="preserve"> </w:t>
      </w:r>
      <w:hyperlink r:id="rId14" w:history="1">
        <w:r w:rsidRPr="009914DD">
          <w:rPr>
            <w:rStyle w:val="Hyperlink"/>
            <w:sz w:val="18"/>
            <w:szCs w:val="16"/>
          </w:rPr>
          <w:t>Increasing employment for people with disability</w:t>
        </w:r>
      </w:hyperlink>
    </w:p>
  </w:footnote>
  <w:footnote w:id="18">
    <w:p w14:paraId="7592EBCE" w14:textId="77777777" w:rsidR="009E2B83" w:rsidRDefault="009E2B83" w:rsidP="009E2B83">
      <w:pPr>
        <w:pStyle w:val="FootnoteText"/>
      </w:pPr>
      <w:r w:rsidRPr="009914DD">
        <w:rPr>
          <w:rStyle w:val="FootnoteReference"/>
          <w:sz w:val="16"/>
          <w:szCs w:val="16"/>
        </w:rPr>
        <w:footnoteRef/>
      </w:r>
      <w:r w:rsidRPr="009914DD">
        <w:rPr>
          <w:sz w:val="16"/>
          <w:szCs w:val="16"/>
        </w:rPr>
        <w:t xml:space="preserve"> </w:t>
      </w:r>
      <w:hyperlink r:id="rId15" w:history="1">
        <w:r w:rsidRPr="009914DD">
          <w:rPr>
            <w:rStyle w:val="Hyperlink"/>
            <w:sz w:val="18"/>
            <w:szCs w:val="16"/>
          </w:rPr>
          <w:t>National Skills Commission Annual Report 2020-2021</w:t>
        </w:r>
      </w:hyperlink>
    </w:p>
  </w:footnote>
  <w:footnote w:id="19">
    <w:p w14:paraId="5EEBE0E5" w14:textId="77777777" w:rsidR="003500B8" w:rsidRDefault="003500B8" w:rsidP="003500B8">
      <w:pPr>
        <w:pStyle w:val="FootnoteText"/>
      </w:pPr>
      <w:r>
        <w:rPr>
          <w:rStyle w:val="FootnoteReference"/>
        </w:rPr>
        <w:footnoteRef/>
      </w:r>
      <w:r>
        <w:t xml:space="preserve"> </w:t>
      </w:r>
      <w:hyperlink r:id="rId16" w:history="1">
        <w:r w:rsidRPr="009914DD">
          <w:rPr>
            <w:rStyle w:val="Hyperlink"/>
            <w:sz w:val="18"/>
            <w:szCs w:val="18"/>
          </w:rPr>
          <w:t>2020 Employment Projections - for the five years to November 2025 | National Skills Commission</w:t>
        </w:r>
      </w:hyperlink>
    </w:p>
    <w:p w14:paraId="1A1FA34F" w14:textId="77777777" w:rsidR="003500B8" w:rsidRDefault="003500B8" w:rsidP="003500B8">
      <w:pPr>
        <w:pStyle w:val="FootnoteText"/>
      </w:pPr>
    </w:p>
  </w:footnote>
  <w:footnote w:id="20">
    <w:p w14:paraId="4AC8D9AD" w14:textId="77777777" w:rsidR="003500B8" w:rsidRDefault="003500B8" w:rsidP="003500B8">
      <w:pPr>
        <w:pStyle w:val="FootnoteText"/>
      </w:pPr>
      <w:r>
        <w:rPr>
          <w:rStyle w:val="FootnoteReference"/>
        </w:rPr>
        <w:footnoteRef/>
      </w:r>
      <w:r>
        <w:t xml:space="preserve"> </w:t>
      </w:r>
      <w:hyperlink r:id="rId17" w:history="1">
        <w:r w:rsidRPr="009914DD">
          <w:rPr>
            <w:rStyle w:val="Hyperlink"/>
            <w:sz w:val="18"/>
            <w:szCs w:val="16"/>
          </w:rPr>
          <w:t>National Skills Commission Annual Report 2020-2021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93EF" w14:textId="25980D3F" w:rsidR="00867CD6" w:rsidRDefault="00867CD6" w:rsidP="00D945CE">
    <w:pPr>
      <w:pStyle w:val="Header"/>
      <w:jc w:val="right"/>
    </w:pPr>
    <w:r>
      <w:rPr>
        <w:noProof/>
      </w:rPr>
      <w:drawing>
        <wp:inline distT="0" distB="0" distL="0" distR="0" wp14:anchorId="5541017B" wp14:editId="364EC81C">
          <wp:extent cx="2532414" cy="742950"/>
          <wp:effectExtent l="0" t="0" r="1270" b="0"/>
          <wp:docPr id="6" name="Picture 6" descr="Logo for ADCET which stands for Australia Disability Clearinghouse on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for ADCET which stands for Australia Disability Clearinghouse on Education and Training"/>
                  <pic:cNvPicPr/>
                </pic:nvPicPr>
                <pic:blipFill>
                  <a:blip r:embed="rId1">
                    <a:extLst>
                      <a:ext uri="{28A0092B-C50C-407E-A947-70E740481C1C}">
                        <a14:useLocalDpi xmlns:a14="http://schemas.microsoft.com/office/drawing/2010/main" val="0"/>
                      </a:ext>
                    </a:extLst>
                  </a:blip>
                  <a:stretch>
                    <a:fillRect/>
                  </a:stretch>
                </pic:blipFill>
                <pic:spPr>
                  <a:xfrm>
                    <a:off x="0" y="0"/>
                    <a:ext cx="2547765" cy="747454"/>
                  </a:xfrm>
                  <a:prstGeom prst="rect">
                    <a:avLst/>
                  </a:prstGeom>
                </pic:spPr>
              </pic:pic>
            </a:graphicData>
          </a:graphic>
        </wp:inline>
      </w:drawing>
    </w:r>
  </w:p>
  <w:p w14:paraId="79AEF430" w14:textId="77777777" w:rsidR="001F186B" w:rsidRDefault="001F186B" w:rsidP="00D945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7F1C"/>
    <w:multiLevelType w:val="hybridMultilevel"/>
    <w:tmpl w:val="9A6467FE"/>
    <w:lvl w:ilvl="0" w:tplc="E656F6C0">
      <w:start w:val="1"/>
      <w:numFmt w:val="bullet"/>
      <w:pStyle w:val="Bulletlistnospaces"/>
      <w:lvlText w:val=""/>
      <w:lvlJc w:val="left"/>
      <w:pPr>
        <w:ind w:left="720" w:hanging="360"/>
      </w:pPr>
      <w:rPr>
        <w:rFonts w:ascii="Wingdings" w:hAnsi="Wingdings" w:hint="default"/>
        <w:b w:val="0"/>
        <w:i w:val="0"/>
        <w:sz w:val="22"/>
        <w:u w:color="1F3864" w:themeColor="accent1" w:themeShade="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A138C6"/>
    <w:multiLevelType w:val="hybridMultilevel"/>
    <w:tmpl w:val="A106D6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EA4F40"/>
    <w:multiLevelType w:val="hybridMultilevel"/>
    <w:tmpl w:val="8236C74E"/>
    <w:lvl w:ilvl="0" w:tplc="B0124CBA">
      <w:start w:val="1"/>
      <w:numFmt w:val="bullet"/>
      <w:pStyle w:val="Tablelist"/>
      <w:lvlText w:val=""/>
      <w:lvlJc w:val="left"/>
      <w:pPr>
        <w:ind w:left="1440" w:hanging="360"/>
      </w:pPr>
      <w:rPr>
        <w:rFonts w:ascii="Wingdings" w:hAnsi="Wingdings" w:hint="default"/>
        <w:b w:val="0"/>
        <w:i w:val="0"/>
        <w:sz w:val="22"/>
        <w:u w:color="1F3864" w:themeColor="accent1" w:themeShade="80"/>
      </w:rPr>
    </w:lvl>
    <w:lvl w:ilvl="1" w:tplc="1766F548">
      <w:start w:val="1"/>
      <w:numFmt w:val="bullet"/>
      <w:pStyle w:val="Listparasecondlevel"/>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9721ABB"/>
    <w:multiLevelType w:val="hybridMultilevel"/>
    <w:tmpl w:val="5EB82B7A"/>
    <w:lvl w:ilvl="0" w:tplc="BF966FF2">
      <w:start w:val="1"/>
      <w:numFmt w:val="decimal"/>
      <w:pStyle w:val="numberlist"/>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C7638C"/>
    <w:multiLevelType w:val="hybridMultilevel"/>
    <w:tmpl w:val="48D4688A"/>
    <w:lvl w:ilvl="0" w:tplc="CFB4DECE">
      <w:start w:val="1"/>
      <w:numFmt w:val="decimal"/>
      <w:pStyle w:val="numberpara"/>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428C49BD"/>
    <w:multiLevelType w:val="hybridMultilevel"/>
    <w:tmpl w:val="D8D632C0"/>
    <w:lvl w:ilvl="0" w:tplc="DB5AAE86">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plc="55062C4C">
      <w:numFmt w:val="bullet"/>
      <w:pStyle w:val="bullet2"/>
      <w:lvlText w:val="o"/>
      <w:lvlJc w:val="left"/>
      <w:pPr>
        <w:tabs>
          <w:tab w:val="num" w:pos="1440"/>
        </w:tabs>
        <w:ind w:left="1440" w:hanging="360"/>
      </w:pPr>
      <w:rPr>
        <w:rFonts w:ascii="Courier New" w:hAnsi="Courier New" w:hint="default"/>
        <w:sz w:val="20"/>
      </w:rPr>
    </w:lvl>
    <w:lvl w:ilvl="2" w:tplc="A5E832B2">
      <w:numFmt w:val="bullet"/>
      <w:lvlText w:val=""/>
      <w:lvlJc w:val="left"/>
      <w:pPr>
        <w:tabs>
          <w:tab w:val="num" w:pos="2160"/>
        </w:tabs>
        <w:ind w:left="2160" w:hanging="360"/>
      </w:pPr>
      <w:rPr>
        <w:rFonts w:ascii="Wingdings" w:hAnsi="Wingdings" w:hint="default"/>
        <w:sz w:val="20"/>
      </w:rPr>
    </w:lvl>
    <w:lvl w:ilvl="3" w:tplc="3E1C4D98" w:tentative="1">
      <w:numFmt w:val="bullet"/>
      <w:lvlText w:val=""/>
      <w:lvlJc w:val="left"/>
      <w:pPr>
        <w:tabs>
          <w:tab w:val="num" w:pos="2880"/>
        </w:tabs>
        <w:ind w:left="2880" w:hanging="360"/>
      </w:pPr>
      <w:rPr>
        <w:rFonts w:ascii="Wingdings" w:hAnsi="Wingdings" w:hint="default"/>
        <w:sz w:val="20"/>
      </w:rPr>
    </w:lvl>
    <w:lvl w:ilvl="4" w:tplc="36280706" w:tentative="1">
      <w:numFmt w:val="bullet"/>
      <w:lvlText w:val=""/>
      <w:lvlJc w:val="left"/>
      <w:pPr>
        <w:tabs>
          <w:tab w:val="num" w:pos="3600"/>
        </w:tabs>
        <w:ind w:left="3600" w:hanging="360"/>
      </w:pPr>
      <w:rPr>
        <w:rFonts w:ascii="Wingdings" w:hAnsi="Wingdings" w:hint="default"/>
        <w:sz w:val="20"/>
      </w:rPr>
    </w:lvl>
    <w:lvl w:ilvl="5" w:tplc="E6AE6066" w:tentative="1">
      <w:numFmt w:val="bullet"/>
      <w:lvlText w:val=""/>
      <w:lvlJc w:val="left"/>
      <w:pPr>
        <w:tabs>
          <w:tab w:val="num" w:pos="4320"/>
        </w:tabs>
        <w:ind w:left="4320" w:hanging="360"/>
      </w:pPr>
      <w:rPr>
        <w:rFonts w:ascii="Wingdings" w:hAnsi="Wingdings" w:hint="default"/>
        <w:sz w:val="20"/>
      </w:rPr>
    </w:lvl>
    <w:lvl w:ilvl="6" w:tplc="C4F45394" w:tentative="1">
      <w:numFmt w:val="bullet"/>
      <w:lvlText w:val=""/>
      <w:lvlJc w:val="left"/>
      <w:pPr>
        <w:tabs>
          <w:tab w:val="num" w:pos="5040"/>
        </w:tabs>
        <w:ind w:left="5040" w:hanging="360"/>
      </w:pPr>
      <w:rPr>
        <w:rFonts w:ascii="Wingdings" w:hAnsi="Wingdings" w:hint="default"/>
        <w:sz w:val="20"/>
      </w:rPr>
    </w:lvl>
    <w:lvl w:ilvl="7" w:tplc="CF8E1C14" w:tentative="1">
      <w:numFmt w:val="bullet"/>
      <w:lvlText w:val=""/>
      <w:lvlJc w:val="left"/>
      <w:pPr>
        <w:tabs>
          <w:tab w:val="num" w:pos="5760"/>
        </w:tabs>
        <w:ind w:left="5760" w:hanging="360"/>
      </w:pPr>
      <w:rPr>
        <w:rFonts w:ascii="Wingdings" w:hAnsi="Wingdings" w:hint="default"/>
        <w:sz w:val="20"/>
      </w:rPr>
    </w:lvl>
    <w:lvl w:ilvl="8" w:tplc="ADCA8D06"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E17C7"/>
    <w:multiLevelType w:val="hybridMultilevel"/>
    <w:tmpl w:val="1C88D2A0"/>
    <w:lvl w:ilvl="0" w:tplc="02108FEC">
      <w:start w:val="1"/>
      <w:numFmt w:val="bullet"/>
      <w:pStyle w:val="dotpoin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97378103">
    <w:abstractNumId w:val="5"/>
  </w:num>
  <w:num w:numId="2" w16cid:durableId="420614240">
    <w:abstractNumId w:val="6"/>
  </w:num>
  <w:num w:numId="3" w16cid:durableId="96408265">
    <w:abstractNumId w:val="0"/>
  </w:num>
  <w:num w:numId="4" w16cid:durableId="473377698">
    <w:abstractNumId w:val="4"/>
  </w:num>
  <w:num w:numId="5" w16cid:durableId="2126073611">
    <w:abstractNumId w:val="2"/>
  </w:num>
  <w:num w:numId="6" w16cid:durableId="13263934">
    <w:abstractNumId w:val="3"/>
  </w:num>
  <w:num w:numId="7" w16cid:durableId="118791058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F13F43"/>
    <w:rsid w:val="00000FA7"/>
    <w:rsid w:val="00002A7D"/>
    <w:rsid w:val="00002BAA"/>
    <w:rsid w:val="00002CEE"/>
    <w:rsid w:val="00002F80"/>
    <w:rsid w:val="000030AF"/>
    <w:rsid w:val="000033B4"/>
    <w:rsid w:val="00003B4A"/>
    <w:rsid w:val="00003ED4"/>
    <w:rsid w:val="000040F4"/>
    <w:rsid w:val="000042FA"/>
    <w:rsid w:val="000052EE"/>
    <w:rsid w:val="00005C3E"/>
    <w:rsid w:val="00005DA7"/>
    <w:rsid w:val="00005E06"/>
    <w:rsid w:val="00006669"/>
    <w:rsid w:val="00010647"/>
    <w:rsid w:val="00010BC2"/>
    <w:rsid w:val="00010BF0"/>
    <w:rsid w:val="00011968"/>
    <w:rsid w:val="00012027"/>
    <w:rsid w:val="000121C4"/>
    <w:rsid w:val="00012BAE"/>
    <w:rsid w:val="0001583B"/>
    <w:rsid w:val="00016BD9"/>
    <w:rsid w:val="000201F0"/>
    <w:rsid w:val="00020BAC"/>
    <w:rsid w:val="00020D2C"/>
    <w:rsid w:val="000213AD"/>
    <w:rsid w:val="000217A0"/>
    <w:rsid w:val="00022638"/>
    <w:rsid w:val="00022A7F"/>
    <w:rsid w:val="00023C5A"/>
    <w:rsid w:val="00024A3A"/>
    <w:rsid w:val="00025184"/>
    <w:rsid w:val="00027D88"/>
    <w:rsid w:val="00027F69"/>
    <w:rsid w:val="0003087C"/>
    <w:rsid w:val="00030ADE"/>
    <w:rsid w:val="00031230"/>
    <w:rsid w:val="00031D46"/>
    <w:rsid w:val="00032927"/>
    <w:rsid w:val="00034070"/>
    <w:rsid w:val="0003458E"/>
    <w:rsid w:val="000346D4"/>
    <w:rsid w:val="0003491A"/>
    <w:rsid w:val="0003533E"/>
    <w:rsid w:val="00035AAF"/>
    <w:rsid w:val="00036D3B"/>
    <w:rsid w:val="00036E74"/>
    <w:rsid w:val="00037C44"/>
    <w:rsid w:val="00037EB1"/>
    <w:rsid w:val="00040FA6"/>
    <w:rsid w:val="00041925"/>
    <w:rsid w:val="00043E23"/>
    <w:rsid w:val="0004427A"/>
    <w:rsid w:val="00044C42"/>
    <w:rsid w:val="00044E6D"/>
    <w:rsid w:val="00045CD1"/>
    <w:rsid w:val="00046B49"/>
    <w:rsid w:val="000472BE"/>
    <w:rsid w:val="00047BFE"/>
    <w:rsid w:val="00050B3C"/>
    <w:rsid w:val="00050FC1"/>
    <w:rsid w:val="000514F6"/>
    <w:rsid w:val="00052347"/>
    <w:rsid w:val="000524C1"/>
    <w:rsid w:val="0005268F"/>
    <w:rsid w:val="00052AC1"/>
    <w:rsid w:val="00053825"/>
    <w:rsid w:val="00053F8A"/>
    <w:rsid w:val="000540C3"/>
    <w:rsid w:val="00054E63"/>
    <w:rsid w:val="0005509B"/>
    <w:rsid w:val="00055CEA"/>
    <w:rsid w:val="00056FBA"/>
    <w:rsid w:val="000571E4"/>
    <w:rsid w:val="00057C6E"/>
    <w:rsid w:val="00060CB9"/>
    <w:rsid w:val="00062C1D"/>
    <w:rsid w:val="000632DD"/>
    <w:rsid w:val="0006470A"/>
    <w:rsid w:val="00064A3D"/>
    <w:rsid w:val="00064A59"/>
    <w:rsid w:val="00065084"/>
    <w:rsid w:val="00065F60"/>
    <w:rsid w:val="000664A1"/>
    <w:rsid w:val="000671B2"/>
    <w:rsid w:val="00070355"/>
    <w:rsid w:val="000709A4"/>
    <w:rsid w:val="00070CEA"/>
    <w:rsid w:val="000717AB"/>
    <w:rsid w:val="00071967"/>
    <w:rsid w:val="00071A6A"/>
    <w:rsid w:val="0007231E"/>
    <w:rsid w:val="0007345C"/>
    <w:rsid w:val="00073C24"/>
    <w:rsid w:val="000768C6"/>
    <w:rsid w:val="00076C4D"/>
    <w:rsid w:val="0008002A"/>
    <w:rsid w:val="0008091A"/>
    <w:rsid w:val="0008098A"/>
    <w:rsid w:val="00081DAF"/>
    <w:rsid w:val="00082038"/>
    <w:rsid w:val="0008216A"/>
    <w:rsid w:val="00082976"/>
    <w:rsid w:val="00082FC0"/>
    <w:rsid w:val="000837C4"/>
    <w:rsid w:val="00084A64"/>
    <w:rsid w:val="00085817"/>
    <w:rsid w:val="00090516"/>
    <w:rsid w:val="000917DC"/>
    <w:rsid w:val="000921F6"/>
    <w:rsid w:val="00092DC5"/>
    <w:rsid w:val="00093D2C"/>
    <w:rsid w:val="00094D3B"/>
    <w:rsid w:val="00095558"/>
    <w:rsid w:val="00095C4A"/>
    <w:rsid w:val="000960E2"/>
    <w:rsid w:val="00096316"/>
    <w:rsid w:val="000965FD"/>
    <w:rsid w:val="0009667A"/>
    <w:rsid w:val="000967F3"/>
    <w:rsid w:val="00096DE3"/>
    <w:rsid w:val="00096E23"/>
    <w:rsid w:val="00097066"/>
    <w:rsid w:val="00097746"/>
    <w:rsid w:val="000A07A9"/>
    <w:rsid w:val="000A1776"/>
    <w:rsid w:val="000A1E21"/>
    <w:rsid w:val="000A25FE"/>
    <w:rsid w:val="000A4F4C"/>
    <w:rsid w:val="000A553A"/>
    <w:rsid w:val="000A5CED"/>
    <w:rsid w:val="000A76AF"/>
    <w:rsid w:val="000B0573"/>
    <w:rsid w:val="000B146E"/>
    <w:rsid w:val="000B20FB"/>
    <w:rsid w:val="000B3872"/>
    <w:rsid w:val="000B3A3E"/>
    <w:rsid w:val="000B3DA2"/>
    <w:rsid w:val="000B48C7"/>
    <w:rsid w:val="000B4B78"/>
    <w:rsid w:val="000B4E41"/>
    <w:rsid w:val="000B52B9"/>
    <w:rsid w:val="000B5BF7"/>
    <w:rsid w:val="000B5E9B"/>
    <w:rsid w:val="000B7888"/>
    <w:rsid w:val="000C1FF6"/>
    <w:rsid w:val="000C2167"/>
    <w:rsid w:val="000C4C9C"/>
    <w:rsid w:val="000C57EE"/>
    <w:rsid w:val="000C7E93"/>
    <w:rsid w:val="000D167F"/>
    <w:rsid w:val="000D1B06"/>
    <w:rsid w:val="000D1FB7"/>
    <w:rsid w:val="000D20A4"/>
    <w:rsid w:val="000D22B0"/>
    <w:rsid w:val="000D2658"/>
    <w:rsid w:val="000D2A79"/>
    <w:rsid w:val="000D3228"/>
    <w:rsid w:val="000D34B5"/>
    <w:rsid w:val="000D4374"/>
    <w:rsid w:val="000D45A8"/>
    <w:rsid w:val="000D50E5"/>
    <w:rsid w:val="000D53C2"/>
    <w:rsid w:val="000D53E4"/>
    <w:rsid w:val="000D54D5"/>
    <w:rsid w:val="000D5A4D"/>
    <w:rsid w:val="000D5B30"/>
    <w:rsid w:val="000D6DD0"/>
    <w:rsid w:val="000E0877"/>
    <w:rsid w:val="000E0D0B"/>
    <w:rsid w:val="000E134A"/>
    <w:rsid w:val="000E171F"/>
    <w:rsid w:val="000E1D92"/>
    <w:rsid w:val="000E1FB7"/>
    <w:rsid w:val="000E2F80"/>
    <w:rsid w:val="000E397A"/>
    <w:rsid w:val="000E4455"/>
    <w:rsid w:val="000E6176"/>
    <w:rsid w:val="000E7391"/>
    <w:rsid w:val="000E7481"/>
    <w:rsid w:val="000E7920"/>
    <w:rsid w:val="000E7D70"/>
    <w:rsid w:val="000F00B1"/>
    <w:rsid w:val="000F0609"/>
    <w:rsid w:val="000F0910"/>
    <w:rsid w:val="000F17F1"/>
    <w:rsid w:val="000F1AB9"/>
    <w:rsid w:val="000F2326"/>
    <w:rsid w:val="000F24C9"/>
    <w:rsid w:val="000F3381"/>
    <w:rsid w:val="000F338C"/>
    <w:rsid w:val="000F39D7"/>
    <w:rsid w:val="000F4608"/>
    <w:rsid w:val="000F48F4"/>
    <w:rsid w:val="000F4B1B"/>
    <w:rsid w:val="000F5520"/>
    <w:rsid w:val="000F5C63"/>
    <w:rsid w:val="000F66C0"/>
    <w:rsid w:val="000F6878"/>
    <w:rsid w:val="000F6ACD"/>
    <w:rsid w:val="000F73B5"/>
    <w:rsid w:val="000F7BBC"/>
    <w:rsid w:val="000F7C0A"/>
    <w:rsid w:val="00100343"/>
    <w:rsid w:val="0010246D"/>
    <w:rsid w:val="00102E83"/>
    <w:rsid w:val="00103BE7"/>
    <w:rsid w:val="001046F3"/>
    <w:rsid w:val="00105295"/>
    <w:rsid w:val="001054D6"/>
    <w:rsid w:val="0010654A"/>
    <w:rsid w:val="001069AD"/>
    <w:rsid w:val="0010706C"/>
    <w:rsid w:val="0010725F"/>
    <w:rsid w:val="00107FBA"/>
    <w:rsid w:val="00110082"/>
    <w:rsid w:val="0011017C"/>
    <w:rsid w:val="001109D4"/>
    <w:rsid w:val="001120B2"/>
    <w:rsid w:val="001127A7"/>
    <w:rsid w:val="00112EE1"/>
    <w:rsid w:val="001139E3"/>
    <w:rsid w:val="00115C5D"/>
    <w:rsid w:val="0011675B"/>
    <w:rsid w:val="0011694C"/>
    <w:rsid w:val="00117092"/>
    <w:rsid w:val="00118263"/>
    <w:rsid w:val="00120CD2"/>
    <w:rsid w:val="0012112C"/>
    <w:rsid w:val="0012177F"/>
    <w:rsid w:val="00121D28"/>
    <w:rsid w:val="00122344"/>
    <w:rsid w:val="0012380F"/>
    <w:rsid w:val="00124624"/>
    <w:rsid w:val="00124CE4"/>
    <w:rsid w:val="001250F2"/>
    <w:rsid w:val="00125EE9"/>
    <w:rsid w:val="00126771"/>
    <w:rsid w:val="00126E77"/>
    <w:rsid w:val="00127039"/>
    <w:rsid w:val="00130DC5"/>
    <w:rsid w:val="00130E9F"/>
    <w:rsid w:val="00132030"/>
    <w:rsid w:val="00132BB0"/>
    <w:rsid w:val="00132E88"/>
    <w:rsid w:val="0013355A"/>
    <w:rsid w:val="001340F9"/>
    <w:rsid w:val="00134580"/>
    <w:rsid w:val="00134B16"/>
    <w:rsid w:val="00135123"/>
    <w:rsid w:val="0013776B"/>
    <w:rsid w:val="00137CE1"/>
    <w:rsid w:val="00137D09"/>
    <w:rsid w:val="0014011E"/>
    <w:rsid w:val="00140295"/>
    <w:rsid w:val="001404A3"/>
    <w:rsid w:val="001408AA"/>
    <w:rsid w:val="00140C31"/>
    <w:rsid w:val="00140D6E"/>
    <w:rsid w:val="00141812"/>
    <w:rsid w:val="00141ACE"/>
    <w:rsid w:val="00142D21"/>
    <w:rsid w:val="001430A8"/>
    <w:rsid w:val="00143E3A"/>
    <w:rsid w:val="00143F90"/>
    <w:rsid w:val="00145491"/>
    <w:rsid w:val="00145941"/>
    <w:rsid w:val="00145A21"/>
    <w:rsid w:val="001462F7"/>
    <w:rsid w:val="001473C9"/>
    <w:rsid w:val="00150B1A"/>
    <w:rsid w:val="00151E5D"/>
    <w:rsid w:val="001536A7"/>
    <w:rsid w:val="0015406C"/>
    <w:rsid w:val="00154216"/>
    <w:rsid w:val="00154C3B"/>
    <w:rsid w:val="001555AD"/>
    <w:rsid w:val="00155FAE"/>
    <w:rsid w:val="001575F0"/>
    <w:rsid w:val="00157AB5"/>
    <w:rsid w:val="00160025"/>
    <w:rsid w:val="00160038"/>
    <w:rsid w:val="00160812"/>
    <w:rsid w:val="00160924"/>
    <w:rsid w:val="00161A72"/>
    <w:rsid w:val="0016230A"/>
    <w:rsid w:val="0016293E"/>
    <w:rsid w:val="00163FE2"/>
    <w:rsid w:val="001645B5"/>
    <w:rsid w:val="0016475D"/>
    <w:rsid w:val="00166795"/>
    <w:rsid w:val="00166C36"/>
    <w:rsid w:val="00167B55"/>
    <w:rsid w:val="00167C64"/>
    <w:rsid w:val="00167F10"/>
    <w:rsid w:val="0017044F"/>
    <w:rsid w:val="00170698"/>
    <w:rsid w:val="00170702"/>
    <w:rsid w:val="001709EE"/>
    <w:rsid w:val="00170F0D"/>
    <w:rsid w:val="00171714"/>
    <w:rsid w:val="001717B0"/>
    <w:rsid w:val="00171C9E"/>
    <w:rsid w:val="00172383"/>
    <w:rsid w:val="00172479"/>
    <w:rsid w:val="00175051"/>
    <w:rsid w:val="001764CF"/>
    <w:rsid w:val="0017739D"/>
    <w:rsid w:val="0018050E"/>
    <w:rsid w:val="00182BF4"/>
    <w:rsid w:val="00183678"/>
    <w:rsid w:val="00184943"/>
    <w:rsid w:val="00186043"/>
    <w:rsid w:val="001867D1"/>
    <w:rsid w:val="00187004"/>
    <w:rsid w:val="00190364"/>
    <w:rsid w:val="00190495"/>
    <w:rsid w:val="00190B05"/>
    <w:rsid w:val="001912FD"/>
    <w:rsid w:val="0019178C"/>
    <w:rsid w:val="00192101"/>
    <w:rsid w:val="0019249A"/>
    <w:rsid w:val="00192E7F"/>
    <w:rsid w:val="001931AF"/>
    <w:rsid w:val="00193A28"/>
    <w:rsid w:val="00193CB7"/>
    <w:rsid w:val="001940BD"/>
    <w:rsid w:val="0019485F"/>
    <w:rsid w:val="00194B72"/>
    <w:rsid w:val="00194C57"/>
    <w:rsid w:val="00195C7F"/>
    <w:rsid w:val="00196B56"/>
    <w:rsid w:val="001979EF"/>
    <w:rsid w:val="00197E98"/>
    <w:rsid w:val="001A0AD7"/>
    <w:rsid w:val="001A141B"/>
    <w:rsid w:val="001A2AF9"/>
    <w:rsid w:val="001A2BD1"/>
    <w:rsid w:val="001A3BBD"/>
    <w:rsid w:val="001A5673"/>
    <w:rsid w:val="001A5D92"/>
    <w:rsid w:val="001A69FC"/>
    <w:rsid w:val="001A6F1C"/>
    <w:rsid w:val="001B0A8E"/>
    <w:rsid w:val="001B0C6A"/>
    <w:rsid w:val="001B190B"/>
    <w:rsid w:val="001B2231"/>
    <w:rsid w:val="001B2DBD"/>
    <w:rsid w:val="001B3468"/>
    <w:rsid w:val="001B37C3"/>
    <w:rsid w:val="001B445F"/>
    <w:rsid w:val="001B5A8F"/>
    <w:rsid w:val="001B62D6"/>
    <w:rsid w:val="001B6EF6"/>
    <w:rsid w:val="001C0B13"/>
    <w:rsid w:val="001C15D4"/>
    <w:rsid w:val="001C2C89"/>
    <w:rsid w:val="001C30A9"/>
    <w:rsid w:val="001C5215"/>
    <w:rsid w:val="001C5364"/>
    <w:rsid w:val="001C579C"/>
    <w:rsid w:val="001C5A99"/>
    <w:rsid w:val="001C60C3"/>
    <w:rsid w:val="001C63F1"/>
    <w:rsid w:val="001C72E0"/>
    <w:rsid w:val="001C7E59"/>
    <w:rsid w:val="001D0C93"/>
    <w:rsid w:val="001D0E76"/>
    <w:rsid w:val="001D14F5"/>
    <w:rsid w:val="001D1B94"/>
    <w:rsid w:val="001D2AF4"/>
    <w:rsid w:val="001D2B5F"/>
    <w:rsid w:val="001D446A"/>
    <w:rsid w:val="001D4C5A"/>
    <w:rsid w:val="001D5177"/>
    <w:rsid w:val="001D519E"/>
    <w:rsid w:val="001D5DB0"/>
    <w:rsid w:val="001D5FA5"/>
    <w:rsid w:val="001D6447"/>
    <w:rsid w:val="001D7ED1"/>
    <w:rsid w:val="001E1199"/>
    <w:rsid w:val="001E1ADC"/>
    <w:rsid w:val="001E1BF0"/>
    <w:rsid w:val="001E2BD7"/>
    <w:rsid w:val="001E3968"/>
    <w:rsid w:val="001E4300"/>
    <w:rsid w:val="001E4831"/>
    <w:rsid w:val="001E4F54"/>
    <w:rsid w:val="001E5835"/>
    <w:rsid w:val="001E644E"/>
    <w:rsid w:val="001E703F"/>
    <w:rsid w:val="001E727B"/>
    <w:rsid w:val="001F0474"/>
    <w:rsid w:val="001F0BA9"/>
    <w:rsid w:val="001F0EE1"/>
    <w:rsid w:val="001F103A"/>
    <w:rsid w:val="001F13E1"/>
    <w:rsid w:val="001F186B"/>
    <w:rsid w:val="001F2970"/>
    <w:rsid w:val="001F2FB0"/>
    <w:rsid w:val="001F37C2"/>
    <w:rsid w:val="001F4C5B"/>
    <w:rsid w:val="001F7931"/>
    <w:rsid w:val="001F7B8A"/>
    <w:rsid w:val="001F7DE7"/>
    <w:rsid w:val="00200244"/>
    <w:rsid w:val="00200717"/>
    <w:rsid w:val="00200C18"/>
    <w:rsid w:val="00201F08"/>
    <w:rsid w:val="002041A3"/>
    <w:rsid w:val="002046C5"/>
    <w:rsid w:val="00205374"/>
    <w:rsid w:val="00205858"/>
    <w:rsid w:val="00206581"/>
    <w:rsid w:val="00207A98"/>
    <w:rsid w:val="00210EC6"/>
    <w:rsid w:val="002114A9"/>
    <w:rsid w:val="00212A83"/>
    <w:rsid w:val="002130A4"/>
    <w:rsid w:val="00213470"/>
    <w:rsid w:val="00213499"/>
    <w:rsid w:val="00213B28"/>
    <w:rsid w:val="00213B8D"/>
    <w:rsid w:val="00214E74"/>
    <w:rsid w:val="00216A36"/>
    <w:rsid w:val="00216F46"/>
    <w:rsid w:val="00217788"/>
    <w:rsid w:val="00220570"/>
    <w:rsid w:val="00220C0F"/>
    <w:rsid w:val="00220FA3"/>
    <w:rsid w:val="002214BF"/>
    <w:rsid w:val="00222001"/>
    <w:rsid w:val="0022231F"/>
    <w:rsid w:val="002225A5"/>
    <w:rsid w:val="0022293B"/>
    <w:rsid w:val="00223F9C"/>
    <w:rsid w:val="002240C0"/>
    <w:rsid w:val="002249B7"/>
    <w:rsid w:val="002251FC"/>
    <w:rsid w:val="002258C3"/>
    <w:rsid w:val="00226294"/>
    <w:rsid w:val="002267DE"/>
    <w:rsid w:val="00226896"/>
    <w:rsid w:val="00226A92"/>
    <w:rsid w:val="00227697"/>
    <w:rsid w:val="002276A0"/>
    <w:rsid w:val="00227AEC"/>
    <w:rsid w:val="00227B61"/>
    <w:rsid w:val="00227C80"/>
    <w:rsid w:val="00230A98"/>
    <w:rsid w:val="00231E41"/>
    <w:rsid w:val="00232578"/>
    <w:rsid w:val="00232E4C"/>
    <w:rsid w:val="00233BD4"/>
    <w:rsid w:val="00233EEE"/>
    <w:rsid w:val="002340F8"/>
    <w:rsid w:val="00235898"/>
    <w:rsid w:val="00235B26"/>
    <w:rsid w:val="002362C3"/>
    <w:rsid w:val="002364DB"/>
    <w:rsid w:val="00236933"/>
    <w:rsid w:val="00236B7A"/>
    <w:rsid w:val="00237D21"/>
    <w:rsid w:val="002407F8"/>
    <w:rsid w:val="00241229"/>
    <w:rsid w:val="00242DAA"/>
    <w:rsid w:val="00243441"/>
    <w:rsid w:val="002436F9"/>
    <w:rsid w:val="00243FA1"/>
    <w:rsid w:val="00244769"/>
    <w:rsid w:val="00244A47"/>
    <w:rsid w:val="00245190"/>
    <w:rsid w:val="00245337"/>
    <w:rsid w:val="002459BF"/>
    <w:rsid w:val="00245AD5"/>
    <w:rsid w:val="002461BA"/>
    <w:rsid w:val="002463E0"/>
    <w:rsid w:val="00250DCD"/>
    <w:rsid w:val="00251719"/>
    <w:rsid w:val="00251C44"/>
    <w:rsid w:val="002523DE"/>
    <w:rsid w:val="00253596"/>
    <w:rsid w:val="002536B3"/>
    <w:rsid w:val="00253D03"/>
    <w:rsid w:val="00253EF4"/>
    <w:rsid w:val="00254A37"/>
    <w:rsid w:val="0025501C"/>
    <w:rsid w:val="00255584"/>
    <w:rsid w:val="00255ADA"/>
    <w:rsid w:val="00256948"/>
    <w:rsid w:val="00257E3F"/>
    <w:rsid w:val="00260F28"/>
    <w:rsid w:val="00261A9B"/>
    <w:rsid w:val="0026222F"/>
    <w:rsid w:val="0026271C"/>
    <w:rsid w:val="00262F55"/>
    <w:rsid w:val="0026329A"/>
    <w:rsid w:val="002641FF"/>
    <w:rsid w:val="00265917"/>
    <w:rsid w:val="00265E46"/>
    <w:rsid w:val="002672DF"/>
    <w:rsid w:val="0026769F"/>
    <w:rsid w:val="002711F5"/>
    <w:rsid w:val="00272E55"/>
    <w:rsid w:val="0027326B"/>
    <w:rsid w:val="002737FC"/>
    <w:rsid w:val="002740D9"/>
    <w:rsid w:val="00274612"/>
    <w:rsid w:val="00275514"/>
    <w:rsid w:val="00275A3B"/>
    <w:rsid w:val="002818A7"/>
    <w:rsid w:val="00281AA2"/>
    <w:rsid w:val="002820EB"/>
    <w:rsid w:val="002827D3"/>
    <w:rsid w:val="00282DFB"/>
    <w:rsid w:val="00283750"/>
    <w:rsid w:val="00283FBB"/>
    <w:rsid w:val="002842C8"/>
    <w:rsid w:val="00285A45"/>
    <w:rsid w:val="00285AFD"/>
    <w:rsid w:val="00287582"/>
    <w:rsid w:val="00287981"/>
    <w:rsid w:val="00291114"/>
    <w:rsid w:val="00291DA9"/>
    <w:rsid w:val="00293F5D"/>
    <w:rsid w:val="0029428A"/>
    <w:rsid w:val="00294AD6"/>
    <w:rsid w:val="00295C53"/>
    <w:rsid w:val="002964F9"/>
    <w:rsid w:val="002968C6"/>
    <w:rsid w:val="002969E3"/>
    <w:rsid w:val="002A150E"/>
    <w:rsid w:val="002A1BB4"/>
    <w:rsid w:val="002A29D2"/>
    <w:rsid w:val="002A2A20"/>
    <w:rsid w:val="002A308A"/>
    <w:rsid w:val="002A3281"/>
    <w:rsid w:val="002A3DC4"/>
    <w:rsid w:val="002A441B"/>
    <w:rsid w:val="002A471A"/>
    <w:rsid w:val="002A569C"/>
    <w:rsid w:val="002A63CE"/>
    <w:rsid w:val="002A6F88"/>
    <w:rsid w:val="002A7623"/>
    <w:rsid w:val="002B0E13"/>
    <w:rsid w:val="002B10A5"/>
    <w:rsid w:val="002B1194"/>
    <w:rsid w:val="002B13FC"/>
    <w:rsid w:val="002B1F76"/>
    <w:rsid w:val="002B2746"/>
    <w:rsid w:val="002B3D37"/>
    <w:rsid w:val="002B3F7C"/>
    <w:rsid w:val="002B45E3"/>
    <w:rsid w:val="002B4FC1"/>
    <w:rsid w:val="002B61D2"/>
    <w:rsid w:val="002B67BB"/>
    <w:rsid w:val="002B6C9F"/>
    <w:rsid w:val="002C05A1"/>
    <w:rsid w:val="002C0E51"/>
    <w:rsid w:val="002C1A77"/>
    <w:rsid w:val="002C2B15"/>
    <w:rsid w:val="002C312D"/>
    <w:rsid w:val="002C35FB"/>
    <w:rsid w:val="002C3919"/>
    <w:rsid w:val="002C3966"/>
    <w:rsid w:val="002C4105"/>
    <w:rsid w:val="002C4601"/>
    <w:rsid w:val="002C524F"/>
    <w:rsid w:val="002C54A8"/>
    <w:rsid w:val="002C5BB5"/>
    <w:rsid w:val="002C5DEC"/>
    <w:rsid w:val="002C5EF6"/>
    <w:rsid w:val="002C6452"/>
    <w:rsid w:val="002C64B6"/>
    <w:rsid w:val="002C7136"/>
    <w:rsid w:val="002C7190"/>
    <w:rsid w:val="002C75DF"/>
    <w:rsid w:val="002C76B8"/>
    <w:rsid w:val="002C7E4E"/>
    <w:rsid w:val="002D0200"/>
    <w:rsid w:val="002D07BD"/>
    <w:rsid w:val="002D219E"/>
    <w:rsid w:val="002D2B19"/>
    <w:rsid w:val="002D3860"/>
    <w:rsid w:val="002D3C84"/>
    <w:rsid w:val="002D3F40"/>
    <w:rsid w:val="002D3F7C"/>
    <w:rsid w:val="002D40B3"/>
    <w:rsid w:val="002D529C"/>
    <w:rsid w:val="002D5B03"/>
    <w:rsid w:val="002D67C0"/>
    <w:rsid w:val="002D75A7"/>
    <w:rsid w:val="002D76A0"/>
    <w:rsid w:val="002D7B80"/>
    <w:rsid w:val="002E1860"/>
    <w:rsid w:val="002E2346"/>
    <w:rsid w:val="002E303D"/>
    <w:rsid w:val="002E374C"/>
    <w:rsid w:val="002E3FA7"/>
    <w:rsid w:val="002E44E5"/>
    <w:rsid w:val="002E4675"/>
    <w:rsid w:val="002E4BCA"/>
    <w:rsid w:val="002E53C9"/>
    <w:rsid w:val="002E5C9E"/>
    <w:rsid w:val="002E63B9"/>
    <w:rsid w:val="002E65AC"/>
    <w:rsid w:val="002E6D42"/>
    <w:rsid w:val="002E78A6"/>
    <w:rsid w:val="002F02A3"/>
    <w:rsid w:val="002F1460"/>
    <w:rsid w:val="002F1881"/>
    <w:rsid w:val="002F23D1"/>
    <w:rsid w:val="002F359F"/>
    <w:rsid w:val="002F40F8"/>
    <w:rsid w:val="002F443B"/>
    <w:rsid w:val="002F670B"/>
    <w:rsid w:val="002F677A"/>
    <w:rsid w:val="002F79CD"/>
    <w:rsid w:val="00300C09"/>
    <w:rsid w:val="00301103"/>
    <w:rsid w:val="003019E3"/>
    <w:rsid w:val="00301D46"/>
    <w:rsid w:val="00302451"/>
    <w:rsid w:val="003037E8"/>
    <w:rsid w:val="0030425D"/>
    <w:rsid w:val="0030543D"/>
    <w:rsid w:val="00306383"/>
    <w:rsid w:val="00306C89"/>
    <w:rsid w:val="00306FE9"/>
    <w:rsid w:val="00310579"/>
    <w:rsid w:val="00310813"/>
    <w:rsid w:val="003115D9"/>
    <w:rsid w:val="00312066"/>
    <w:rsid w:val="003122E0"/>
    <w:rsid w:val="003126DC"/>
    <w:rsid w:val="00313BBA"/>
    <w:rsid w:val="003158C3"/>
    <w:rsid w:val="00315AEF"/>
    <w:rsid w:val="00315E5B"/>
    <w:rsid w:val="00316582"/>
    <w:rsid w:val="00317303"/>
    <w:rsid w:val="00317A89"/>
    <w:rsid w:val="0032196F"/>
    <w:rsid w:val="00321CBF"/>
    <w:rsid w:val="0032211C"/>
    <w:rsid w:val="00323428"/>
    <w:rsid w:val="00323603"/>
    <w:rsid w:val="00323BB0"/>
    <w:rsid w:val="0032407E"/>
    <w:rsid w:val="00325127"/>
    <w:rsid w:val="00325705"/>
    <w:rsid w:val="00326343"/>
    <w:rsid w:val="00327825"/>
    <w:rsid w:val="00327D21"/>
    <w:rsid w:val="00327D86"/>
    <w:rsid w:val="003310E4"/>
    <w:rsid w:val="00331295"/>
    <w:rsid w:val="00332258"/>
    <w:rsid w:val="00332750"/>
    <w:rsid w:val="00333E8C"/>
    <w:rsid w:val="00335264"/>
    <w:rsid w:val="00335AF1"/>
    <w:rsid w:val="00335B12"/>
    <w:rsid w:val="00336083"/>
    <w:rsid w:val="00336577"/>
    <w:rsid w:val="0033662B"/>
    <w:rsid w:val="0034004A"/>
    <w:rsid w:val="00340F69"/>
    <w:rsid w:val="00342516"/>
    <w:rsid w:val="003438BC"/>
    <w:rsid w:val="00344659"/>
    <w:rsid w:val="00345DC6"/>
    <w:rsid w:val="00346CF5"/>
    <w:rsid w:val="00347EBD"/>
    <w:rsid w:val="00347ECB"/>
    <w:rsid w:val="00347FD8"/>
    <w:rsid w:val="003500B8"/>
    <w:rsid w:val="003503EB"/>
    <w:rsid w:val="00350CF1"/>
    <w:rsid w:val="003526FD"/>
    <w:rsid w:val="00352B3D"/>
    <w:rsid w:val="00354183"/>
    <w:rsid w:val="0035493A"/>
    <w:rsid w:val="00354C58"/>
    <w:rsid w:val="00355DDA"/>
    <w:rsid w:val="00356198"/>
    <w:rsid w:val="00356AAB"/>
    <w:rsid w:val="003578C0"/>
    <w:rsid w:val="00360E44"/>
    <w:rsid w:val="003619EC"/>
    <w:rsid w:val="00361EF9"/>
    <w:rsid w:val="0036200D"/>
    <w:rsid w:val="00362F9E"/>
    <w:rsid w:val="003642B8"/>
    <w:rsid w:val="00365356"/>
    <w:rsid w:val="00365830"/>
    <w:rsid w:val="00365956"/>
    <w:rsid w:val="0036742D"/>
    <w:rsid w:val="00367997"/>
    <w:rsid w:val="00367E21"/>
    <w:rsid w:val="00370BF2"/>
    <w:rsid w:val="00371271"/>
    <w:rsid w:val="00371F07"/>
    <w:rsid w:val="003720D3"/>
    <w:rsid w:val="00373507"/>
    <w:rsid w:val="00374542"/>
    <w:rsid w:val="0037524F"/>
    <w:rsid w:val="003755E9"/>
    <w:rsid w:val="003755F8"/>
    <w:rsid w:val="00375A52"/>
    <w:rsid w:val="00375BB4"/>
    <w:rsid w:val="003769C7"/>
    <w:rsid w:val="0037768B"/>
    <w:rsid w:val="00380318"/>
    <w:rsid w:val="003804BB"/>
    <w:rsid w:val="00382671"/>
    <w:rsid w:val="003826FE"/>
    <w:rsid w:val="003838C9"/>
    <w:rsid w:val="0038408C"/>
    <w:rsid w:val="003859EB"/>
    <w:rsid w:val="00385E18"/>
    <w:rsid w:val="003865FC"/>
    <w:rsid w:val="00387916"/>
    <w:rsid w:val="0039004D"/>
    <w:rsid w:val="003902E8"/>
    <w:rsid w:val="003939E2"/>
    <w:rsid w:val="00393B69"/>
    <w:rsid w:val="00394162"/>
    <w:rsid w:val="00394230"/>
    <w:rsid w:val="00394356"/>
    <w:rsid w:val="00394830"/>
    <w:rsid w:val="003949A4"/>
    <w:rsid w:val="00394F34"/>
    <w:rsid w:val="0039536D"/>
    <w:rsid w:val="00395F82"/>
    <w:rsid w:val="00396D0A"/>
    <w:rsid w:val="003975A4"/>
    <w:rsid w:val="00397987"/>
    <w:rsid w:val="00397C42"/>
    <w:rsid w:val="00397D93"/>
    <w:rsid w:val="003A091B"/>
    <w:rsid w:val="003A0A1C"/>
    <w:rsid w:val="003A0DF3"/>
    <w:rsid w:val="003A1086"/>
    <w:rsid w:val="003A195B"/>
    <w:rsid w:val="003A2BB6"/>
    <w:rsid w:val="003A498B"/>
    <w:rsid w:val="003A4B5C"/>
    <w:rsid w:val="003A639D"/>
    <w:rsid w:val="003A6E62"/>
    <w:rsid w:val="003A6EEF"/>
    <w:rsid w:val="003A75D5"/>
    <w:rsid w:val="003B0753"/>
    <w:rsid w:val="003B14A9"/>
    <w:rsid w:val="003B17BB"/>
    <w:rsid w:val="003B2397"/>
    <w:rsid w:val="003B33A9"/>
    <w:rsid w:val="003B3423"/>
    <w:rsid w:val="003B506E"/>
    <w:rsid w:val="003B5235"/>
    <w:rsid w:val="003B56B5"/>
    <w:rsid w:val="003B5F95"/>
    <w:rsid w:val="003B6235"/>
    <w:rsid w:val="003B6606"/>
    <w:rsid w:val="003B6A0A"/>
    <w:rsid w:val="003C04B5"/>
    <w:rsid w:val="003C15BC"/>
    <w:rsid w:val="003C2156"/>
    <w:rsid w:val="003C28B0"/>
    <w:rsid w:val="003C3281"/>
    <w:rsid w:val="003C39A8"/>
    <w:rsid w:val="003C3A5F"/>
    <w:rsid w:val="003C3DD1"/>
    <w:rsid w:val="003C400E"/>
    <w:rsid w:val="003C4A0A"/>
    <w:rsid w:val="003C4B21"/>
    <w:rsid w:val="003C6995"/>
    <w:rsid w:val="003C707B"/>
    <w:rsid w:val="003C7A64"/>
    <w:rsid w:val="003D008A"/>
    <w:rsid w:val="003D05B8"/>
    <w:rsid w:val="003D05FB"/>
    <w:rsid w:val="003D0BA6"/>
    <w:rsid w:val="003D1444"/>
    <w:rsid w:val="003D1A4C"/>
    <w:rsid w:val="003D1A59"/>
    <w:rsid w:val="003D1AF2"/>
    <w:rsid w:val="003D1DD7"/>
    <w:rsid w:val="003D2CE9"/>
    <w:rsid w:val="003D34C9"/>
    <w:rsid w:val="003D45AF"/>
    <w:rsid w:val="003D4746"/>
    <w:rsid w:val="003D51D9"/>
    <w:rsid w:val="003D52F4"/>
    <w:rsid w:val="003D547B"/>
    <w:rsid w:val="003D58A5"/>
    <w:rsid w:val="003D5921"/>
    <w:rsid w:val="003E0204"/>
    <w:rsid w:val="003E0912"/>
    <w:rsid w:val="003E0DB3"/>
    <w:rsid w:val="003E13F5"/>
    <w:rsid w:val="003E16F8"/>
    <w:rsid w:val="003E25A1"/>
    <w:rsid w:val="003E28B8"/>
    <w:rsid w:val="003E2FBB"/>
    <w:rsid w:val="003E4399"/>
    <w:rsid w:val="003E4606"/>
    <w:rsid w:val="003E4D74"/>
    <w:rsid w:val="003E5324"/>
    <w:rsid w:val="003E560E"/>
    <w:rsid w:val="003E660E"/>
    <w:rsid w:val="003F028E"/>
    <w:rsid w:val="003F0376"/>
    <w:rsid w:val="003F1D19"/>
    <w:rsid w:val="003F278D"/>
    <w:rsid w:val="003F2B49"/>
    <w:rsid w:val="003F3B4F"/>
    <w:rsid w:val="003F4290"/>
    <w:rsid w:val="003F42ED"/>
    <w:rsid w:val="003F5EC9"/>
    <w:rsid w:val="003F6290"/>
    <w:rsid w:val="003F6A7C"/>
    <w:rsid w:val="003F6CBA"/>
    <w:rsid w:val="003F733F"/>
    <w:rsid w:val="003F79CA"/>
    <w:rsid w:val="004012EC"/>
    <w:rsid w:val="00402802"/>
    <w:rsid w:val="004043B3"/>
    <w:rsid w:val="00404BEF"/>
    <w:rsid w:val="00404C73"/>
    <w:rsid w:val="0040717E"/>
    <w:rsid w:val="0040791F"/>
    <w:rsid w:val="00407C08"/>
    <w:rsid w:val="00411027"/>
    <w:rsid w:val="00411433"/>
    <w:rsid w:val="00412676"/>
    <w:rsid w:val="0041296E"/>
    <w:rsid w:val="00413518"/>
    <w:rsid w:val="004135D1"/>
    <w:rsid w:val="00414792"/>
    <w:rsid w:val="00414FEC"/>
    <w:rsid w:val="004158B7"/>
    <w:rsid w:val="00416D79"/>
    <w:rsid w:val="00417240"/>
    <w:rsid w:val="004177C8"/>
    <w:rsid w:val="00417A7D"/>
    <w:rsid w:val="00417D66"/>
    <w:rsid w:val="004205F0"/>
    <w:rsid w:val="0042112F"/>
    <w:rsid w:val="00421D34"/>
    <w:rsid w:val="00423260"/>
    <w:rsid w:val="00423636"/>
    <w:rsid w:val="0042575F"/>
    <w:rsid w:val="00427A71"/>
    <w:rsid w:val="00427B29"/>
    <w:rsid w:val="00427E2F"/>
    <w:rsid w:val="00427FD1"/>
    <w:rsid w:val="004301C6"/>
    <w:rsid w:val="00432F5E"/>
    <w:rsid w:val="00433670"/>
    <w:rsid w:val="00434C9B"/>
    <w:rsid w:val="00434FAD"/>
    <w:rsid w:val="0043640E"/>
    <w:rsid w:val="00436786"/>
    <w:rsid w:val="0043690B"/>
    <w:rsid w:val="0043720F"/>
    <w:rsid w:val="00437A51"/>
    <w:rsid w:val="00437DE4"/>
    <w:rsid w:val="00437EB0"/>
    <w:rsid w:val="004400EE"/>
    <w:rsid w:val="00440AA9"/>
    <w:rsid w:val="00442A24"/>
    <w:rsid w:val="004442FA"/>
    <w:rsid w:val="0044584D"/>
    <w:rsid w:val="0044648E"/>
    <w:rsid w:val="00446A65"/>
    <w:rsid w:val="00447941"/>
    <w:rsid w:val="00447C80"/>
    <w:rsid w:val="00447E81"/>
    <w:rsid w:val="004521D8"/>
    <w:rsid w:val="00452EB9"/>
    <w:rsid w:val="00452EFA"/>
    <w:rsid w:val="0045312B"/>
    <w:rsid w:val="004538E3"/>
    <w:rsid w:val="00454508"/>
    <w:rsid w:val="00455224"/>
    <w:rsid w:val="0045556E"/>
    <w:rsid w:val="004564AE"/>
    <w:rsid w:val="00456ED4"/>
    <w:rsid w:val="004572A2"/>
    <w:rsid w:val="00457F9D"/>
    <w:rsid w:val="0046047F"/>
    <w:rsid w:val="00460B0A"/>
    <w:rsid w:val="00461417"/>
    <w:rsid w:val="00462708"/>
    <w:rsid w:val="00462AF3"/>
    <w:rsid w:val="00462C8E"/>
    <w:rsid w:val="00463396"/>
    <w:rsid w:val="00463738"/>
    <w:rsid w:val="004638CD"/>
    <w:rsid w:val="004665FD"/>
    <w:rsid w:val="00466E82"/>
    <w:rsid w:val="00470F10"/>
    <w:rsid w:val="00471A10"/>
    <w:rsid w:val="00471D18"/>
    <w:rsid w:val="00472620"/>
    <w:rsid w:val="00474234"/>
    <w:rsid w:val="004749A9"/>
    <w:rsid w:val="00475805"/>
    <w:rsid w:val="00475812"/>
    <w:rsid w:val="004761F3"/>
    <w:rsid w:val="00477285"/>
    <w:rsid w:val="004774E0"/>
    <w:rsid w:val="00477723"/>
    <w:rsid w:val="0048003E"/>
    <w:rsid w:val="004800C1"/>
    <w:rsid w:val="004820FA"/>
    <w:rsid w:val="004822CC"/>
    <w:rsid w:val="00482D94"/>
    <w:rsid w:val="004835EE"/>
    <w:rsid w:val="00483D3F"/>
    <w:rsid w:val="0048475A"/>
    <w:rsid w:val="004855C1"/>
    <w:rsid w:val="00485CD4"/>
    <w:rsid w:val="00485ED1"/>
    <w:rsid w:val="00486A67"/>
    <w:rsid w:val="004875BF"/>
    <w:rsid w:val="0048778E"/>
    <w:rsid w:val="00487E11"/>
    <w:rsid w:val="00490013"/>
    <w:rsid w:val="00490330"/>
    <w:rsid w:val="00490948"/>
    <w:rsid w:val="0049124C"/>
    <w:rsid w:val="00491738"/>
    <w:rsid w:val="00491808"/>
    <w:rsid w:val="00492517"/>
    <w:rsid w:val="004939C7"/>
    <w:rsid w:val="00493F36"/>
    <w:rsid w:val="00494177"/>
    <w:rsid w:val="004948A4"/>
    <w:rsid w:val="004949EF"/>
    <w:rsid w:val="00495800"/>
    <w:rsid w:val="00495AD7"/>
    <w:rsid w:val="004967C2"/>
    <w:rsid w:val="0049692D"/>
    <w:rsid w:val="00497AE7"/>
    <w:rsid w:val="00497AFF"/>
    <w:rsid w:val="004A07EA"/>
    <w:rsid w:val="004A0916"/>
    <w:rsid w:val="004A2706"/>
    <w:rsid w:val="004A29CE"/>
    <w:rsid w:val="004A2F53"/>
    <w:rsid w:val="004A31BF"/>
    <w:rsid w:val="004A3B84"/>
    <w:rsid w:val="004A43F5"/>
    <w:rsid w:val="004A46B3"/>
    <w:rsid w:val="004A4A9C"/>
    <w:rsid w:val="004A530B"/>
    <w:rsid w:val="004A55B0"/>
    <w:rsid w:val="004A5CD0"/>
    <w:rsid w:val="004A6178"/>
    <w:rsid w:val="004A6561"/>
    <w:rsid w:val="004A67B4"/>
    <w:rsid w:val="004B00A9"/>
    <w:rsid w:val="004B1D18"/>
    <w:rsid w:val="004B31DD"/>
    <w:rsid w:val="004B3A02"/>
    <w:rsid w:val="004B3AF4"/>
    <w:rsid w:val="004B564E"/>
    <w:rsid w:val="004B5843"/>
    <w:rsid w:val="004B6D75"/>
    <w:rsid w:val="004B7C17"/>
    <w:rsid w:val="004B7C9D"/>
    <w:rsid w:val="004C0C1F"/>
    <w:rsid w:val="004C31FF"/>
    <w:rsid w:val="004C40CC"/>
    <w:rsid w:val="004C46F9"/>
    <w:rsid w:val="004C4786"/>
    <w:rsid w:val="004C5F32"/>
    <w:rsid w:val="004C687C"/>
    <w:rsid w:val="004C6A6D"/>
    <w:rsid w:val="004C75BD"/>
    <w:rsid w:val="004D0BE9"/>
    <w:rsid w:val="004D1554"/>
    <w:rsid w:val="004D1E6F"/>
    <w:rsid w:val="004D2DD4"/>
    <w:rsid w:val="004D515E"/>
    <w:rsid w:val="004D561F"/>
    <w:rsid w:val="004D5676"/>
    <w:rsid w:val="004D5CA6"/>
    <w:rsid w:val="004D5FE8"/>
    <w:rsid w:val="004D71CD"/>
    <w:rsid w:val="004D7AD0"/>
    <w:rsid w:val="004E09D7"/>
    <w:rsid w:val="004E14F6"/>
    <w:rsid w:val="004E2E70"/>
    <w:rsid w:val="004E4864"/>
    <w:rsid w:val="004E4C3F"/>
    <w:rsid w:val="004E4FC8"/>
    <w:rsid w:val="004E57BC"/>
    <w:rsid w:val="004E5D62"/>
    <w:rsid w:val="004E69DC"/>
    <w:rsid w:val="004E7506"/>
    <w:rsid w:val="004E7627"/>
    <w:rsid w:val="004E7D41"/>
    <w:rsid w:val="004E7F61"/>
    <w:rsid w:val="004F00AF"/>
    <w:rsid w:val="004F039E"/>
    <w:rsid w:val="004F0847"/>
    <w:rsid w:val="004F0938"/>
    <w:rsid w:val="004F0959"/>
    <w:rsid w:val="004F1442"/>
    <w:rsid w:val="004F189D"/>
    <w:rsid w:val="004F25A7"/>
    <w:rsid w:val="004F3585"/>
    <w:rsid w:val="004F3914"/>
    <w:rsid w:val="004F489D"/>
    <w:rsid w:val="004F547F"/>
    <w:rsid w:val="004F5D60"/>
    <w:rsid w:val="004F5FD4"/>
    <w:rsid w:val="004F6EC9"/>
    <w:rsid w:val="0050007A"/>
    <w:rsid w:val="00500583"/>
    <w:rsid w:val="00500619"/>
    <w:rsid w:val="00500BDE"/>
    <w:rsid w:val="0050212E"/>
    <w:rsid w:val="00502F29"/>
    <w:rsid w:val="0050318A"/>
    <w:rsid w:val="00503E5E"/>
    <w:rsid w:val="00505971"/>
    <w:rsid w:val="00506F0A"/>
    <w:rsid w:val="005078CB"/>
    <w:rsid w:val="00507DB8"/>
    <w:rsid w:val="00510611"/>
    <w:rsid w:val="005108F9"/>
    <w:rsid w:val="00510D5C"/>
    <w:rsid w:val="00511433"/>
    <w:rsid w:val="00511CDC"/>
    <w:rsid w:val="00511D18"/>
    <w:rsid w:val="00511DF2"/>
    <w:rsid w:val="00512089"/>
    <w:rsid w:val="005122A3"/>
    <w:rsid w:val="0051376B"/>
    <w:rsid w:val="005147AB"/>
    <w:rsid w:val="00514E6D"/>
    <w:rsid w:val="0051538C"/>
    <w:rsid w:val="005203D3"/>
    <w:rsid w:val="00520FD0"/>
    <w:rsid w:val="00522B24"/>
    <w:rsid w:val="00523AB3"/>
    <w:rsid w:val="0052416B"/>
    <w:rsid w:val="00524187"/>
    <w:rsid w:val="00524466"/>
    <w:rsid w:val="00525251"/>
    <w:rsid w:val="00525B8A"/>
    <w:rsid w:val="00525F22"/>
    <w:rsid w:val="00526226"/>
    <w:rsid w:val="00526563"/>
    <w:rsid w:val="005279E7"/>
    <w:rsid w:val="00530579"/>
    <w:rsid w:val="0053131F"/>
    <w:rsid w:val="0053265F"/>
    <w:rsid w:val="0053369B"/>
    <w:rsid w:val="00533A01"/>
    <w:rsid w:val="00533D28"/>
    <w:rsid w:val="00533F28"/>
    <w:rsid w:val="00534656"/>
    <w:rsid w:val="00534E0C"/>
    <w:rsid w:val="005352E0"/>
    <w:rsid w:val="00536026"/>
    <w:rsid w:val="00536ABE"/>
    <w:rsid w:val="00540036"/>
    <w:rsid w:val="0054033C"/>
    <w:rsid w:val="005406F4"/>
    <w:rsid w:val="00540C12"/>
    <w:rsid w:val="00540E3A"/>
    <w:rsid w:val="00541A45"/>
    <w:rsid w:val="005434EC"/>
    <w:rsid w:val="00543717"/>
    <w:rsid w:val="0054384C"/>
    <w:rsid w:val="005448B8"/>
    <w:rsid w:val="00544DBE"/>
    <w:rsid w:val="00545C50"/>
    <w:rsid w:val="00545DA2"/>
    <w:rsid w:val="00546B31"/>
    <w:rsid w:val="00546CDE"/>
    <w:rsid w:val="005503E3"/>
    <w:rsid w:val="00550730"/>
    <w:rsid w:val="0055138C"/>
    <w:rsid w:val="00552008"/>
    <w:rsid w:val="0055202E"/>
    <w:rsid w:val="00552151"/>
    <w:rsid w:val="005523F8"/>
    <w:rsid w:val="00555146"/>
    <w:rsid w:val="005553DF"/>
    <w:rsid w:val="00555A55"/>
    <w:rsid w:val="005573CE"/>
    <w:rsid w:val="00557D1D"/>
    <w:rsid w:val="00557E26"/>
    <w:rsid w:val="0056002C"/>
    <w:rsid w:val="00560C3B"/>
    <w:rsid w:val="005614F6"/>
    <w:rsid w:val="00562060"/>
    <w:rsid w:val="0056316E"/>
    <w:rsid w:val="00563882"/>
    <w:rsid w:val="005639C9"/>
    <w:rsid w:val="005643A7"/>
    <w:rsid w:val="00564DE0"/>
    <w:rsid w:val="00564F07"/>
    <w:rsid w:val="005654A9"/>
    <w:rsid w:val="00566E96"/>
    <w:rsid w:val="005701E7"/>
    <w:rsid w:val="00570686"/>
    <w:rsid w:val="00570F6B"/>
    <w:rsid w:val="005712B3"/>
    <w:rsid w:val="005726D6"/>
    <w:rsid w:val="005726EB"/>
    <w:rsid w:val="00573847"/>
    <w:rsid w:val="005739CC"/>
    <w:rsid w:val="00573D60"/>
    <w:rsid w:val="00574C37"/>
    <w:rsid w:val="00574EA4"/>
    <w:rsid w:val="005759C6"/>
    <w:rsid w:val="00577005"/>
    <w:rsid w:val="0057785D"/>
    <w:rsid w:val="00577A53"/>
    <w:rsid w:val="00580580"/>
    <w:rsid w:val="005818AC"/>
    <w:rsid w:val="00581A97"/>
    <w:rsid w:val="00581FD3"/>
    <w:rsid w:val="005837FE"/>
    <w:rsid w:val="00583F0C"/>
    <w:rsid w:val="00584826"/>
    <w:rsid w:val="00584CC4"/>
    <w:rsid w:val="005870E0"/>
    <w:rsid w:val="00587BD8"/>
    <w:rsid w:val="00587DA9"/>
    <w:rsid w:val="005905F0"/>
    <w:rsid w:val="00590C53"/>
    <w:rsid w:val="00590CFD"/>
    <w:rsid w:val="005912FB"/>
    <w:rsid w:val="00591673"/>
    <w:rsid w:val="00592384"/>
    <w:rsid w:val="00592490"/>
    <w:rsid w:val="00593698"/>
    <w:rsid w:val="00594A41"/>
    <w:rsid w:val="00596EF3"/>
    <w:rsid w:val="00597FD1"/>
    <w:rsid w:val="005A16D6"/>
    <w:rsid w:val="005A187D"/>
    <w:rsid w:val="005A1A49"/>
    <w:rsid w:val="005A2A00"/>
    <w:rsid w:val="005A310F"/>
    <w:rsid w:val="005A5AC7"/>
    <w:rsid w:val="005A5C39"/>
    <w:rsid w:val="005A6806"/>
    <w:rsid w:val="005A68F4"/>
    <w:rsid w:val="005A7799"/>
    <w:rsid w:val="005A79BF"/>
    <w:rsid w:val="005A7AAF"/>
    <w:rsid w:val="005A7AD7"/>
    <w:rsid w:val="005A7F2B"/>
    <w:rsid w:val="005B047C"/>
    <w:rsid w:val="005B0D54"/>
    <w:rsid w:val="005B0FD9"/>
    <w:rsid w:val="005B1223"/>
    <w:rsid w:val="005B12B5"/>
    <w:rsid w:val="005B2DD4"/>
    <w:rsid w:val="005B2FC9"/>
    <w:rsid w:val="005B30D7"/>
    <w:rsid w:val="005B4514"/>
    <w:rsid w:val="005B4652"/>
    <w:rsid w:val="005B470A"/>
    <w:rsid w:val="005B4738"/>
    <w:rsid w:val="005B4D02"/>
    <w:rsid w:val="005B51B1"/>
    <w:rsid w:val="005B5E3A"/>
    <w:rsid w:val="005B7505"/>
    <w:rsid w:val="005C1214"/>
    <w:rsid w:val="005C1674"/>
    <w:rsid w:val="005C368A"/>
    <w:rsid w:val="005C3AFE"/>
    <w:rsid w:val="005C4153"/>
    <w:rsid w:val="005C4360"/>
    <w:rsid w:val="005C43FE"/>
    <w:rsid w:val="005C4CF1"/>
    <w:rsid w:val="005C55B9"/>
    <w:rsid w:val="005C571F"/>
    <w:rsid w:val="005C5828"/>
    <w:rsid w:val="005C6D66"/>
    <w:rsid w:val="005C6FEB"/>
    <w:rsid w:val="005D0B91"/>
    <w:rsid w:val="005D1B97"/>
    <w:rsid w:val="005D31FB"/>
    <w:rsid w:val="005D34A3"/>
    <w:rsid w:val="005D4726"/>
    <w:rsid w:val="005D4C37"/>
    <w:rsid w:val="005D5E44"/>
    <w:rsid w:val="005D6A5C"/>
    <w:rsid w:val="005D7556"/>
    <w:rsid w:val="005D7681"/>
    <w:rsid w:val="005D7ACC"/>
    <w:rsid w:val="005E116D"/>
    <w:rsid w:val="005E1561"/>
    <w:rsid w:val="005E15A5"/>
    <w:rsid w:val="005E2485"/>
    <w:rsid w:val="005E3186"/>
    <w:rsid w:val="005E34D3"/>
    <w:rsid w:val="005E35F3"/>
    <w:rsid w:val="005E57DD"/>
    <w:rsid w:val="005E5C7F"/>
    <w:rsid w:val="005E6C7B"/>
    <w:rsid w:val="005E710F"/>
    <w:rsid w:val="005E7448"/>
    <w:rsid w:val="005F0426"/>
    <w:rsid w:val="005F20C7"/>
    <w:rsid w:val="005F2AC3"/>
    <w:rsid w:val="005F3D29"/>
    <w:rsid w:val="005F41EA"/>
    <w:rsid w:val="005F433F"/>
    <w:rsid w:val="005F4E6C"/>
    <w:rsid w:val="005F547E"/>
    <w:rsid w:val="005F6C73"/>
    <w:rsid w:val="005F7CFB"/>
    <w:rsid w:val="005F7D69"/>
    <w:rsid w:val="006008A3"/>
    <w:rsid w:val="006015B1"/>
    <w:rsid w:val="00602573"/>
    <w:rsid w:val="0060281A"/>
    <w:rsid w:val="006033FE"/>
    <w:rsid w:val="006039F6"/>
    <w:rsid w:val="006047A4"/>
    <w:rsid w:val="00605209"/>
    <w:rsid w:val="006053B8"/>
    <w:rsid w:val="0060655C"/>
    <w:rsid w:val="006069E2"/>
    <w:rsid w:val="006070D5"/>
    <w:rsid w:val="00610166"/>
    <w:rsid w:val="0061070F"/>
    <w:rsid w:val="00611885"/>
    <w:rsid w:val="00611F0E"/>
    <w:rsid w:val="00612B75"/>
    <w:rsid w:val="006132FC"/>
    <w:rsid w:val="0061348E"/>
    <w:rsid w:val="00613C96"/>
    <w:rsid w:val="006140DD"/>
    <w:rsid w:val="00615789"/>
    <w:rsid w:val="00615B7E"/>
    <w:rsid w:val="00616A79"/>
    <w:rsid w:val="00616ACB"/>
    <w:rsid w:val="00616C92"/>
    <w:rsid w:val="00617F5B"/>
    <w:rsid w:val="00617F9E"/>
    <w:rsid w:val="006207DF"/>
    <w:rsid w:val="00621542"/>
    <w:rsid w:val="006224E2"/>
    <w:rsid w:val="00622506"/>
    <w:rsid w:val="00622D80"/>
    <w:rsid w:val="00622E76"/>
    <w:rsid w:val="0062348A"/>
    <w:rsid w:val="00625341"/>
    <w:rsid w:val="0062553A"/>
    <w:rsid w:val="00626496"/>
    <w:rsid w:val="0062656D"/>
    <w:rsid w:val="00627FB8"/>
    <w:rsid w:val="0063096E"/>
    <w:rsid w:val="00630C31"/>
    <w:rsid w:val="00630D21"/>
    <w:rsid w:val="00631261"/>
    <w:rsid w:val="00631821"/>
    <w:rsid w:val="00631E8D"/>
    <w:rsid w:val="00633722"/>
    <w:rsid w:val="00633BAB"/>
    <w:rsid w:val="006346D5"/>
    <w:rsid w:val="00634F0A"/>
    <w:rsid w:val="006356F5"/>
    <w:rsid w:val="00635C45"/>
    <w:rsid w:val="006364D1"/>
    <w:rsid w:val="006404E6"/>
    <w:rsid w:val="00640C9B"/>
    <w:rsid w:val="00641981"/>
    <w:rsid w:val="00642319"/>
    <w:rsid w:val="006425A4"/>
    <w:rsid w:val="00642740"/>
    <w:rsid w:val="00643D40"/>
    <w:rsid w:val="0064428B"/>
    <w:rsid w:val="006443B7"/>
    <w:rsid w:val="0064449D"/>
    <w:rsid w:val="006444C7"/>
    <w:rsid w:val="00644AA5"/>
    <w:rsid w:val="00644DF4"/>
    <w:rsid w:val="00644FF7"/>
    <w:rsid w:val="006453D5"/>
    <w:rsid w:val="006458EE"/>
    <w:rsid w:val="006459D9"/>
    <w:rsid w:val="00646B82"/>
    <w:rsid w:val="00647894"/>
    <w:rsid w:val="00647AAA"/>
    <w:rsid w:val="00647ED5"/>
    <w:rsid w:val="00650035"/>
    <w:rsid w:val="00650332"/>
    <w:rsid w:val="00650906"/>
    <w:rsid w:val="00652B7E"/>
    <w:rsid w:val="00652E50"/>
    <w:rsid w:val="0065408D"/>
    <w:rsid w:val="006540F9"/>
    <w:rsid w:val="006543E0"/>
    <w:rsid w:val="00654770"/>
    <w:rsid w:val="00654D38"/>
    <w:rsid w:val="00655051"/>
    <w:rsid w:val="00655A36"/>
    <w:rsid w:val="006560F8"/>
    <w:rsid w:val="00656F57"/>
    <w:rsid w:val="00657074"/>
    <w:rsid w:val="00657923"/>
    <w:rsid w:val="00657F05"/>
    <w:rsid w:val="00660A9B"/>
    <w:rsid w:val="00662DEF"/>
    <w:rsid w:val="00665F25"/>
    <w:rsid w:val="006668E3"/>
    <w:rsid w:val="006669FA"/>
    <w:rsid w:val="0066709F"/>
    <w:rsid w:val="00670607"/>
    <w:rsid w:val="006706A3"/>
    <w:rsid w:val="00671418"/>
    <w:rsid w:val="00671A8E"/>
    <w:rsid w:val="006724C0"/>
    <w:rsid w:val="00673BE0"/>
    <w:rsid w:val="00674453"/>
    <w:rsid w:val="006750C6"/>
    <w:rsid w:val="00675586"/>
    <w:rsid w:val="00675A3B"/>
    <w:rsid w:val="00675AAE"/>
    <w:rsid w:val="0067735E"/>
    <w:rsid w:val="0068006B"/>
    <w:rsid w:val="0068111F"/>
    <w:rsid w:val="00682232"/>
    <w:rsid w:val="0068236A"/>
    <w:rsid w:val="00683548"/>
    <w:rsid w:val="00684167"/>
    <w:rsid w:val="00684B47"/>
    <w:rsid w:val="00684B8B"/>
    <w:rsid w:val="006870B9"/>
    <w:rsid w:val="006873F6"/>
    <w:rsid w:val="006878A2"/>
    <w:rsid w:val="00687D91"/>
    <w:rsid w:val="00691845"/>
    <w:rsid w:val="006918D4"/>
    <w:rsid w:val="00692293"/>
    <w:rsid w:val="00693EF9"/>
    <w:rsid w:val="0069502C"/>
    <w:rsid w:val="00696231"/>
    <w:rsid w:val="006965B8"/>
    <w:rsid w:val="006972B2"/>
    <w:rsid w:val="00697851"/>
    <w:rsid w:val="00697C44"/>
    <w:rsid w:val="006A00D9"/>
    <w:rsid w:val="006A14C7"/>
    <w:rsid w:val="006A1819"/>
    <w:rsid w:val="006A1B78"/>
    <w:rsid w:val="006A26CC"/>
    <w:rsid w:val="006A342F"/>
    <w:rsid w:val="006A37DF"/>
    <w:rsid w:val="006A4451"/>
    <w:rsid w:val="006A4CCB"/>
    <w:rsid w:val="006A6161"/>
    <w:rsid w:val="006A6F1E"/>
    <w:rsid w:val="006A7457"/>
    <w:rsid w:val="006B0055"/>
    <w:rsid w:val="006B08C7"/>
    <w:rsid w:val="006B1660"/>
    <w:rsid w:val="006B20B0"/>
    <w:rsid w:val="006B2AAA"/>
    <w:rsid w:val="006B3818"/>
    <w:rsid w:val="006B3ED8"/>
    <w:rsid w:val="006B495B"/>
    <w:rsid w:val="006B6E4E"/>
    <w:rsid w:val="006B78B4"/>
    <w:rsid w:val="006C1900"/>
    <w:rsid w:val="006C1C92"/>
    <w:rsid w:val="006C22BC"/>
    <w:rsid w:val="006C28B8"/>
    <w:rsid w:val="006C3B8B"/>
    <w:rsid w:val="006C3EB3"/>
    <w:rsid w:val="006C4A7C"/>
    <w:rsid w:val="006C4DC6"/>
    <w:rsid w:val="006C6856"/>
    <w:rsid w:val="006CB5F8"/>
    <w:rsid w:val="006D0D89"/>
    <w:rsid w:val="006D1510"/>
    <w:rsid w:val="006D19E8"/>
    <w:rsid w:val="006D270F"/>
    <w:rsid w:val="006D3097"/>
    <w:rsid w:val="006D31CC"/>
    <w:rsid w:val="006D39E1"/>
    <w:rsid w:val="006D4FBE"/>
    <w:rsid w:val="006D590A"/>
    <w:rsid w:val="006D5E16"/>
    <w:rsid w:val="006D63D1"/>
    <w:rsid w:val="006D659D"/>
    <w:rsid w:val="006D77CC"/>
    <w:rsid w:val="006E0664"/>
    <w:rsid w:val="006E06DD"/>
    <w:rsid w:val="006E1423"/>
    <w:rsid w:val="006E14CA"/>
    <w:rsid w:val="006E1EEF"/>
    <w:rsid w:val="006E211F"/>
    <w:rsid w:val="006E2982"/>
    <w:rsid w:val="006E3CD9"/>
    <w:rsid w:val="006E3F6E"/>
    <w:rsid w:val="006E58F8"/>
    <w:rsid w:val="006E6650"/>
    <w:rsid w:val="006E748A"/>
    <w:rsid w:val="006F034D"/>
    <w:rsid w:val="006F1C99"/>
    <w:rsid w:val="006F26C5"/>
    <w:rsid w:val="006F2DCD"/>
    <w:rsid w:val="006F360B"/>
    <w:rsid w:val="006F3CFB"/>
    <w:rsid w:val="006F42AC"/>
    <w:rsid w:val="006F46F0"/>
    <w:rsid w:val="006F4C5A"/>
    <w:rsid w:val="006F674F"/>
    <w:rsid w:val="00700E23"/>
    <w:rsid w:val="00700F91"/>
    <w:rsid w:val="0070168B"/>
    <w:rsid w:val="00705DAC"/>
    <w:rsid w:val="0070634D"/>
    <w:rsid w:val="007063AA"/>
    <w:rsid w:val="00706C97"/>
    <w:rsid w:val="00707F08"/>
    <w:rsid w:val="007105C4"/>
    <w:rsid w:val="00710667"/>
    <w:rsid w:val="00710AF2"/>
    <w:rsid w:val="00711678"/>
    <w:rsid w:val="00712424"/>
    <w:rsid w:val="0071266C"/>
    <w:rsid w:val="00713203"/>
    <w:rsid w:val="0071402C"/>
    <w:rsid w:val="007140F8"/>
    <w:rsid w:val="00714242"/>
    <w:rsid w:val="00714F43"/>
    <w:rsid w:val="00716EE5"/>
    <w:rsid w:val="00717A1F"/>
    <w:rsid w:val="00720289"/>
    <w:rsid w:val="00720938"/>
    <w:rsid w:val="00720BC7"/>
    <w:rsid w:val="00721830"/>
    <w:rsid w:val="00721EDF"/>
    <w:rsid w:val="00721F0B"/>
    <w:rsid w:val="00721F54"/>
    <w:rsid w:val="00722C8E"/>
    <w:rsid w:val="00723300"/>
    <w:rsid w:val="0072361E"/>
    <w:rsid w:val="00724E9A"/>
    <w:rsid w:val="00725105"/>
    <w:rsid w:val="00726391"/>
    <w:rsid w:val="00727236"/>
    <w:rsid w:val="00727575"/>
    <w:rsid w:val="00730058"/>
    <w:rsid w:val="00730503"/>
    <w:rsid w:val="00731438"/>
    <w:rsid w:val="00732547"/>
    <w:rsid w:val="007327EB"/>
    <w:rsid w:val="007340BC"/>
    <w:rsid w:val="007342D7"/>
    <w:rsid w:val="00734F8B"/>
    <w:rsid w:val="00735693"/>
    <w:rsid w:val="00735748"/>
    <w:rsid w:val="00736295"/>
    <w:rsid w:val="00736B1C"/>
    <w:rsid w:val="00736FFB"/>
    <w:rsid w:val="00737B6C"/>
    <w:rsid w:val="00737BEA"/>
    <w:rsid w:val="00737C45"/>
    <w:rsid w:val="007405DA"/>
    <w:rsid w:val="0074110B"/>
    <w:rsid w:val="00741A13"/>
    <w:rsid w:val="007436F6"/>
    <w:rsid w:val="0074473F"/>
    <w:rsid w:val="00744B06"/>
    <w:rsid w:val="0074575D"/>
    <w:rsid w:val="007459F5"/>
    <w:rsid w:val="00745F78"/>
    <w:rsid w:val="00746335"/>
    <w:rsid w:val="00746765"/>
    <w:rsid w:val="00747524"/>
    <w:rsid w:val="007502F1"/>
    <w:rsid w:val="00751084"/>
    <w:rsid w:val="007514FE"/>
    <w:rsid w:val="00751F02"/>
    <w:rsid w:val="00752254"/>
    <w:rsid w:val="0075354C"/>
    <w:rsid w:val="0075434C"/>
    <w:rsid w:val="00754E04"/>
    <w:rsid w:val="0075508F"/>
    <w:rsid w:val="007553EE"/>
    <w:rsid w:val="007558FC"/>
    <w:rsid w:val="00755ACD"/>
    <w:rsid w:val="00756560"/>
    <w:rsid w:val="007569A8"/>
    <w:rsid w:val="0075710B"/>
    <w:rsid w:val="00757C00"/>
    <w:rsid w:val="0076073E"/>
    <w:rsid w:val="00760816"/>
    <w:rsid w:val="00760AE5"/>
    <w:rsid w:val="00762081"/>
    <w:rsid w:val="00762F5B"/>
    <w:rsid w:val="007634A1"/>
    <w:rsid w:val="00764C87"/>
    <w:rsid w:val="0076509A"/>
    <w:rsid w:val="00765C3F"/>
    <w:rsid w:val="00766748"/>
    <w:rsid w:val="00767609"/>
    <w:rsid w:val="00767E8E"/>
    <w:rsid w:val="00770C67"/>
    <w:rsid w:val="00772486"/>
    <w:rsid w:val="0077280E"/>
    <w:rsid w:val="0077310D"/>
    <w:rsid w:val="00774CE2"/>
    <w:rsid w:val="007765A4"/>
    <w:rsid w:val="007769B8"/>
    <w:rsid w:val="00777065"/>
    <w:rsid w:val="007778E0"/>
    <w:rsid w:val="007779A1"/>
    <w:rsid w:val="0078040C"/>
    <w:rsid w:val="00780671"/>
    <w:rsid w:val="00780A87"/>
    <w:rsid w:val="007817FC"/>
    <w:rsid w:val="00782934"/>
    <w:rsid w:val="00783834"/>
    <w:rsid w:val="007841E9"/>
    <w:rsid w:val="007842EB"/>
    <w:rsid w:val="00784A0B"/>
    <w:rsid w:val="00785C7F"/>
    <w:rsid w:val="00785F8A"/>
    <w:rsid w:val="00786F21"/>
    <w:rsid w:val="0079025F"/>
    <w:rsid w:val="00790A70"/>
    <w:rsid w:val="00790EEE"/>
    <w:rsid w:val="00791164"/>
    <w:rsid w:val="00791207"/>
    <w:rsid w:val="00791580"/>
    <w:rsid w:val="0079196A"/>
    <w:rsid w:val="00793894"/>
    <w:rsid w:val="00793B75"/>
    <w:rsid w:val="00793D89"/>
    <w:rsid w:val="007971CD"/>
    <w:rsid w:val="007A0270"/>
    <w:rsid w:val="007A1BB7"/>
    <w:rsid w:val="007A2060"/>
    <w:rsid w:val="007A2479"/>
    <w:rsid w:val="007A2E89"/>
    <w:rsid w:val="007A33D9"/>
    <w:rsid w:val="007A4CFD"/>
    <w:rsid w:val="007A578E"/>
    <w:rsid w:val="007A6AC0"/>
    <w:rsid w:val="007A6BB3"/>
    <w:rsid w:val="007A6DF4"/>
    <w:rsid w:val="007A6F16"/>
    <w:rsid w:val="007A7D56"/>
    <w:rsid w:val="007A7E98"/>
    <w:rsid w:val="007B01DF"/>
    <w:rsid w:val="007B05D1"/>
    <w:rsid w:val="007B07B2"/>
    <w:rsid w:val="007B17E7"/>
    <w:rsid w:val="007B1830"/>
    <w:rsid w:val="007B1D4D"/>
    <w:rsid w:val="007B24CE"/>
    <w:rsid w:val="007B43B7"/>
    <w:rsid w:val="007B43CB"/>
    <w:rsid w:val="007B4D97"/>
    <w:rsid w:val="007B526E"/>
    <w:rsid w:val="007B5422"/>
    <w:rsid w:val="007B5EE4"/>
    <w:rsid w:val="007B6C0B"/>
    <w:rsid w:val="007B6D43"/>
    <w:rsid w:val="007C01AA"/>
    <w:rsid w:val="007C0B81"/>
    <w:rsid w:val="007C0C0A"/>
    <w:rsid w:val="007C0C24"/>
    <w:rsid w:val="007C1F58"/>
    <w:rsid w:val="007C22A4"/>
    <w:rsid w:val="007C286F"/>
    <w:rsid w:val="007C2B97"/>
    <w:rsid w:val="007C3C0D"/>
    <w:rsid w:val="007C43FA"/>
    <w:rsid w:val="007C566D"/>
    <w:rsid w:val="007C58E0"/>
    <w:rsid w:val="007C684F"/>
    <w:rsid w:val="007C6B74"/>
    <w:rsid w:val="007C7341"/>
    <w:rsid w:val="007D0434"/>
    <w:rsid w:val="007D0680"/>
    <w:rsid w:val="007D0773"/>
    <w:rsid w:val="007D09C9"/>
    <w:rsid w:val="007D0B57"/>
    <w:rsid w:val="007D14F7"/>
    <w:rsid w:val="007D16CF"/>
    <w:rsid w:val="007D21C2"/>
    <w:rsid w:val="007D223E"/>
    <w:rsid w:val="007D2E0B"/>
    <w:rsid w:val="007D2E23"/>
    <w:rsid w:val="007D2ED6"/>
    <w:rsid w:val="007D37E3"/>
    <w:rsid w:val="007D43AB"/>
    <w:rsid w:val="007D5E57"/>
    <w:rsid w:val="007D66AC"/>
    <w:rsid w:val="007E0DB7"/>
    <w:rsid w:val="007E1942"/>
    <w:rsid w:val="007E1963"/>
    <w:rsid w:val="007E1CDA"/>
    <w:rsid w:val="007E1F16"/>
    <w:rsid w:val="007E2699"/>
    <w:rsid w:val="007E2913"/>
    <w:rsid w:val="007E2D7B"/>
    <w:rsid w:val="007E2F6F"/>
    <w:rsid w:val="007E3BDD"/>
    <w:rsid w:val="007E3DC8"/>
    <w:rsid w:val="007E5769"/>
    <w:rsid w:val="007E6489"/>
    <w:rsid w:val="007E6533"/>
    <w:rsid w:val="007E6760"/>
    <w:rsid w:val="007E76CC"/>
    <w:rsid w:val="007E7EA3"/>
    <w:rsid w:val="007E7EC0"/>
    <w:rsid w:val="007F04EE"/>
    <w:rsid w:val="007F0EF7"/>
    <w:rsid w:val="007F0F40"/>
    <w:rsid w:val="007F0FF6"/>
    <w:rsid w:val="007F1196"/>
    <w:rsid w:val="007F15C1"/>
    <w:rsid w:val="007F289A"/>
    <w:rsid w:val="007F331F"/>
    <w:rsid w:val="007F3AD9"/>
    <w:rsid w:val="007F3C1B"/>
    <w:rsid w:val="007F42DF"/>
    <w:rsid w:val="007F44DF"/>
    <w:rsid w:val="007F45F6"/>
    <w:rsid w:val="007F4DE5"/>
    <w:rsid w:val="007F5288"/>
    <w:rsid w:val="0080096E"/>
    <w:rsid w:val="00801FAE"/>
    <w:rsid w:val="00801FB2"/>
    <w:rsid w:val="00803924"/>
    <w:rsid w:val="00804552"/>
    <w:rsid w:val="0080498E"/>
    <w:rsid w:val="008049D6"/>
    <w:rsid w:val="00804B2F"/>
    <w:rsid w:val="0080549F"/>
    <w:rsid w:val="008057EC"/>
    <w:rsid w:val="00806463"/>
    <w:rsid w:val="0080769B"/>
    <w:rsid w:val="008079CB"/>
    <w:rsid w:val="00810048"/>
    <w:rsid w:val="00812B4A"/>
    <w:rsid w:val="00813CCE"/>
    <w:rsid w:val="00813F58"/>
    <w:rsid w:val="00814DD4"/>
    <w:rsid w:val="008159E5"/>
    <w:rsid w:val="00815C01"/>
    <w:rsid w:val="00815F45"/>
    <w:rsid w:val="00816188"/>
    <w:rsid w:val="00816C0E"/>
    <w:rsid w:val="00816DE7"/>
    <w:rsid w:val="00816E75"/>
    <w:rsid w:val="00817192"/>
    <w:rsid w:val="00817195"/>
    <w:rsid w:val="0081777E"/>
    <w:rsid w:val="0081793E"/>
    <w:rsid w:val="0081796B"/>
    <w:rsid w:val="00820233"/>
    <w:rsid w:val="00821045"/>
    <w:rsid w:val="0082180B"/>
    <w:rsid w:val="00822183"/>
    <w:rsid w:val="0082263D"/>
    <w:rsid w:val="0082281A"/>
    <w:rsid w:val="00822C59"/>
    <w:rsid w:val="008234EC"/>
    <w:rsid w:val="00823545"/>
    <w:rsid w:val="0082571F"/>
    <w:rsid w:val="00825973"/>
    <w:rsid w:val="0082630B"/>
    <w:rsid w:val="00826C6C"/>
    <w:rsid w:val="008274CF"/>
    <w:rsid w:val="008276D0"/>
    <w:rsid w:val="0083066A"/>
    <w:rsid w:val="0083084A"/>
    <w:rsid w:val="008310E5"/>
    <w:rsid w:val="008311F9"/>
    <w:rsid w:val="00831F5E"/>
    <w:rsid w:val="00832C6B"/>
    <w:rsid w:val="00832CE4"/>
    <w:rsid w:val="00832D7F"/>
    <w:rsid w:val="00833A00"/>
    <w:rsid w:val="0083427F"/>
    <w:rsid w:val="008345DD"/>
    <w:rsid w:val="0083514C"/>
    <w:rsid w:val="0083523A"/>
    <w:rsid w:val="00835425"/>
    <w:rsid w:val="00836814"/>
    <w:rsid w:val="00836C8E"/>
    <w:rsid w:val="008377F4"/>
    <w:rsid w:val="00841006"/>
    <w:rsid w:val="008422CE"/>
    <w:rsid w:val="00842899"/>
    <w:rsid w:val="0084320A"/>
    <w:rsid w:val="0084523B"/>
    <w:rsid w:val="00845CA3"/>
    <w:rsid w:val="008469C0"/>
    <w:rsid w:val="00847F8D"/>
    <w:rsid w:val="008507E0"/>
    <w:rsid w:val="008509F1"/>
    <w:rsid w:val="00850AE2"/>
    <w:rsid w:val="00851215"/>
    <w:rsid w:val="008516F2"/>
    <w:rsid w:val="00851754"/>
    <w:rsid w:val="00851A8C"/>
    <w:rsid w:val="0085229D"/>
    <w:rsid w:val="0085262C"/>
    <w:rsid w:val="00852E4A"/>
    <w:rsid w:val="00853ED9"/>
    <w:rsid w:val="00854414"/>
    <w:rsid w:val="00855AD3"/>
    <w:rsid w:val="00855B8B"/>
    <w:rsid w:val="008578B2"/>
    <w:rsid w:val="00857D54"/>
    <w:rsid w:val="0086093A"/>
    <w:rsid w:val="00861002"/>
    <w:rsid w:val="00861697"/>
    <w:rsid w:val="00861B54"/>
    <w:rsid w:val="00862F6C"/>
    <w:rsid w:val="008643B5"/>
    <w:rsid w:val="008645AC"/>
    <w:rsid w:val="00864ED8"/>
    <w:rsid w:val="008651CE"/>
    <w:rsid w:val="00865200"/>
    <w:rsid w:val="00865DD1"/>
    <w:rsid w:val="00866956"/>
    <w:rsid w:val="00867CD6"/>
    <w:rsid w:val="00867FE6"/>
    <w:rsid w:val="0087090E"/>
    <w:rsid w:val="00870E3B"/>
    <w:rsid w:val="0087309C"/>
    <w:rsid w:val="00873653"/>
    <w:rsid w:val="0087386B"/>
    <w:rsid w:val="008741DB"/>
    <w:rsid w:val="008744A3"/>
    <w:rsid w:val="0087477C"/>
    <w:rsid w:val="008754F7"/>
    <w:rsid w:val="00875559"/>
    <w:rsid w:val="008763CD"/>
    <w:rsid w:val="008766D8"/>
    <w:rsid w:val="00876CE9"/>
    <w:rsid w:val="00877584"/>
    <w:rsid w:val="00877A4A"/>
    <w:rsid w:val="008806BC"/>
    <w:rsid w:val="008808B2"/>
    <w:rsid w:val="0088110E"/>
    <w:rsid w:val="00881B19"/>
    <w:rsid w:val="00882080"/>
    <w:rsid w:val="00882FC8"/>
    <w:rsid w:val="00884791"/>
    <w:rsid w:val="00884927"/>
    <w:rsid w:val="008852AB"/>
    <w:rsid w:val="00885721"/>
    <w:rsid w:val="00886A86"/>
    <w:rsid w:val="00886B3E"/>
    <w:rsid w:val="008874A1"/>
    <w:rsid w:val="008874E8"/>
    <w:rsid w:val="00887680"/>
    <w:rsid w:val="00887D29"/>
    <w:rsid w:val="008906D5"/>
    <w:rsid w:val="0089082A"/>
    <w:rsid w:val="00890C37"/>
    <w:rsid w:val="008915C6"/>
    <w:rsid w:val="00893579"/>
    <w:rsid w:val="00893A7F"/>
    <w:rsid w:val="00894042"/>
    <w:rsid w:val="00895A7A"/>
    <w:rsid w:val="008967B5"/>
    <w:rsid w:val="008A0362"/>
    <w:rsid w:val="008A0DBC"/>
    <w:rsid w:val="008A0F28"/>
    <w:rsid w:val="008A1178"/>
    <w:rsid w:val="008A1C9C"/>
    <w:rsid w:val="008A2075"/>
    <w:rsid w:val="008A2C1F"/>
    <w:rsid w:val="008A35BE"/>
    <w:rsid w:val="008A49B5"/>
    <w:rsid w:val="008A5C29"/>
    <w:rsid w:val="008A6107"/>
    <w:rsid w:val="008A68C0"/>
    <w:rsid w:val="008A7026"/>
    <w:rsid w:val="008A7726"/>
    <w:rsid w:val="008ACBE7"/>
    <w:rsid w:val="008B16E9"/>
    <w:rsid w:val="008B19EF"/>
    <w:rsid w:val="008B1F53"/>
    <w:rsid w:val="008B2375"/>
    <w:rsid w:val="008B2BE2"/>
    <w:rsid w:val="008B3160"/>
    <w:rsid w:val="008B37CF"/>
    <w:rsid w:val="008B3BE5"/>
    <w:rsid w:val="008B403F"/>
    <w:rsid w:val="008B4E13"/>
    <w:rsid w:val="008B5724"/>
    <w:rsid w:val="008B7275"/>
    <w:rsid w:val="008B7429"/>
    <w:rsid w:val="008B7A52"/>
    <w:rsid w:val="008C03BE"/>
    <w:rsid w:val="008C31FF"/>
    <w:rsid w:val="008C3721"/>
    <w:rsid w:val="008C6209"/>
    <w:rsid w:val="008C64B2"/>
    <w:rsid w:val="008C7526"/>
    <w:rsid w:val="008C7C19"/>
    <w:rsid w:val="008D0279"/>
    <w:rsid w:val="008D1682"/>
    <w:rsid w:val="008D1E11"/>
    <w:rsid w:val="008D1F75"/>
    <w:rsid w:val="008D29F2"/>
    <w:rsid w:val="008D4A4B"/>
    <w:rsid w:val="008D4FEB"/>
    <w:rsid w:val="008D5208"/>
    <w:rsid w:val="008D597F"/>
    <w:rsid w:val="008D77D8"/>
    <w:rsid w:val="008E0640"/>
    <w:rsid w:val="008E0E1E"/>
    <w:rsid w:val="008E2AE4"/>
    <w:rsid w:val="008E3E75"/>
    <w:rsid w:val="008E3FD9"/>
    <w:rsid w:val="008E404B"/>
    <w:rsid w:val="008E4ECD"/>
    <w:rsid w:val="008E513C"/>
    <w:rsid w:val="008E51AE"/>
    <w:rsid w:val="008E54B0"/>
    <w:rsid w:val="008E5746"/>
    <w:rsid w:val="008E5870"/>
    <w:rsid w:val="008E59B6"/>
    <w:rsid w:val="008F0A7C"/>
    <w:rsid w:val="008F1978"/>
    <w:rsid w:val="008F1F68"/>
    <w:rsid w:val="008F286C"/>
    <w:rsid w:val="008F2D3C"/>
    <w:rsid w:val="008F3460"/>
    <w:rsid w:val="008F4771"/>
    <w:rsid w:val="008F4808"/>
    <w:rsid w:val="008F507F"/>
    <w:rsid w:val="008F5859"/>
    <w:rsid w:val="008F6AAE"/>
    <w:rsid w:val="008F6F30"/>
    <w:rsid w:val="008F7296"/>
    <w:rsid w:val="008F73E5"/>
    <w:rsid w:val="00900F7B"/>
    <w:rsid w:val="00902882"/>
    <w:rsid w:val="00902FA1"/>
    <w:rsid w:val="00903528"/>
    <w:rsid w:val="00903A46"/>
    <w:rsid w:val="009042FF"/>
    <w:rsid w:val="00904754"/>
    <w:rsid w:val="00904C75"/>
    <w:rsid w:val="0090556A"/>
    <w:rsid w:val="0090665B"/>
    <w:rsid w:val="009067A8"/>
    <w:rsid w:val="00906E07"/>
    <w:rsid w:val="009074EE"/>
    <w:rsid w:val="009076A3"/>
    <w:rsid w:val="00907CDC"/>
    <w:rsid w:val="009104CE"/>
    <w:rsid w:val="00912ECD"/>
    <w:rsid w:val="009130B4"/>
    <w:rsid w:val="00913560"/>
    <w:rsid w:val="00913A6E"/>
    <w:rsid w:val="00914D51"/>
    <w:rsid w:val="00915155"/>
    <w:rsid w:val="009155D2"/>
    <w:rsid w:val="00916091"/>
    <w:rsid w:val="0091701B"/>
    <w:rsid w:val="00917FBA"/>
    <w:rsid w:val="009208BF"/>
    <w:rsid w:val="00920E47"/>
    <w:rsid w:val="00920E8A"/>
    <w:rsid w:val="009212BB"/>
    <w:rsid w:val="00921493"/>
    <w:rsid w:val="009216A5"/>
    <w:rsid w:val="009249C2"/>
    <w:rsid w:val="00924E0C"/>
    <w:rsid w:val="009253A9"/>
    <w:rsid w:val="00930921"/>
    <w:rsid w:val="00931D1C"/>
    <w:rsid w:val="00931E29"/>
    <w:rsid w:val="00932BB1"/>
    <w:rsid w:val="009332E0"/>
    <w:rsid w:val="00934BDB"/>
    <w:rsid w:val="009350AE"/>
    <w:rsid w:val="009351CA"/>
    <w:rsid w:val="00935D54"/>
    <w:rsid w:val="00936886"/>
    <w:rsid w:val="00940084"/>
    <w:rsid w:val="009402AE"/>
    <w:rsid w:val="00942AEA"/>
    <w:rsid w:val="00943E4B"/>
    <w:rsid w:val="00944118"/>
    <w:rsid w:val="009449D8"/>
    <w:rsid w:val="009457DB"/>
    <w:rsid w:val="009463C9"/>
    <w:rsid w:val="00947AC9"/>
    <w:rsid w:val="00950326"/>
    <w:rsid w:val="00950BE6"/>
    <w:rsid w:val="0095280D"/>
    <w:rsid w:val="009546E8"/>
    <w:rsid w:val="00955C84"/>
    <w:rsid w:val="00955E0D"/>
    <w:rsid w:val="00956E80"/>
    <w:rsid w:val="00956F30"/>
    <w:rsid w:val="00960D8B"/>
    <w:rsid w:val="00960F2D"/>
    <w:rsid w:val="00963EF0"/>
    <w:rsid w:val="00965191"/>
    <w:rsid w:val="00965C4A"/>
    <w:rsid w:val="00970923"/>
    <w:rsid w:val="00971866"/>
    <w:rsid w:val="00971A31"/>
    <w:rsid w:val="00971CDC"/>
    <w:rsid w:val="00973A3E"/>
    <w:rsid w:val="00973F9B"/>
    <w:rsid w:val="00973FB8"/>
    <w:rsid w:val="00974424"/>
    <w:rsid w:val="009764DF"/>
    <w:rsid w:val="00976BEF"/>
    <w:rsid w:val="009772EE"/>
    <w:rsid w:val="009776B9"/>
    <w:rsid w:val="00981239"/>
    <w:rsid w:val="00982FD4"/>
    <w:rsid w:val="0098369E"/>
    <w:rsid w:val="00985907"/>
    <w:rsid w:val="009859AA"/>
    <w:rsid w:val="0098620F"/>
    <w:rsid w:val="009864BA"/>
    <w:rsid w:val="00986AAC"/>
    <w:rsid w:val="00987D0C"/>
    <w:rsid w:val="00987D1B"/>
    <w:rsid w:val="00987ED0"/>
    <w:rsid w:val="00990E45"/>
    <w:rsid w:val="009923E9"/>
    <w:rsid w:val="009927F9"/>
    <w:rsid w:val="00992894"/>
    <w:rsid w:val="0099358A"/>
    <w:rsid w:val="0099450C"/>
    <w:rsid w:val="00994A63"/>
    <w:rsid w:val="00994F93"/>
    <w:rsid w:val="0099522D"/>
    <w:rsid w:val="00995A67"/>
    <w:rsid w:val="009962E8"/>
    <w:rsid w:val="0099665B"/>
    <w:rsid w:val="009967EC"/>
    <w:rsid w:val="0099741F"/>
    <w:rsid w:val="00997679"/>
    <w:rsid w:val="009977A5"/>
    <w:rsid w:val="009A31AC"/>
    <w:rsid w:val="009A48A2"/>
    <w:rsid w:val="009A4DDD"/>
    <w:rsid w:val="009A4FD4"/>
    <w:rsid w:val="009A53D1"/>
    <w:rsid w:val="009A587B"/>
    <w:rsid w:val="009A5897"/>
    <w:rsid w:val="009A58A3"/>
    <w:rsid w:val="009A6A40"/>
    <w:rsid w:val="009A6FBC"/>
    <w:rsid w:val="009A7785"/>
    <w:rsid w:val="009A79D2"/>
    <w:rsid w:val="009A7B4F"/>
    <w:rsid w:val="009B0522"/>
    <w:rsid w:val="009B16B5"/>
    <w:rsid w:val="009B1F81"/>
    <w:rsid w:val="009B20FF"/>
    <w:rsid w:val="009B2A23"/>
    <w:rsid w:val="009B2EC6"/>
    <w:rsid w:val="009B416C"/>
    <w:rsid w:val="009B499F"/>
    <w:rsid w:val="009B6475"/>
    <w:rsid w:val="009B79F3"/>
    <w:rsid w:val="009C04CB"/>
    <w:rsid w:val="009C0C65"/>
    <w:rsid w:val="009C15D4"/>
    <w:rsid w:val="009C47B5"/>
    <w:rsid w:val="009C4E93"/>
    <w:rsid w:val="009C679B"/>
    <w:rsid w:val="009C6CA5"/>
    <w:rsid w:val="009C734A"/>
    <w:rsid w:val="009C76B1"/>
    <w:rsid w:val="009C7DA3"/>
    <w:rsid w:val="009D04E5"/>
    <w:rsid w:val="009D0AEF"/>
    <w:rsid w:val="009D0B26"/>
    <w:rsid w:val="009D0BDE"/>
    <w:rsid w:val="009D0FDF"/>
    <w:rsid w:val="009D1F29"/>
    <w:rsid w:val="009D20B9"/>
    <w:rsid w:val="009D2C24"/>
    <w:rsid w:val="009D452E"/>
    <w:rsid w:val="009D47F0"/>
    <w:rsid w:val="009D48DF"/>
    <w:rsid w:val="009D68C9"/>
    <w:rsid w:val="009E120F"/>
    <w:rsid w:val="009E19B4"/>
    <w:rsid w:val="009E1FD0"/>
    <w:rsid w:val="009E2166"/>
    <w:rsid w:val="009E25DC"/>
    <w:rsid w:val="009E2B83"/>
    <w:rsid w:val="009E3E23"/>
    <w:rsid w:val="009E43A6"/>
    <w:rsid w:val="009E4C17"/>
    <w:rsid w:val="009E56E3"/>
    <w:rsid w:val="009E584B"/>
    <w:rsid w:val="009E5D36"/>
    <w:rsid w:val="009E6AE9"/>
    <w:rsid w:val="009E6C60"/>
    <w:rsid w:val="009E7761"/>
    <w:rsid w:val="009F0430"/>
    <w:rsid w:val="009F0475"/>
    <w:rsid w:val="009F118B"/>
    <w:rsid w:val="009F1A99"/>
    <w:rsid w:val="009F2620"/>
    <w:rsid w:val="009F2653"/>
    <w:rsid w:val="009F3613"/>
    <w:rsid w:val="009F4673"/>
    <w:rsid w:val="009F4C11"/>
    <w:rsid w:val="009F4D8E"/>
    <w:rsid w:val="009F62C8"/>
    <w:rsid w:val="009F6576"/>
    <w:rsid w:val="00A00005"/>
    <w:rsid w:val="00A00215"/>
    <w:rsid w:val="00A00C90"/>
    <w:rsid w:val="00A012FB"/>
    <w:rsid w:val="00A0200B"/>
    <w:rsid w:val="00A021E3"/>
    <w:rsid w:val="00A023F5"/>
    <w:rsid w:val="00A02F01"/>
    <w:rsid w:val="00A03A69"/>
    <w:rsid w:val="00A0461D"/>
    <w:rsid w:val="00A04F33"/>
    <w:rsid w:val="00A05101"/>
    <w:rsid w:val="00A06875"/>
    <w:rsid w:val="00A070C6"/>
    <w:rsid w:val="00A075D7"/>
    <w:rsid w:val="00A0787D"/>
    <w:rsid w:val="00A10E8B"/>
    <w:rsid w:val="00A110EC"/>
    <w:rsid w:val="00A1127C"/>
    <w:rsid w:val="00A116B2"/>
    <w:rsid w:val="00A11F27"/>
    <w:rsid w:val="00A1275D"/>
    <w:rsid w:val="00A12A9B"/>
    <w:rsid w:val="00A12F0A"/>
    <w:rsid w:val="00A14483"/>
    <w:rsid w:val="00A14862"/>
    <w:rsid w:val="00A1633A"/>
    <w:rsid w:val="00A165FC"/>
    <w:rsid w:val="00A2020F"/>
    <w:rsid w:val="00A204E5"/>
    <w:rsid w:val="00A205F7"/>
    <w:rsid w:val="00A215BF"/>
    <w:rsid w:val="00A21A14"/>
    <w:rsid w:val="00A220E3"/>
    <w:rsid w:val="00A22768"/>
    <w:rsid w:val="00A22817"/>
    <w:rsid w:val="00A22EC1"/>
    <w:rsid w:val="00A2325E"/>
    <w:rsid w:val="00A233CA"/>
    <w:rsid w:val="00A23D79"/>
    <w:rsid w:val="00A24688"/>
    <w:rsid w:val="00A24AA5"/>
    <w:rsid w:val="00A24F29"/>
    <w:rsid w:val="00A258A6"/>
    <w:rsid w:val="00A25BF0"/>
    <w:rsid w:val="00A25DD0"/>
    <w:rsid w:val="00A26595"/>
    <w:rsid w:val="00A27241"/>
    <w:rsid w:val="00A27548"/>
    <w:rsid w:val="00A3052C"/>
    <w:rsid w:val="00A32D7F"/>
    <w:rsid w:val="00A33A14"/>
    <w:rsid w:val="00A34ED1"/>
    <w:rsid w:val="00A3610E"/>
    <w:rsid w:val="00A36289"/>
    <w:rsid w:val="00A36985"/>
    <w:rsid w:val="00A36FDD"/>
    <w:rsid w:val="00A373E6"/>
    <w:rsid w:val="00A37CBD"/>
    <w:rsid w:val="00A400C7"/>
    <w:rsid w:val="00A40B20"/>
    <w:rsid w:val="00A41303"/>
    <w:rsid w:val="00A41845"/>
    <w:rsid w:val="00A44D9A"/>
    <w:rsid w:val="00A45247"/>
    <w:rsid w:val="00A453DF"/>
    <w:rsid w:val="00A45756"/>
    <w:rsid w:val="00A45AEA"/>
    <w:rsid w:val="00A45B52"/>
    <w:rsid w:val="00A45C8E"/>
    <w:rsid w:val="00A4612D"/>
    <w:rsid w:val="00A4630E"/>
    <w:rsid w:val="00A46C8F"/>
    <w:rsid w:val="00A4740E"/>
    <w:rsid w:val="00A50838"/>
    <w:rsid w:val="00A50C4B"/>
    <w:rsid w:val="00A50E29"/>
    <w:rsid w:val="00A52A59"/>
    <w:rsid w:val="00A53EAB"/>
    <w:rsid w:val="00A53FD1"/>
    <w:rsid w:val="00A5485F"/>
    <w:rsid w:val="00A54A2E"/>
    <w:rsid w:val="00A54D76"/>
    <w:rsid w:val="00A556A0"/>
    <w:rsid w:val="00A55C33"/>
    <w:rsid w:val="00A56DD5"/>
    <w:rsid w:val="00A5716F"/>
    <w:rsid w:val="00A6125B"/>
    <w:rsid w:val="00A62ACE"/>
    <w:rsid w:val="00A63E74"/>
    <w:rsid w:val="00A641E7"/>
    <w:rsid w:val="00A647FF"/>
    <w:rsid w:val="00A65358"/>
    <w:rsid w:val="00A656E7"/>
    <w:rsid w:val="00A65A05"/>
    <w:rsid w:val="00A6674C"/>
    <w:rsid w:val="00A668AA"/>
    <w:rsid w:val="00A66ECC"/>
    <w:rsid w:val="00A675C2"/>
    <w:rsid w:val="00A70307"/>
    <w:rsid w:val="00A70594"/>
    <w:rsid w:val="00A70722"/>
    <w:rsid w:val="00A70D64"/>
    <w:rsid w:val="00A726BC"/>
    <w:rsid w:val="00A72764"/>
    <w:rsid w:val="00A742CD"/>
    <w:rsid w:val="00A747A4"/>
    <w:rsid w:val="00A74FD3"/>
    <w:rsid w:val="00A7594B"/>
    <w:rsid w:val="00A76157"/>
    <w:rsid w:val="00A76AAC"/>
    <w:rsid w:val="00A76C8D"/>
    <w:rsid w:val="00A7739E"/>
    <w:rsid w:val="00A7758A"/>
    <w:rsid w:val="00A80123"/>
    <w:rsid w:val="00A80140"/>
    <w:rsid w:val="00A80717"/>
    <w:rsid w:val="00A8083F"/>
    <w:rsid w:val="00A8160D"/>
    <w:rsid w:val="00A8168A"/>
    <w:rsid w:val="00A825A0"/>
    <w:rsid w:val="00A82995"/>
    <w:rsid w:val="00A83243"/>
    <w:rsid w:val="00A8339B"/>
    <w:rsid w:val="00A83604"/>
    <w:rsid w:val="00A86BB4"/>
    <w:rsid w:val="00A86BC2"/>
    <w:rsid w:val="00A90B95"/>
    <w:rsid w:val="00A91CFA"/>
    <w:rsid w:val="00A92654"/>
    <w:rsid w:val="00A9351C"/>
    <w:rsid w:val="00A94249"/>
    <w:rsid w:val="00A94313"/>
    <w:rsid w:val="00A9461B"/>
    <w:rsid w:val="00A946CD"/>
    <w:rsid w:val="00A96077"/>
    <w:rsid w:val="00A9671C"/>
    <w:rsid w:val="00A97E93"/>
    <w:rsid w:val="00AA0376"/>
    <w:rsid w:val="00AA1CE8"/>
    <w:rsid w:val="00AA381E"/>
    <w:rsid w:val="00AA3BBD"/>
    <w:rsid w:val="00AA3C04"/>
    <w:rsid w:val="00AA5DC9"/>
    <w:rsid w:val="00AA605D"/>
    <w:rsid w:val="00AA6AB2"/>
    <w:rsid w:val="00AA738D"/>
    <w:rsid w:val="00AB0BC9"/>
    <w:rsid w:val="00AB290D"/>
    <w:rsid w:val="00AB3BF7"/>
    <w:rsid w:val="00AB4C4C"/>
    <w:rsid w:val="00AB50ED"/>
    <w:rsid w:val="00AB58D3"/>
    <w:rsid w:val="00AB5A7D"/>
    <w:rsid w:val="00AB5AF3"/>
    <w:rsid w:val="00AB6D6B"/>
    <w:rsid w:val="00AB7B1C"/>
    <w:rsid w:val="00AC0CE9"/>
    <w:rsid w:val="00AC12F0"/>
    <w:rsid w:val="00AC1421"/>
    <w:rsid w:val="00AC2CF1"/>
    <w:rsid w:val="00AC550F"/>
    <w:rsid w:val="00AC66D9"/>
    <w:rsid w:val="00AD069B"/>
    <w:rsid w:val="00AD1659"/>
    <w:rsid w:val="00AD197B"/>
    <w:rsid w:val="00AD24FA"/>
    <w:rsid w:val="00AD391F"/>
    <w:rsid w:val="00AD518F"/>
    <w:rsid w:val="00AD5267"/>
    <w:rsid w:val="00AD76BD"/>
    <w:rsid w:val="00AD7AB2"/>
    <w:rsid w:val="00AE0E19"/>
    <w:rsid w:val="00AE15BB"/>
    <w:rsid w:val="00AE2907"/>
    <w:rsid w:val="00AE2A24"/>
    <w:rsid w:val="00AE2B6B"/>
    <w:rsid w:val="00AE38CF"/>
    <w:rsid w:val="00AE4302"/>
    <w:rsid w:val="00AE4A83"/>
    <w:rsid w:val="00AE57E4"/>
    <w:rsid w:val="00AE5AD8"/>
    <w:rsid w:val="00AE5F02"/>
    <w:rsid w:val="00AE626C"/>
    <w:rsid w:val="00AE7117"/>
    <w:rsid w:val="00AE7527"/>
    <w:rsid w:val="00AF00FB"/>
    <w:rsid w:val="00AF141D"/>
    <w:rsid w:val="00AF14E8"/>
    <w:rsid w:val="00AF1CE5"/>
    <w:rsid w:val="00AF1F1F"/>
    <w:rsid w:val="00AF1F5A"/>
    <w:rsid w:val="00AF2EA3"/>
    <w:rsid w:val="00AF3B9D"/>
    <w:rsid w:val="00AF44F4"/>
    <w:rsid w:val="00AF58B3"/>
    <w:rsid w:val="00AF5B1D"/>
    <w:rsid w:val="00AF6073"/>
    <w:rsid w:val="00AF6A08"/>
    <w:rsid w:val="00AF6D5C"/>
    <w:rsid w:val="00B002E6"/>
    <w:rsid w:val="00B00D19"/>
    <w:rsid w:val="00B00FE5"/>
    <w:rsid w:val="00B01BE5"/>
    <w:rsid w:val="00B024B2"/>
    <w:rsid w:val="00B0361E"/>
    <w:rsid w:val="00B04F29"/>
    <w:rsid w:val="00B05A6C"/>
    <w:rsid w:val="00B05CF4"/>
    <w:rsid w:val="00B07977"/>
    <w:rsid w:val="00B101A2"/>
    <w:rsid w:val="00B117A5"/>
    <w:rsid w:val="00B11847"/>
    <w:rsid w:val="00B11B5A"/>
    <w:rsid w:val="00B11CB2"/>
    <w:rsid w:val="00B11DB4"/>
    <w:rsid w:val="00B12000"/>
    <w:rsid w:val="00B124DF"/>
    <w:rsid w:val="00B1369E"/>
    <w:rsid w:val="00B14FF4"/>
    <w:rsid w:val="00B15622"/>
    <w:rsid w:val="00B160D9"/>
    <w:rsid w:val="00B16237"/>
    <w:rsid w:val="00B162E9"/>
    <w:rsid w:val="00B16D07"/>
    <w:rsid w:val="00B20286"/>
    <w:rsid w:val="00B20445"/>
    <w:rsid w:val="00B21942"/>
    <w:rsid w:val="00B219D4"/>
    <w:rsid w:val="00B22756"/>
    <w:rsid w:val="00B230A1"/>
    <w:rsid w:val="00B23A9F"/>
    <w:rsid w:val="00B23B23"/>
    <w:rsid w:val="00B24B64"/>
    <w:rsid w:val="00B24EFF"/>
    <w:rsid w:val="00B25D29"/>
    <w:rsid w:val="00B270EC"/>
    <w:rsid w:val="00B27EBF"/>
    <w:rsid w:val="00B3038C"/>
    <w:rsid w:val="00B307E5"/>
    <w:rsid w:val="00B309FA"/>
    <w:rsid w:val="00B31D69"/>
    <w:rsid w:val="00B3204A"/>
    <w:rsid w:val="00B32261"/>
    <w:rsid w:val="00B32E28"/>
    <w:rsid w:val="00B331D5"/>
    <w:rsid w:val="00B33F11"/>
    <w:rsid w:val="00B34DFA"/>
    <w:rsid w:val="00B35A9F"/>
    <w:rsid w:val="00B36F96"/>
    <w:rsid w:val="00B40140"/>
    <w:rsid w:val="00B4095F"/>
    <w:rsid w:val="00B41A89"/>
    <w:rsid w:val="00B42867"/>
    <w:rsid w:val="00B42DFE"/>
    <w:rsid w:val="00B437AE"/>
    <w:rsid w:val="00B44184"/>
    <w:rsid w:val="00B443B2"/>
    <w:rsid w:val="00B44E26"/>
    <w:rsid w:val="00B453F2"/>
    <w:rsid w:val="00B46208"/>
    <w:rsid w:val="00B462B8"/>
    <w:rsid w:val="00B46D3F"/>
    <w:rsid w:val="00B4764A"/>
    <w:rsid w:val="00B4C1A7"/>
    <w:rsid w:val="00B50083"/>
    <w:rsid w:val="00B51093"/>
    <w:rsid w:val="00B510E7"/>
    <w:rsid w:val="00B517EE"/>
    <w:rsid w:val="00B519BC"/>
    <w:rsid w:val="00B52199"/>
    <w:rsid w:val="00B53918"/>
    <w:rsid w:val="00B55AF7"/>
    <w:rsid w:val="00B565E3"/>
    <w:rsid w:val="00B57068"/>
    <w:rsid w:val="00B6040F"/>
    <w:rsid w:val="00B605F6"/>
    <w:rsid w:val="00B60EF0"/>
    <w:rsid w:val="00B619B5"/>
    <w:rsid w:val="00B61D47"/>
    <w:rsid w:val="00B62B5A"/>
    <w:rsid w:val="00B62E78"/>
    <w:rsid w:val="00B64F0F"/>
    <w:rsid w:val="00B6555A"/>
    <w:rsid w:val="00B66A4F"/>
    <w:rsid w:val="00B66E8A"/>
    <w:rsid w:val="00B6765E"/>
    <w:rsid w:val="00B67C38"/>
    <w:rsid w:val="00B71729"/>
    <w:rsid w:val="00B71A57"/>
    <w:rsid w:val="00B721B8"/>
    <w:rsid w:val="00B7305B"/>
    <w:rsid w:val="00B74A7C"/>
    <w:rsid w:val="00B750C0"/>
    <w:rsid w:val="00B758F8"/>
    <w:rsid w:val="00B76D86"/>
    <w:rsid w:val="00B76E4B"/>
    <w:rsid w:val="00B77005"/>
    <w:rsid w:val="00B80B88"/>
    <w:rsid w:val="00B80EE4"/>
    <w:rsid w:val="00B81AA7"/>
    <w:rsid w:val="00B82905"/>
    <w:rsid w:val="00B835EB"/>
    <w:rsid w:val="00B871F5"/>
    <w:rsid w:val="00B91A99"/>
    <w:rsid w:val="00B9236D"/>
    <w:rsid w:val="00B94316"/>
    <w:rsid w:val="00B94AB3"/>
    <w:rsid w:val="00B95237"/>
    <w:rsid w:val="00B95488"/>
    <w:rsid w:val="00B95741"/>
    <w:rsid w:val="00BA08A6"/>
    <w:rsid w:val="00BA0D0D"/>
    <w:rsid w:val="00BA1E64"/>
    <w:rsid w:val="00BA28FC"/>
    <w:rsid w:val="00BA2E96"/>
    <w:rsid w:val="00BA2F88"/>
    <w:rsid w:val="00BA30D6"/>
    <w:rsid w:val="00BA3464"/>
    <w:rsid w:val="00BA38A7"/>
    <w:rsid w:val="00BA3B8B"/>
    <w:rsid w:val="00BA3C73"/>
    <w:rsid w:val="00BA3E4B"/>
    <w:rsid w:val="00BA7611"/>
    <w:rsid w:val="00BB016B"/>
    <w:rsid w:val="00BB046A"/>
    <w:rsid w:val="00BB0506"/>
    <w:rsid w:val="00BB21D5"/>
    <w:rsid w:val="00BB2B4F"/>
    <w:rsid w:val="00BB32D9"/>
    <w:rsid w:val="00BB3522"/>
    <w:rsid w:val="00BB436F"/>
    <w:rsid w:val="00BB7029"/>
    <w:rsid w:val="00BB7827"/>
    <w:rsid w:val="00BB7BC2"/>
    <w:rsid w:val="00BC0E2E"/>
    <w:rsid w:val="00BC1299"/>
    <w:rsid w:val="00BC1752"/>
    <w:rsid w:val="00BC17CA"/>
    <w:rsid w:val="00BC1D24"/>
    <w:rsid w:val="00BC27E0"/>
    <w:rsid w:val="00BC2A9E"/>
    <w:rsid w:val="00BC2FFF"/>
    <w:rsid w:val="00BC3196"/>
    <w:rsid w:val="00BC36F4"/>
    <w:rsid w:val="00BC37A4"/>
    <w:rsid w:val="00BC3CE7"/>
    <w:rsid w:val="00BC4106"/>
    <w:rsid w:val="00BC46FD"/>
    <w:rsid w:val="00BC49A9"/>
    <w:rsid w:val="00BC5011"/>
    <w:rsid w:val="00BC56A0"/>
    <w:rsid w:val="00BC599A"/>
    <w:rsid w:val="00BC5BE2"/>
    <w:rsid w:val="00BC5EC1"/>
    <w:rsid w:val="00BC73EA"/>
    <w:rsid w:val="00BC756D"/>
    <w:rsid w:val="00BC7579"/>
    <w:rsid w:val="00BD0901"/>
    <w:rsid w:val="00BD1E3C"/>
    <w:rsid w:val="00BD21AD"/>
    <w:rsid w:val="00BD291A"/>
    <w:rsid w:val="00BD3438"/>
    <w:rsid w:val="00BD36AE"/>
    <w:rsid w:val="00BD3E4A"/>
    <w:rsid w:val="00BD4BBD"/>
    <w:rsid w:val="00BD57AA"/>
    <w:rsid w:val="00BD59FC"/>
    <w:rsid w:val="00BD5F90"/>
    <w:rsid w:val="00BD6311"/>
    <w:rsid w:val="00BD715A"/>
    <w:rsid w:val="00BD73C7"/>
    <w:rsid w:val="00BE063D"/>
    <w:rsid w:val="00BE0C81"/>
    <w:rsid w:val="00BE2838"/>
    <w:rsid w:val="00BE2EBD"/>
    <w:rsid w:val="00BE44D3"/>
    <w:rsid w:val="00BE6995"/>
    <w:rsid w:val="00BE7335"/>
    <w:rsid w:val="00BE74C6"/>
    <w:rsid w:val="00BE7FF0"/>
    <w:rsid w:val="00BF0AEA"/>
    <w:rsid w:val="00BF1465"/>
    <w:rsid w:val="00BF19DA"/>
    <w:rsid w:val="00BF1C5A"/>
    <w:rsid w:val="00BF1F4F"/>
    <w:rsid w:val="00BF44CF"/>
    <w:rsid w:val="00BF4566"/>
    <w:rsid w:val="00BF4A4E"/>
    <w:rsid w:val="00BF4C2B"/>
    <w:rsid w:val="00BF63D2"/>
    <w:rsid w:val="00BF7FEF"/>
    <w:rsid w:val="00C0020A"/>
    <w:rsid w:val="00C003E2"/>
    <w:rsid w:val="00C00845"/>
    <w:rsid w:val="00C008F7"/>
    <w:rsid w:val="00C01661"/>
    <w:rsid w:val="00C01C3F"/>
    <w:rsid w:val="00C020DB"/>
    <w:rsid w:val="00C027D6"/>
    <w:rsid w:val="00C02A3E"/>
    <w:rsid w:val="00C03303"/>
    <w:rsid w:val="00C03F83"/>
    <w:rsid w:val="00C04F73"/>
    <w:rsid w:val="00C05D08"/>
    <w:rsid w:val="00C07239"/>
    <w:rsid w:val="00C07C6E"/>
    <w:rsid w:val="00C10C4C"/>
    <w:rsid w:val="00C10DC9"/>
    <w:rsid w:val="00C11784"/>
    <w:rsid w:val="00C11A03"/>
    <w:rsid w:val="00C12E0C"/>
    <w:rsid w:val="00C13015"/>
    <w:rsid w:val="00C13315"/>
    <w:rsid w:val="00C13AD3"/>
    <w:rsid w:val="00C144DF"/>
    <w:rsid w:val="00C14769"/>
    <w:rsid w:val="00C14C95"/>
    <w:rsid w:val="00C1614F"/>
    <w:rsid w:val="00C16FCA"/>
    <w:rsid w:val="00C175CE"/>
    <w:rsid w:val="00C177AA"/>
    <w:rsid w:val="00C21084"/>
    <w:rsid w:val="00C21CA8"/>
    <w:rsid w:val="00C222A3"/>
    <w:rsid w:val="00C22642"/>
    <w:rsid w:val="00C229E2"/>
    <w:rsid w:val="00C244EA"/>
    <w:rsid w:val="00C24D08"/>
    <w:rsid w:val="00C24D74"/>
    <w:rsid w:val="00C24D88"/>
    <w:rsid w:val="00C24FAD"/>
    <w:rsid w:val="00C25E39"/>
    <w:rsid w:val="00C264C1"/>
    <w:rsid w:val="00C26D01"/>
    <w:rsid w:val="00C26DC8"/>
    <w:rsid w:val="00C27A94"/>
    <w:rsid w:val="00C30136"/>
    <w:rsid w:val="00C30ABF"/>
    <w:rsid w:val="00C30DE0"/>
    <w:rsid w:val="00C30F36"/>
    <w:rsid w:val="00C31151"/>
    <w:rsid w:val="00C3279A"/>
    <w:rsid w:val="00C33861"/>
    <w:rsid w:val="00C36B4B"/>
    <w:rsid w:val="00C37310"/>
    <w:rsid w:val="00C3747E"/>
    <w:rsid w:val="00C40569"/>
    <w:rsid w:val="00C417D6"/>
    <w:rsid w:val="00C418D7"/>
    <w:rsid w:val="00C419C9"/>
    <w:rsid w:val="00C4230B"/>
    <w:rsid w:val="00C42F89"/>
    <w:rsid w:val="00C437CD"/>
    <w:rsid w:val="00C43BC2"/>
    <w:rsid w:val="00C43F80"/>
    <w:rsid w:val="00C4475F"/>
    <w:rsid w:val="00C45F63"/>
    <w:rsid w:val="00C46177"/>
    <w:rsid w:val="00C469F1"/>
    <w:rsid w:val="00C47049"/>
    <w:rsid w:val="00C47435"/>
    <w:rsid w:val="00C476F2"/>
    <w:rsid w:val="00C50592"/>
    <w:rsid w:val="00C50DE5"/>
    <w:rsid w:val="00C50FA0"/>
    <w:rsid w:val="00C512CD"/>
    <w:rsid w:val="00C51ACA"/>
    <w:rsid w:val="00C51D5E"/>
    <w:rsid w:val="00C5243C"/>
    <w:rsid w:val="00C52937"/>
    <w:rsid w:val="00C535AB"/>
    <w:rsid w:val="00C53E24"/>
    <w:rsid w:val="00C5403F"/>
    <w:rsid w:val="00C5744F"/>
    <w:rsid w:val="00C577E6"/>
    <w:rsid w:val="00C612B5"/>
    <w:rsid w:val="00C628AA"/>
    <w:rsid w:val="00C63878"/>
    <w:rsid w:val="00C63A50"/>
    <w:rsid w:val="00C6467D"/>
    <w:rsid w:val="00C65D0C"/>
    <w:rsid w:val="00C660D7"/>
    <w:rsid w:val="00C67630"/>
    <w:rsid w:val="00C70E34"/>
    <w:rsid w:val="00C718A9"/>
    <w:rsid w:val="00C71C3E"/>
    <w:rsid w:val="00C725AF"/>
    <w:rsid w:val="00C72AC1"/>
    <w:rsid w:val="00C72BA1"/>
    <w:rsid w:val="00C73557"/>
    <w:rsid w:val="00C7432C"/>
    <w:rsid w:val="00C74560"/>
    <w:rsid w:val="00C746E5"/>
    <w:rsid w:val="00C75095"/>
    <w:rsid w:val="00C762E4"/>
    <w:rsid w:val="00C76555"/>
    <w:rsid w:val="00C77119"/>
    <w:rsid w:val="00C77FEB"/>
    <w:rsid w:val="00C80144"/>
    <w:rsid w:val="00C809F6"/>
    <w:rsid w:val="00C80FC5"/>
    <w:rsid w:val="00C81013"/>
    <w:rsid w:val="00C818D2"/>
    <w:rsid w:val="00C81BC4"/>
    <w:rsid w:val="00C820BA"/>
    <w:rsid w:val="00C820D3"/>
    <w:rsid w:val="00C82A6B"/>
    <w:rsid w:val="00C837A4"/>
    <w:rsid w:val="00C84310"/>
    <w:rsid w:val="00C84EA4"/>
    <w:rsid w:val="00C85547"/>
    <w:rsid w:val="00C85D56"/>
    <w:rsid w:val="00C86887"/>
    <w:rsid w:val="00C86DEA"/>
    <w:rsid w:val="00C904EF"/>
    <w:rsid w:val="00C90913"/>
    <w:rsid w:val="00C9135D"/>
    <w:rsid w:val="00C9347D"/>
    <w:rsid w:val="00C93A2B"/>
    <w:rsid w:val="00C93BDA"/>
    <w:rsid w:val="00C93E46"/>
    <w:rsid w:val="00C94744"/>
    <w:rsid w:val="00C94B2A"/>
    <w:rsid w:val="00C955A8"/>
    <w:rsid w:val="00C95A05"/>
    <w:rsid w:val="00C96133"/>
    <w:rsid w:val="00C96768"/>
    <w:rsid w:val="00C97B0B"/>
    <w:rsid w:val="00C97B59"/>
    <w:rsid w:val="00C97BC3"/>
    <w:rsid w:val="00C97BFC"/>
    <w:rsid w:val="00CA0689"/>
    <w:rsid w:val="00CA06A7"/>
    <w:rsid w:val="00CA07AA"/>
    <w:rsid w:val="00CA112F"/>
    <w:rsid w:val="00CA24B1"/>
    <w:rsid w:val="00CA3298"/>
    <w:rsid w:val="00CA35E7"/>
    <w:rsid w:val="00CA423D"/>
    <w:rsid w:val="00CA47EB"/>
    <w:rsid w:val="00CA4C7D"/>
    <w:rsid w:val="00CA4CEA"/>
    <w:rsid w:val="00CA5DAE"/>
    <w:rsid w:val="00CA5E7E"/>
    <w:rsid w:val="00CA60BE"/>
    <w:rsid w:val="00CA65FE"/>
    <w:rsid w:val="00CA748D"/>
    <w:rsid w:val="00CA7804"/>
    <w:rsid w:val="00CA7D54"/>
    <w:rsid w:val="00CA7D82"/>
    <w:rsid w:val="00CB01C6"/>
    <w:rsid w:val="00CB0952"/>
    <w:rsid w:val="00CB196E"/>
    <w:rsid w:val="00CB2107"/>
    <w:rsid w:val="00CB2E70"/>
    <w:rsid w:val="00CB37AA"/>
    <w:rsid w:val="00CB38C3"/>
    <w:rsid w:val="00CB46CF"/>
    <w:rsid w:val="00CB4780"/>
    <w:rsid w:val="00CB4E74"/>
    <w:rsid w:val="00CB4F51"/>
    <w:rsid w:val="00CB4FD7"/>
    <w:rsid w:val="00CB5E67"/>
    <w:rsid w:val="00CB65DC"/>
    <w:rsid w:val="00CB6D64"/>
    <w:rsid w:val="00CB705B"/>
    <w:rsid w:val="00CB766E"/>
    <w:rsid w:val="00CB7C34"/>
    <w:rsid w:val="00CC00F6"/>
    <w:rsid w:val="00CC030D"/>
    <w:rsid w:val="00CC0949"/>
    <w:rsid w:val="00CC0D25"/>
    <w:rsid w:val="00CC2B01"/>
    <w:rsid w:val="00CC2CE4"/>
    <w:rsid w:val="00CC321D"/>
    <w:rsid w:val="00CC3A15"/>
    <w:rsid w:val="00CC4F99"/>
    <w:rsid w:val="00CC5374"/>
    <w:rsid w:val="00CC5B5F"/>
    <w:rsid w:val="00CC63ED"/>
    <w:rsid w:val="00CC6997"/>
    <w:rsid w:val="00CC7392"/>
    <w:rsid w:val="00CC740B"/>
    <w:rsid w:val="00CD0575"/>
    <w:rsid w:val="00CD2557"/>
    <w:rsid w:val="00CD2D56"/>
    <w:rsid w:val="00CD58BB"/>
    <w:rsid w:val="00CD62A5"/>
    <w:rsid w:val="00CD6347"/>
    <w:rsid w:val="00CD6696"/>
    <w:rsid w:val="00CD66C2"/>
    <w:rsid w:val="00CE002C"/>
    <w:rsid w:val="00CE01C5"/>
    <w:rsid w:val="00CE1B54"/>
    <w:rsid w:val="00CE2383"/>
    <w:rsid w:val="00CE271F"/>
    <w:rsid w:val="00CE2A8C"/>
    <w:rsid w:val="00CE2A9F"/>
    <w:rsid w:val="00CE31AA"/>
    <w:rsid w:val="00CE3236"/>
    <w:rsid w:val="00CE3B4D"/>
    <w:rsid w:val="00CE40A6"/>
    <w:rsid w:val="00CE45C2"/>
    <w:rsid w:val="00CE4B94"/>
    <w:rsid w:val="00CE50E0"/>
    <w:rsid w:val="00CE5905"/>
    <w:rsid w:val="00CE7796"/>
    <w:rsid w:val="00CE784F"/>
    <w:rsid w:val="00CE7A84"/>
    <w:rsid w:val="00CF06ED"/>
    <w:rsid w:val="00CF140D"/>
    <w:rsid w:val="00CF1C1D"/>
    <w:rsid w:val="00CF2156"/>
    <w:rsid w:val="00CF2C57"/>
    <w:rsid w:val="00CF3FFF"/>
    <w:rsid w:val="00CF44EE"/>
    <w:rsid w:val="00CF5410"/>
    <w:rsid w:val="00CF5744"/>
    <w:rsid w:val="00CF6115"/>
    <w:rsid w:val="00CF7346"/>
    <w:rsid w:val="00D0038C"/>
    <w:rsid w:val="00D0041B"/>
    <w:rsid w:val="00D00908"/>
    <w:rsid w:val="00D009D7"/>
    <w:rsid w:val="00D01E55"/>
    <w:rsid w:val="00D01EC6"/>
    <w:rsid w:val="00D03D56"/>
    <w:rsid w:val="00D0475C"/>
    <w:rsid w:val="00D04C1A"/>
    <w:rsid w:val="00D04CE9"/>
    <w:rsid w:val="00D06769"/>
    <w:rsid w:val="00D0711D"/>
    <w:rsid w:val="00D079DE"/>
    <w:rsid w:val="00D07A02"/>
    <w:rsid w:val="00D11813"/>
    <w:rsid w:val="00D11842"/>
    <w:rsid w:val="00D12775"/>
    <w:rsid w:val="00D1467F"/>
    <w:rsid w:val="00D14962"/>
    <w:rsid w:val="00D14F73"/>
    <w:rsid w:val="00D1545C"/>
    <w:rsid w:val="00D16651"/>
    <w:rsid w:val="00D1676F"/>
    <w:rsid w:val="00D17F07"/>
    <w:rsid w:val="00D203B0"/>
    <w:rsid w:val="00D203F9"/>
    <w:rsid w:val="00D209FB"/>
    <w:rsid w:val="00D21869"/>
    <w:rsid w:val="00D21C8A"/>
    <w:rsid w:val="00D22F2B"/>
    <w:rsid w:val="00D24C9B"/>
    <w:rsid w:val="00D2532F"/>
    <w:rsid w:val="00D25446"/>
    <w:rsid w:val="00D25983"/>
    <w:rsid w:val="00D25FB8"/>
    <w:rsid w:val="00D26655"/>
    <w:rsid w:val="00D26D8E"/>
    <w:rsid w:val="00D26F47"/>
    <w:rsid w:val="00D27632"/>
    <w:rsid w:val="00D30E33"/>
    <w:rsid w:val="00D3202C"/>
    <w:rsid w:val="00D32297"/>
    <w:rsid w:val="00D32649"/>
    <w:rsid w:val="00D3295A"/>
    <w:rsid w:val="00D329DC"/>
    <w:rsid w:val="00D32B6F"/>
    <w:rsid w:val="00D336CF"/>
    <w:rsid w:val="00D340AA"/>
    <w:rsid w:val="00D35D75"/>
    <w:rsid w:val="00D36797"/>
    <w:rsid w:val="00D36D80"/>
    <w:rsid w:val="00D37251"/>
    <w:rsid w:val="00D40D6B"/>
    <w:rsid w:val="00D41D9C"/>
    <w:rsid w:val="00D41DF1"/>
    <w:rsid w:val="00D43E4E"/>
    <w:rsid w:val="00D43F34"/>
    <w:rsid w:val="00D448E2"/>
    <w:rsid w:val="00D462C3"/>
    <w:rsid w:val="00D46337"/>
    <w:rsid w:val="00D47740"/>
    <w:rsid w:val="00D50999"/>
    <w:rsid w:val="00D50C9A"/>
    <w:rsid w:val="00D5352A"/>
    <w:rsid w:val="00D53895"/>
    <w:rsid w:val="00D544E7"/>
    <w:rsid w:val="00D54DFC"/>
    <w:rsid w:val="00D55273"/>
    <w:rsid w:val="00D57590"/>
    <w:rsid w:val="00D57C13"/>
    <w:rsid w:val="00D60B9D"/>
    <w:rsid w:val="00D60BFF"/>
    <w:rsid w:val="00D6283E"/>
    <w:rsid w:val="00D62C59"/>
    <w:rsid w:val="00D638E3"/>
    <w:rsid w:val="00D639C6"/>
    <w:rsid w:val="00D64346"/>
    <w:rsid w:val="00D64894"/>
    <w:rsid w:val="00D64E9F"/>
    <w:rsid w:val="00D7006B"/>
    <w:rsid w:val="00D7040B"/>
    <w:rsid w:val="00D719A6"/>
    <w:rsid w:val="00D71B45"/>
    <w:rsid w:val="00D71B46"/>
    <w:rsid w:val="00D71D97"/>
    <w:rsid w:val="00D7385F"/>
    <w:rsid w:val="00D73A05"/>
    <w:rsid w:val="00D74335"/>
    <w:rsid w:val="00D7439F"/>
    <w:rsid w:val="00D760B5"/>
    <w:rsid w:val="00D76959"/>
    <w:rsid w:val="00D76B95"/>
    <w:rsid w:val="00D76C27"/>
    <w:rsid w:val="00D77A8C"/>
    <w:rsid w:val="00D8089F"/>
    <w:rsid w:val="00D8095B"/>
    <w:rsid w:val="00D80EE5"/>
    <w:rsid w:val="00D810C6"/>
    <w:rsid w:val="00D8148B"/>
    <w:rsid w:val="00D816EA"/>
    <w:rsid w:val="00D821F6"/>
    <w:rsid w:val="00D82302"/>
    <w:rsid w:val="00D8249A"/>
    <w:rsid w:val="00D82556"/>
    <w:rsid w:val="00D82733"/>
    <w:rsid w:val="00D82BE5"/>
    <w:rsid w:val="00D8348F"/>
    <w:rsid w:val="00D8493A"/>
    <w:rsid w:val="00D8529A"/>
    <w:rsid w:val="00D85333"/>
    <w:rsid w:val="00D866B5"/>
    <w:rsid w:val="00D86A11"/>
    <w:rsid w:val="00D8705B"/>
    <w:rsid w:val="00D90C26"/>
    <w:rsid w:val="00D91418"/>
    <w:rsid w:val="00D91DB8"/>
    <w:rsid w:val="00D92604"/>
    <w:rsid w:val="00D945CE"/>
    <w:rsid w:val="00D946FA"/>
    <w:rsid w:val="00D94C87"/>
    <w:rsid w:val="00D96D61"/>
    <w:rsid w:val="00D96FF1"/>
    <w:rsid w:val="00D97CF5"/>
    <w:rsid w:val="00DA0E08"/>
    <w:rsid w:val="00DA242A"/>
    <w:rsid w:val="00DA28B6"/>
    <w:rsid w:val="00DA2CB2"/>
    <w:rsid w:val="00DA399B"/>
    <w:rsid w:val="00DA3AC9"/>
    <w:rsid w:val="00DA4EF2"/>
    <w:rsid w:val="00DA52F3"/>
    <w:rsid w:val="00DA5CEE"/>
    <w:rsid w:val="00DB07A1"/>
    <w:rsid w:val="00DB0D2C"/>
    <w:rsid w:val="00DB0FB4"/>
    <w:rsid w:val="00DB13F9"/>
    <w:rsid w:val="00DB1F9E"/>
    <w:rsid w:val="00DB2513"/>
    <w:rsid w:val="00DB28CC"/>
    <w:rsid w:val="00DB2D1C"/>
    <w:rsid w:val="00DB33A3"/>
    <w:rsid w:val="00DB3A27"/>
    <w:rsid w:val="00DB46CD"/>
    <w:rsid w:val="00DB498B"/>
    <w:rsid w:val="00DB57DA"/>
    <w:rsid w:val="00DB613B"/>
    <w:rsid w:val="00DB6628"/>
    <w:rsid w:val="00DB69AE"/>
    <w:rsid w:val="00DB7A94"/>
    <w:rsid w:val="00DB7E15"/>
    <w:rsid w:val="00DC0368"/>
    <w:rsid w:val="00DC04E1"/>
    <w:rsid w:val="00DC0532"/>
    <w:rsid w:val="00DC0BA4"/>
    <w:rsid w:val="00DC1674"/>
    <w:rsid w:val="00DC1FA9"/>
    <w:rsid w:val="00DC3C25"/>
    <w:rsid w:val="00DC55E7"/>
    <w:rsid w:val="00DC631D"/>
    <w:rsid w:val="00DC6CEC"/>
    <w:rsid w:val="00DC6E3E"/>
    <w:rsid w:val="00DC726F"/>
    <w:rsid w:val="00DC729E"/>
    <w:rsid w:val="00DD0969"/>
    <w:rsid w:val="00DD1878"/>
    <w:rsid w:val="00DD18ED"/>
    <w:rsid w:val="00DD1D70"/>
    <w:rsid w:val="00DD218C"/>
    <w:rsid w:val="00DD2C45"/>
    <w:rsid w:val="00DD2DE3"/>
    <w:rsid w:val="00DD38B9"/>
    <w:rsid w:val="00DD391A"/>
    <w:rsid w:val="00DD3DB0"/>
    <w:rsid w:val="00DD583D"/>
    <w:rsid w:val="00DD5BFE"/>
    <w:rsid w:val="00DD61B6"/>
    <w:rsid w:val="00DD7123"/>
    <w:rsid w:val="00DE05E4"/>
    <w:rsid w:val="00DE1C02"/>
    <w:rsid w:val="00DE2FA6"/>
    <w:rsid w:val="00DE470F"/>
    <w:rsid w:val="00DE4B07"/>
    <w:rsid w:val="00DE558A"/>
    <w:rsid w:val="00DE5678"/>
    <w:rsid w:val="00DE7053"/>
    <w:rsid w:val="00DF0CEE"/>
    <w:rsid w:val="00DF0D82"/>
    <w:rsid w:val="00DF12C0"/>
    <w:rsid w:val="00DF1519"/>
    <w:rsid w:val="00DF15EA"/>
    <w:rsid w:val="00DF1802"/>
    <w:rsid w:val="00DF1948"/>
    <w:rsid w:val="00DF1BCC"/>
    <w:rsid w:val="00DF223A"/>
    <w:rsid w:val="00DF329E"/>
    <w:rsid w:val="00DF3CAC"/>
    <w:rsid w:val="00DF4EC3"/>
    <w:rsid w:val="00DF5E08"/>
    <w:rsid w:val="00DF6726"/>
    <w:rsid w:val="00DF68E2"/>
    <w:rsid w:val="00DF787F"/>
    <w:rsid w:val="00DF7A39"/>
    <w:rsid w:val="00DF7AD9"/>
    <w:rsid w:val="00E00623"/>
    <w:rsid w:val="00E006B0"/>
    <w:rsid w:val="00E006EF"/>
    <w:rsid w:val="00E0107D"/>
    <w:rsid w:val="00E01341"/>
    <w:rsid w:val="00E014DD"/>
    <w:rsid w:val="00E01946"/>
    <w:rsid w:val="00E01B1F"/>
    <w:rsid w:val="00E01D0A"/>
    <w:rsid w:val="00E01EAE"/>
    <w:rsid w:val="00E02182"/>
    <w:rsid w:val="00E0224A"/>
    <w:rsid w:val="00E02647"/>
    <w:rsid w:val="00E030C9"/>
    <w:rsid w:val="00E03579"/>
    <w:rsid w:val="00E0541C"/>
    <w:rsid w:val="00E07392"/>
    <w:rsid w:val="00E077F7"/>
    <w:rsid w:val="00E0785D"/>
    <w:rsid w:val="00E07E89"/>
    <w:rsid w:val="00E1227A"/>
    <w:rsid w:val="00E13DDB"/>
    <w:rsid w:val="00E14884"/>
    <w:rsid w:val="00E14D0F"/>
    <w:rsid w:val="00E15F59"/>
    <w:rsid w:val="00E161D9"/>
    <w:rsid w:val="00E16539"/>
    <w:rsid w:val="00E16D65"/>
    <w:rsid w:val="00E16E30"/>
    <w:rsid w:val="00E170FD"/>
    <w:rsid w:val="00E172F6"/>
    <w:rsid w:val="00E178AD"/>
    <w:rsid w:val="00E20061"/>
    <w:rsid w:val="00E202A7"/>
    <w:rsid w:val="00E20F85"/>
    <w:rsid w:val="00E21AD6"/>
    <w:rsid w:val="00E221AB"/>
    <w:rsid w:val="00E23807"/>
    <w:rsid w:val="00E245D1"/>
    <w:rsid w:val="00E254A1"/>
    <w:rsid w:val="00E31E60"/>
    <w:rsid w:val="00E348E8"/>
    <w:rsid w:val="00E351E6"/>
    <w:rsid w:val="00E356A5"/>
    <w:rsid w:val="00E36424"/>
    <w:rsid w:val="00E364BD"/>
    <w:rsid w:val="00E3668B"/>
    <w:rsid w:val="00E36ADF"/>
    <w:rsid w:val="00E370CB"/>
    <w:rsid w:val="00E406BF"/>
    <w:rsid w:val="00E40C4D"/>
    <w:rsid w:val="00E42BDF"/>
    <w:rsid w:val="00E436A4"/>
    <w:rsid w:val="00E45B30"/>
    <w:rsid w:val="00E466B1"/>
    <w:rsid w:val="00E469A3"/>
    <w:rsid w:val="00E50637"/>
    <w:rsid w:val="00E50D00"/>
    <w:rsid w:val="00E5249A"/>
    <w:rsid w:val="00E52970"/>
    <w:rsid w:val="00E537FF"/>
    <w:rsid w:val="00E5382E"/>
    <w:rsid w:val="00E538BD"/>
    <w:rsid w:val="00E540B7"/>
    <w:rsid w:val="00E54FB2"/>
    <w:rsid w:val="00E554BE"/>
    <w:rsid w:val="00E55554"/>
    <w:rsid w:val="00E557DC"/>
    <w:rsid w:val="00E558FC"/>
    <w:rsid w:val="00E603AA"/>
    <w:rsid w:val="00E60461"/>
    <w:rsid w:val="00E605FF"/>
    <w:rsid w:val="00E60926"/>
    <w:rsid w:val="00E612F9"/>
    <w:rsid w:val="00E61533"/>
    <w:rsid w:val="00E61876"/>
    <w:rsid w:val="00E62433"/>
    <w:rsid w:val="00E62726"/>
    <w:rsid w:val="00E628EA"/>
    <w:rsid w:val="00E6291C"/>
    <w:rsid w:val="00E62A0E"/>
    <w:rsid w:val="00E62E08"/>
    <w:rsid w:val="00E62F7A"/>
    <w:rsid w:val="00E63E0A"/>
    <w:rsid w:val="00E64A4D"/>
    <w:rsid w:val="00E65715"/>
    <w:rsid w:val="00E67085"/>
    <w:rsid w:val="00E70789"/>
    <w:rsid w:val="00E714B9"/>
    <w:rsid w:val="00E752A7"/>
    <w:rsid w:val="00E75471"/>
    <w:rsid w:val="00E77621"/>
    <w:rsid w:val="00E80B11"/>
    <w:rsid w:val="00E8190A"/>
    <w:rsid w:val="00E8237B"/>
    <w:rsid w:val="00E8380A"/>
    <w:rsid w:val="00E83814"/>
    <w:rsid w:val="00E83A92"/>
    <w:rsid w:val="00E84514"/>
    <w:rsid w:val="00E8473F"/>
    <w:rsid w:val="00E85728"/>
    <w:rsid w:val="00E8582A"/>
    <w:rsid w:val="00E85A7F"/>
    <w:rsid w:val="00E85DB5"/>
    <w:rsid w:val="00E870EB"/>
    <w:rsid w:val="00E87FE8"/>
    <w:rsid w:val="00E90300"/>
    <w:rsid w:val="00E90886"/>
    <w:rsid w:val="00E90924"/>
    <w:rsid w:val="00E90BA3"/>
    <w:rsid w:val="00E90D3A"/>
    <w:rsid w:val="00E91732"/>
    <w:rsid w:val="00E92675"/>
    <w:rsid w:val="00E92DA6"/>
    <w:rsid w:val="00E94E9A"/>
    <w:rsid w:val="00E95584"/>
    <w:rsid w:val="00E95F1C"/>
    <w:rsid w:val="00E9605D"/>
    <w:rsid w:val="00E96E73"/>
    <w:rsid w:val="00E970D8"/>
    <w:rsid w:val="00E97193"/>
    <w:rsid w:val="00E974CF"/>
    <w:rsid w:val="00E97CF9"/>
    <w:rsid w:val="00E987F4"/>
    <w:rsid w:val="00EA04D5"/>
    <w:rsid w:val="00EA0AE0"/>
    <w:rsid w:val="00EA1071"/>
    <w:rsid w:val="00EA11D5"/>
    <w:rsid w:val="00EA13F1"/>
    <w:rsid w:val="00EA1DC9"/>
    <w:rsid w:val="00EA4926"/>
    <w:rsid w:val="00EA5315"/>
    <w:rsid w:val="00EA5834"/>
    <w:rsid w:val="00EA667A"/>
    <w:rsid w:val="00EA69BA"/>
    <w:rsid w:val="00EA7522"/>
    <w:rsid w:val="00EA76E7"/>
    <w:rsid w:val="00EB06BC"/>
    <w:rsid w:val="00EB244D"/>
    <w:rsid w:val="00EB3D49"/>
    <w:rsid w:val="00EB4CC9"/>
    <w:rsid w:val="00EB5C39"/>
    <w:rsid w:val="00EB5CD9"/>
    <w:rsid w:val="00EB676F"/>
    <w:rsid w:val="00EB6C67"/>
    <w:rsid w:val="00EB7135"/>
    <w:rsid w:val="00EB7CC4"/>
    <w:rsid w:val="00EC08A1"/>
    <w:rsid w:val="00EC0CF2"/>
    <w:rsid w:val="00EC2642"/>
    <w:rsid w:val="00EC2F8F"/>
    <w:rsid w:val="00EC34E8"/>
    <w:rsid w:val="00EC3F9E"/>
    <w:rsid w:val="00EC46D7"/>
    <w:rsid w:val="00EC745E"/>
    <w:rsid w:val="00EC7622"/>
    <w:rsid w:val="00EC7790"/>
    <w:rsid w:val="00EC7E43"/>
    <w:rsid w:val="00EC7E5A"/>
    <w:rsid w:val="00EC7F75"/>
    <w:rsid w:val="00ED290E"/>
    <w:rsid w:val="00ED2A2D"/>
    <w:rsid w:val="00ED3248"/>
    <w:rsid w:val="00ED433D"/>
    <w:rsid w:val="00ED4CAC"/>
    <w:rsid w:val="00ED4F33"/>
    <w:rsid w:val="00ED540C"/>
    <w:rsid w:val="00ED5745"/>
    <w:rsid w:val="00ED74BA"/>
    <w:rsid w:val="00ED7A12"/>
    <w:rsid w:val="00EE013B"/>
    <w:rsid w:val="00EE01BD"/>
    <w:rsid w:val="00EE0AB5"/>
    <w:rsid w:val="00EE11B9"/>
    <w:rsid w:val="00EE147C"/>
    <w:rsid w:val="00EE1AED"/>
    <w:rsid w:val="00EE1CC5"/>
    <w:rsid w:val="00EE1FC0"/>
    <w:rsid w:val="00EE2FEF"/>
    <w:rsid w:val="00EE37EB"/>
    <w:rsid w:val="00EE39E9"/>
    <w:rsid w:val="00EE594A"/>
    <w:rsid w:val="00EE5C11"/>
    <w:rsid w:val="00EE6850"/>
    <w:rsid w:val="00EE6D74"/>
    <w:rsid w:val="00EE731A"/>
    <w:rsid w:val="00EE7623"/>
    <w:rsid w:val="00EF0526"/>
    <w:rsid w:val="00EF0ECC"/>
    <w:rsid w:val="00EF152D"/>
    <w:rsid w:val="00EF42B6"/>
    <w:rsid w:val="00EF47AF"/>
    <w:rsid w:val="00EF5579"/>
    <w:rsid w:val="00EF60DA"/>
    <w:rsid w:val="00EF610E"/>
    <w:rsid w:val="00EF6362"/>
    <w:rsid w:val="00F00319"/>
    <w:rsid w:val="00F00D49"/>
    <w:rsid w:val="00F012C5"/>
    <w:rsid w:val="00F015DB"/>
    <w:rsid w:val="00F0224E"/>
    <w:rsid w:val="00F03463"/>
    <w:rsid w:val="00F03647"/>
    <w:rsid w:val="00F036C3"/>
    <w:rsid w:val="00F047AF"/>
    <w:rsid w:val="00F048A5"/>
    <w:rsid w:val="00F060CC"/>
    <w:rsid w:val="00F06CFA"/>
    <w:rsid w:val="00F075E0"/>
    <w:rsid w:val="00F0772B"/>
    <w:rsid w:val="00F07BC6"/>
    <w:rsid w:val="00F10E0F"/>
    <w:rsid w:val="00F11933"/>
    <w:rsid w:val="00F11DC5"/>
    <w:rsid w:val="00F1255E"/>
    <w:rsid w:val="00F12969"/>
    <w:rsid w:val="00F1568B"/>
    <w:rsid w:val="00F15D4C"/>
    <w:rsid w:val="00F164D1"/>
    <w:rsid w:val="00F166D1"/>
    <w:rsid w:val="00F16986"/>
    <w:rsid w:val="00F16EB6"/>
    <w:rsid w:val="00F17532"/>
    <w:rsid w:val="00F175C3"/>
    <w:rsid w:val="00F17A6E"/>
    <w:rsid w:val="00F20304"/>
    <w:rsid w:val="00F206C2"/>
    <w:rsid w:val="00F20955"/>
    <w:rsid w:val="00F21A10"/>
    <w:rsid w:val="00F21DDA"/>
    <w:rsid w:val="00F22631"/>
    <w:rsid w:val="00F23366"/>
    <w:rsid w:val="00F235B8"/>
    <w:rsid w:val="00F23DCA"/>
    <w:rsid w:val="00F24233"/>
    <w:rsid w:val="00F244C6"/>
    <w:rsid w:val="00F25712"/>
    <w:rsid w:val="00F25C65"/>
    <w:rsid w:val="00F27D8A"/>
    <w:rsid w:val="00F3063F"/>
    <w:rsid w:val="00F30C34"/>
    <w:rsid w:val="00F32BA7"/>
    <w:rsid w:val="00F333B2"/>
    <w:rsid w:val="00F34E74"/>
    <w:rsid w:val="00F34FBE"/>
    <w:rsid w:val="00F357DC"/>
    <w:rsid w:val="00F367B2"/>
    <w:rsid w:val="00F370EC"/>
    <w:rsid w:val="00F37984"/>
    <w:rsid w:val="00F37D26"/>
    <w:rsid w:val="00F418EF"/>
    <w:rsid w:val="00F42C5C"/>
    <w:rsid w:val="00F42D87"/>
    <w:rsid w:val="00F44A54"/>
    <w:rsid w:val="00F44DD1"/>
    <w:rsid w:val="00F454BE"/>
    <w:rsid w:val="00F4786C"/>
    <w:rsid w:val="00F47C57"/>
    <w:rsid w:val="00F47CCD"/>
    <w:rsid w:val="00F5082A"/>
    <w:rsid w:val="00F51A52"/>
    <w:rsid w:val="00F52420"/>
    <w:rsid w:val="00F526A8"/>
    <w:rsid w:val="00F5317E"/>
    <w:rsid w:val="00F53F57"/>
    <w:rsid w:val="00F54D8A"/>
    <w:rsid w:val="00F55801"/>
    <w:rsid w:val="00F5776F"/>
    <w:rsid w:val="00F57C71"/>
    <w:rsid w:val="00F6002D"/>
    <w:rsid w:val="00F600B1"/>
    <w:rsid w:val="00F61497"/>
    <w:rsid w:val="00F61E07"/>
    <w:rsid w:val="00F6273D"/>
    <w:rsid w:val="00F63A63"/>
    <w:rsid w:val="00F6587F"/>
    <w:rsid w:val="00F65A15"/>
    <w:rsid w:val="00F662C7"/>
    <w:rsid w:val="00F677A9"/>
    <w:rsid w:val="00F67BFF"/>
    <w:rsid w:val="00F705F1"/>
    <w:rsid w:val="00F72720"/>
    <w:rsid w:val="00F740FE"/>
    <w:rsid w:val="00F747E2"/>
    <w:rsid w:val="00F7490B"/>
    <w:rsid w:val="00F75600"/>
    <w:rsid w:val="00F7632C"/>
    <w:rsid w:val="00F766F5"/>
    <w:rsid w:val="00F769D6"/>
    <w:rsid w:val="00F77473"/>
    <w:rsid w:val="00F77A7A"/>
    <w:rsid w:val="00F803A5"/>
    <w:rsid w:val="00F80597"/>
    <w:rsid w:val="00F807FE"/>
    <w:rsid w:val="00F80DE7"/>
    <w:rsid w:val="00F831ED"/>
    <w:rsid w:val="00F83F21"/>
    <w:rsid w:val="00F84E73"/>
    <w:rsid w:val="00F85747"/>
    <w:rsid w:val="00F85815"/>
    <w:rsid w:val="00F87091"/>
    <w:rsid w:val="00F905E3"/>
    <w:rsid w:val="00F90C36"/>
    <w:rsid w:val="00F90EF7"/>
    <w:rsid w:val="00F9161A"/>
    <w:rsid w:val="00F91CD4"/>
    <w:rsid w:val="00F920BD"/>
    <w:rsid w:val="00F923EB"/>
    <w:rsid w:val="00F92651"/>
    <w:rsid w:val="00F944C1"/>
    <w:rsid w:val="00F945E7"/>
    <w:rsid w:val="00F95103"/>
    <w:rsid w:val="00F95661"/>
    <w:rsid w:val="00F95D8E"/>
    <w:rsid w:val="00F96F35"/>
    <w:rsid w:val="00F97D5C"/>
    <w:rsid w:val="00F97EBB"/>
    <w:rsid w:val="00F97FBE"/>
    <w:rsid w:val="00FA09FC"/>
    <w:rsid w:val="00FA0C03"/>
    <w:rsid w:val="00FA15A0"/>
    <w:rsid w:val="00FA15B6"/>
    <w:rsid w:val="00FA170F"/>
    <w:rsid w:val="00FA22F3"/>
    <w:rsid w:val="00FA3547"/>
    <w:rsid w:val="00FA364A"/>
    <w:rsid w:val="00FA41A3"/>
    <w:rsid w:val="00FA479D"/>
    <w:rsid w:val="00FA4DCB"/>
    <w:rsid w:val="00FA63BE"/>
    <w:rsid w:val="00FA6589"/>
    <w:rsid w:val="00FA71F6"/>
    <w:rsid w:val="00FB0B64"/>
    <w:rsid w:val="00FB1636"/>
    <w:rsid w:val="00FB23B3"/>
    <w:rsid w:val="00FB2FB5"/>
    <w:rsid w:val="00FB3006"/>
    <w:rsid w:val="00FB5B7F"/>
    <w:rsid w:val="00FB654B"/>
    <w:rsid w:val="00FB6CEB"/>
    <w:rsid w:val="00FC07B0"/>
    <w:rsid w:val="00FC0E4D"/>
    <w:rsid w:val="00FC0EB6"/>
    <w:rsid w:val="00FC203E"/>
    <w:rsid w:val="00FC2055"/>
    <w:rsid w:val="00FC2F04"/>
    <w:rsid w:val="00FC331D"/>
    <w:rsid w:val="00FC3DC8"/>
    <w:rsid w:val="00FC4337"/>
    <w:rsid w:val="00FC7161"/>
    <w:rsid w:val="00FC736D"/>
    <w:rsid w:val="00FC7B78"/>
    <w:rsid w:val="00FD0439"/>
    <w:rsid w:val="00FD0FF4"/>
    <w:rsid w:val="00FD1AE1"/>
    <w:rsid w:val="00FD218A"/>
    <w:rsid w:val="00FD230E"/>
    <w:rsid w:val="00FD4024"/>
    <w:rsid w:val="00FD4D0A"/>
    <w:rsid w:val="00FD5334"/>
    <w:rsid w:val="00FD5951"/>
    <w:rsid w:val="00FD59E2"/>
    <w:rsid w:val="00FD5F26"/>
    <w:rsid w:val="00FD622F"/>
    <w:rsid w:val="00FD6A40"/>
    <w:rsid w:val="00FD6ABE"/>
    <w:rsid w:val="00FD71F6"/>
    <w:rsid w:val="00FD763E"/>
    <w:rsid w:val="00FD7A72"/>
    <w:rsid w:val="00FE008A"/>
    <w:rsid w:val="00FE07B3"/>
    <w:rsid w:val="00FE0AF4"/>
    <w:rsid w:val="00FE158F"/>
    <w:rsid w:val="00FE1D01"/>
    <w:rsid w:val="00FE24D4"/>
    <w:rsid w:val="00FE3D3B"/>
    <w:rsid w:val="00FE460A"/>
    <w:rsid w:val="00FE4BA3"/>
    <w:rsid w:val="00FE4CD0"/>
    <w:rsid w:val="00FE5A49"/>
    <w:rsid w:val="00FE5AA5"/>
    <w:rsid w:val="00FE5C11"/>
    <w:rsid w:val="00FE61FB"/>
    <w:rsid w:val="00FE6A4A"/>
    <w:rsid w:val="00FE6D6C"/>
    <w:rsid w:val="00FE6E74"/>
    <w:rsid w:val="00FE7BF0"/>
    <w:rsid w:val="00FE7DEC"/>
    <w:rsid w:val="00FF0296"/>
    <w:rsid w:val="00FF0516"/>
    <w:rsid w:val="00FF1042"/>
    <w:rsid w:val="00FF125C"/>
    <w:rsid w:val="00FF17BC"/>
    <w:rsid w:val="00FF1B48"/>
    <w:rsid w:val="00FF289D"/>
    <w:rsid w:val="00FF28CE"/>
    <w:rsid w:val="00FF2964"/>
    <w:rsid w:val="00FF2FB3"/>
    <w:rsid w:val="00FF49EE"/>
    <w:rsid w:val="00FF4A91"/>
    <w:rsid w:val="00FF635A"/>
    <w:rsid w:val="01090964"/>
    <w:rsid w:val="0115BD73"/>
    <w:rsid w:val="0130DCAD"/>
    <w:rsid w:val="013F5784"/>
    <w:rsid w:val="0159E385"/>
    <w:rsid w:val="01C89650"/>
    <w:rsid w:val="01C9956D"/>
    <w:rsid w:val="01F13F19"/>
    <w:rsid w:val="01FBCE6B"/>
    <w:rsid w:val="01FCBA0D"/>
    <w:rsid w:val="024A79EA"/>
    <w:rsid w:val="0251789B"/>
    <w:rsid w:val="026120E6"/>
    <w:rsid w:val="026B16D6"/>
    <w:rsid w:val="02729A16"/>
    <w:rsid w:val="02B7BE5B"/>
    <w:rsid w:val="02DA767C"/>
    <w:rsid w:val="031F383B"/>
    <w:rsid w:val="034C54F9"/>
    <w:rsid w:val="03514C9E"/>
    <w:rsid w:val="0358C7A2"/>
    <w:rsid w:val="03618009"/>
    <w:rsid w:val="037EF8C7"/>
    <w:rsid w:val="039DA0CF"/>
    <w:rsid w:val="03C1EECA"/>
    <w:rsid w:val="03C38F6E"/>
    <w:rsid w:val="03E555BF"/>
    <w:rsid w:val="03F8B50F"/>
    <w:rsid w:val="0408A900"/>
    <w:rsid w:val="041560C2"/>
    <w:rsid w:val="043C3436"/>
    <w:rsid w:val="045A7A6B"/>
    <w:rsid w:val="049841E2"/>
    <w:rsid w:val="04B290C5"/>
    <w:rsid w:val="04DD6BA2"/>
    <w:rsid w:val="04EA0D8C"/>
    <w:rsid w:val="0508269B"/>
    <w:rsid w:val="0526C7DB"/>
    <w:rsid w:val="05548338"/>
    <w:rsid w:val="05A15F00"/>
    <w:rsid w:val="05A9750D"/>
    <w:rsid w:val="05AF7047"/>
    <w:rsid w:val="05B75236"/>
    <w:rsid w:val="05C8F9DE"/>
    <w:rsid w:val="05EE5206"/>
    <w:rsid w:val="05F1A220"/>
    <w:rsid w:val="05F8A468"/>
    <w:rsid w:val="0602B64C"/>
    <w:rsid w:val="06CC13CA"/>
    <w:rsid w:val="06DD21F9"/>
    <w:rsid w:val="0749691A"/>
    <w:rsid w:val="075D898C"/>
    <w:rsid w:val="078A543D"/>
    <w:rsid w:val="0797190C"/>
    <w:rsid w:val="0798E5BB"/>
    <w:rsid w:val="079BE7D4"/>
    <w:rsid w:val="07CF7DFD"/>
    <w:rsid w:val="07D98101"/>
    <w:rsid w:val="07DE2252"/>
    <w:rsid w:val="07E0DEC3"/>
    <w:rsid w:val="07E1BEEF"/>
    <w:rsid w:val="07F835E0"/>
    <w:rsid w:val="0846CF30"/>
    <w:rsid w:val="084D8E1C"/>
    <w:rsid w:val="085269EA"/>
    <w:rsid w:val="08778ABB"/>
    <w:rsid w:val="087F7832"/>
    <w:rsid w:val="088CF8F0"/>
    <w:rsid w:val="08B366DF"/>
    <w:rsid w:val="08CBA43D"/>
    <w:rsid w:val="08F8DD8C"/>
    <w:rsid w:val="09262566"/>
    <w:rsid w:val="09286AC4"/>
    <w:rsid w:val="092DAD6A"/>
    <w:rsid w:val="0930452A"/>
    <w:rsid w:val="0942218F"/>
    <w:rsid w:val="094321AE"/>
    <w:rsid w:val="09489D09"/>
    <w:rsid w:val="09790C17"/>
    <w:rsid w:val="097FD612"/>
    <w:rsid w:val="0985A081"/>
    <w:rsid w:val="09907785"/>
    <w:rsid w:val="099A2C68"/>
    <w:rsid w:val="09A58C3D"/>
    <w:rsid w:val="09D1C974"/>
    <w:rsid w:val="09F3D5E5"/>
    <w:rsid w:val="09F42490"/>
    <w:rsid w:val="09FF652A"/>
    <w:rsid w:val="0A208EAD"/>
    <w:rsid w:val="0A22E0FA"/>
    <w:rsid w:val="0A5D7D7B"/>
    <w:rsid w:val="0A60DB97"/>
    <w:rsid w:val="0A666E34"/>
    <w:rsid w:val="0A7928EB"/>
    <w:rsid w:val="0ABA3B45"/>
    <w:rsid w:val="0AC485B0"/>
    <w:rsid w:val="0ACAE512"/>
    <w:rsid w:val="0ADC4A35"/>
    <w:rsid w:val="0AE46D6A"/>
    <w:rsid w:val="0AE4AF8F"/>
    <w:rsid w:val="0B1F28AC"/>
    <w:rsid w:val="0B2C356C"/>
    <w:rsid w:val="0B4C3BEE"/>
    <w:rsid w:val="0B5C84AD"/>
    <w:rsid w:val="0B84BE45"/>
    <w:rsid w:val="0B85AE06"/>
    <w:rsid w:val="0B8D904C"/>
    <w:rsid w:val="0B8DE7A1"/>
    <w:rsid w:val="0BA518DB"/>
    <w:rsid w:val="0BCE543F"/>
    <w:rsid w:val="0BE231C2"/>
    <w:rsid w:val="0C115BCF"/>
    <w:rsid w:val="0C14A8C2"/>
    <w:rsid w:val="0C25765E"/>
    <w:rsid w:val="0C5231E1"/>
    <w:rsid w:val="0C9B673C"/>
    <w:rsid w:val="0CA28FCD"/>
    <w:rsid w:val="0CA3DB01"/>
    <w:rsid w:val="0CB5EEE3"/>
    <w:rsid w:val="0CCE8BDC"/>
    <w:rsid w:val="0CF97A95"/>
    <w:rsid w:val="0CFA78A3"/>
    <w:rsid w:val="0D381382"/>
    <w:rsid w:val="0D43AC4E"/>
    <w:rsid w:val="0D566907"/>
    <w:rsid w:val="0D59DA80"/>
    <w:rsid w:val="0D619153"/>
    <w:rsid w:val="0D6B3B46"/>
    <w:rsid w:val="0D78C273"/>
    <w:rsid w:val="0D7A8D17"/>
    <w:rsid w:val="0D8E3D94"/>
    <w:rsid w:val="0DB6980B"/>
    <w:rsid w:val="0DD05092"/>
    <w:rsid w:val="0DD32404"/>
    <w:rsid w:val="0DE3AF71"/>
    <w:rsid w:val="0DE7A895"/>
    <w:rsid w:val="0E072E44"/>
    <w:rsid w:val="0E0E394E"/>
    <w:rsid w:val="0E166FB7"/>
    <w:rsid w:val="0E301165"/>
    <w:rsid w:val="0E36BB3C"/>
    <w:rsid w:val="0E3F2470"/>
    <w:rsid w:val="0E4DB7E8"/>
    <w:rsid w:val="0EB4A66F"/>
    <w:rsid w:val="0EE9CA3E"/>
    <w:rsid w:val="0F312DBF"/>
    <w:rsid w:val="0F3D4D22"/>
    <w:rsid w:val="0F41E792"/>
    <w:rsid w:val="0F779F82"/>
    <w:rsid w:val="0F862484"/>
    <w:rsid w:val="0F8B2EED"/>
    <w:rsid w:val="0F916C0A"/>
    <w:rsid w:val="0F97B989"/>
    <w:rsid w:val="0FAF4F5C"/>
    <w:rsid w:val="0FBA7719"/>
    <w:rsid w:val="10322526"/>
    <w:rsid w:val="103A56A9"/>
    <w:rsid w:val="105C62D8"/>
    <w:rsid w:val="10685682"/>
    <w:rsid w:val="1084657A"/>
    <w:rsid w:val="10919437"/>
    <w:rsid w:val="10977D37"/>
    <w:rsid w:val="10EAEDD6"/>
    <w:rsid w:val="10EF523C"/>
    <w:rsid w:val="11290068"/>
    <w:rsid w:val="11429C42"/>
    <w:rsid w:val="117AF3CA"/>
    <w:rsid w:val="11994A5A"/>
    <w:rsid w:val="11D23CC6"/>
    <w:rsid w:val="11DB8EDB"/>
    <w:rsid w:val="11DE91F4"/>
    <w:rsid w:val="1229BFBB"/>
    <w:rsid w:val="1237AC66"/>
    <w:rsid w:val="1248F6D4"/>
    <w:rsid w:val="12631E06"/>
    <w:rsid w:val="126928D9"/>
    <w:rsid w:val="127A65AE"/>
    <w:rsid w:val="12D2B1A1"/>
    <w:rsid w:val="12D5BF3D"/>
    <w:rsid w:val="12DFA6CA"/>
    <w:rsid w:val="13292DF2"/>
    <w:rsid w:val="1336AA23"/>
    <w:rsid w:val="1340F48E"/>
    <w:rsid w:val="135A50E4"/>
    <w:rsid w:val="136E9766"/>
    <w:rsid w:val="13934E97"/>
    <w:rsid w:val="13AD83CD"/>
    <w:rsid w:val="13B4BA86"/>
    <w:rsid w:val="13C3A775"/>
    <w:rsid w:val="13DFCB24"/>
    <w:rsid w:val="13FC82F9"/>
    <w:rsid w:val="1421E818"/>
    <w:rsid w:val="14270AB1"/>
    <w:rsid w:val="1428327F"/>
    <w:rsid w:val="14416969"/>
    <w:rsid w:val="14479087"/>
    <w:rsid w:val="1455A093"/>
    <w:rsid w:val="14A0ADFB"/>
    <w:rsid w:val="14B345C1"/>
    <w:rsid w:val="14B6060D"/>
    <w:rsid w:val="14B9A130"/>
    <w:rsid w:val="14C1BFAB"/>
    <w:rsid w:val="14C54005"/>
    <w:rsid w:val="14E43FF1"/>
    <w:rsid w:val="14E8CED5"/>
    <w:rsid w:val="14EC3B60"/>
    <w:rsid w:val="1505A04F"/>
    <w:rsid w:val="150A5BAB"/>
    <w:rsid w:val="1513F096"/>
    <w:rsid w:val="1514B4F3"/>
    <w:rsid w:val="1525524B"/>
    <w:rsid w:val="152936E0"/>
    <w:rsid w:val="15367C98"/>
    <w:rsid w:val="155F9869"/>
    <w:rsid w:val="158386BE"/>
    <w:rsid w:val="158D0A40"/>
    <w:rsid w:val="15ACDCB9"/>
    <w:rsid w:val="15B0C7D9"/>
    <w:rsid w:val="15BB9391"/>
    <w:rsid w:val="15FA62BA"/>
    <w:rsid w:val="160D87AF"/>
    <w:rsid w:val="161B391D"/>
    <w:rsid w:val="1628BC7E"/>
    <w:rsid w:val="164F92E2"/>
    <w:rsid w:val="165639BE"/>
    <w:rsid w:val="166B70E4"/>
    <w:rsid w:val="167D326B"/>
    <w:rsid w:val="16882B97"/>
    <w:rsid w:val="169E610E"/>
    <w:rsid w:val="16BAB509"/>
    <w:rsid w:val="16C89411"/>
    <w:rsid w:val="16D24CF9"/>
    <w:rsid w:val="16D2789A"/>
    <w:rsid w:val="16E50B9F"/>
    <w:rsid w:val="16FC1185"/>
    <w:rsid w:val="16FF292F"/>
    <w:rsid w:val="172DBD75"/>
    <w:rsid w:val="1737E394"/>
    <w:rsid w:val="17597120"/>
    <w:rsid w:val="176101E2"/>
    <w:rsid w:val="17B45DAB"/>
    <w:rsid w:val="17C3C9CB"/>
    <w:rsid w:val="17EA6724"/>
    <w:rsid w:val="183F475D"/>
    <w:rsid w:val="186DD72F"/>
    <w:rsid w:val="1874EE3C"/>
    <w:rsid w:val="187BDCE6"/>
    <w:rsid w:val="18A49F89"/>
    <w:rsid w:val="18ECEAEE"/>
    <w:rsid w:val="18F12193"/>
    <w:rsid w:val="18FD934F"/>
    <w:rsid w:val="191ACED9"/>
    <w:rsid w:val="19251944"/>
    <w:rsid w:val="192F6630"/>
    <w:rsid w:val="19459876"/>
    <w:rsid w:val="19484C19"/>
    <w:rsid w:val="194D4AC5"/>
    <w:rsid w:val="19787327"/>
    <w:rsid w:val="19AC4CFB"/>
    <w:rsid w:val="19B024B5"/>
    <w:rsid w:val="19C9DE01"/>
    <w:rsid w:val="19E3BF59"/>
    <w:rsid w:val="1A1F0A8F"/>
    <w:rsid w:val="1A1F1EAC"/>
    <w:rsid w:val="1A67031A"/>
    <w:rsid w:val="1A80F023"/>
    <w:rsid w:val="1A8A065F"/>
    <w:rsid w:val="1AB13895"/>
    <w:rsid w:val="1AB29780"/>
    <w:rsid w:val="1ACF021C"/>
    <w:rsid w:val="1B0A345C"/>
    <w:rsid w:val="1B0A5CA1"/>
    <w:rsid w:val="1B141B76"/>
    <w:rsid w:val="1B4AD423"/>
    <w:rsid w:val="1B58DA49"/>
    <w:rsid w:val="1B6DED9B"/>
    <w:rsid w:val="1B723112"/>
    <w:rsid w:val="1B861B7F"/>
    <w:rsid w:val="1B8EA9D3"/>
    <w:rsid w:val="1BB9EF53"/>
    <w:rsid w:val="1BCCA73A"/>
    <w:rsid w:val="1BCCADFC"/>
    <w:rsid w:val="1BE0AE8C"/>
    <w:rsid w:val="1BE1BE88"/>
    <w:rsid w:val="1BF80FF0"/>
    <w:rsid w:val="1C030CBE"/>
    <w:rsid w:val="1C0DBEF1"/>
    <w:rsid w:val="1C336F43"/>
    <w:rsid w:val="1C66ECB7"/>
    <w:rsid w:val="1C974ED0"/>
    <w:rsid w:val="1C9E56F6"/>
    <w:rsid w:val="1CD59D3D"/>
    <w:rsid w:val="1CD862B5"/>
    <w:rsid w:val="1CDDD18E"/>
    <w:rsid w:val="1CE65D86"/>
    <w:rsid w:val="1D02CF36"/>
    <w:rsid w:val="1D123B80"/>
    <w:rsid w:val="1D58A44C"/>
    <w:rsid w:val="1D674776"/>
    <w:rsid w:val="1D817AB2"/>
    <w:rsid w:val="1DA3E068"/>
    <w:rsid w:val="1DE48B6C"/>
    <w:rsid w:val="1E03B531"/>
    <w:rsid w:val="1E13DB11"/>
    <w:rsid w:val="1E197A50"/>
    <w:rsid w:val="1E1E1FD5"/>
    <w:rsid w:val="1E24E73F"/>
    <w:rsid w:val="1E4E3FCC"/>
    <w:rsid w:val="1E5618E0"/>
    <w:rsid w:val="1E5B5597"/>
    <w:rsid w:val="1E7688BE"/>
    <w:rsid w:val="1E97351E"/>
    <w:rsid w:val="1E9DD649"/>
    <w:rsid w:val="1EA44680"/>
    <w:rsid w:val="1EAABC68"/>
    <w:rsid w:val="1ED67315"/>
    <w:rsid w:val="1EED1AA7"/>
    <w:rsid w:val="1F029B76"/>
    <w:rsid w:val="1F246432"/>
    <w:rsid w:val="1F411E5A"/>
    <w:rsid w:val="1F85AC72"/>
    <w:rsid w:val="1F8C342E"/>
    <w:rsid w:val="1FA4D2D1"/>
    <w:rsid w:val="1FA97120"/>
    <w:rsid w:val="1FB611C0"/>
    <w:rsid w:val="1FDB875E"/>
    <w:rsid w:val="1FE555A8"/>
    <w:rsid w:val="2003AEDD"/>
    <w:rsid w:val="201462E2"/>
    <w:rsid w:val="202C3818"/>
    <w:rsid w:val="20445425"/>
    <w:rsid w:val="206B22B5"/>
    <w:rsid w:val="207ED553"/>
    <w:rsid w:val="207F0240"/>
    <w:rsid w:val="2090E453"/>
    <w:rsid w:val="2096FBAD"/>
    <w:rsid w:val="20EC95FB"/>
    <w:rsid w:val="20F1766F"/>
    <w:rsid w:val="210106DF"/>
    <w:rsid w:val="21556EF1"/>
    <w:rsid w:val="2157A70B"/>
    <w:rsid w:val="21826C73"/>
    <w:rsid w:val="21CFB656"/>
    <w:rsid w:val="21F4E209"/>
    <w:rsid w:val="223C864F"/>
    <w:rsid w:val="226DAA68"/>
    <w:rsid w:val="227AE776"/>
    <w:rsid w:val="228D6585"/>
    <w:rsid w:val="22922E6F"/>
    <w:rsid w:val="22951E71"/>
    <w:rsid w:val="22A24A58"/>
    <w:rsid w:val="22A52526"/>
    <w:rsid w:val="22ADEB7E"/>
    <w:rsid w:val="22C15602"/>
    <w:rsid w:val="22D849C6"/>
    <w:rsid w:val="22E08479"/>
    <w:rsid w:val="22FD5DEF"/>
    <w:rsid w:val="2330D5F7"/>
    <w:rsid w:val="2336DC72"/>
    <w:rsid w:val="2349F9E1"/>
    <w:rsid w:val="235B1D79"/>
    <w:rsid w:val="236317AC"/>
    <w:rsid w:val="2363986A"/>
    <w:rsid w:val="23DCE1EE"/>
    <w:rsid w:val="23F32685"/>
    <w:rsid w:val="24417792"/>
    <w:rsid w:val="2447814C"/>
    <w:rsid w:val="24678C7D"/>
    <w:rsid w:val="2481494F"/>
    <w:rsid w:val="248DEF22"/>
    <w:rsid w:val="24A8E1E2"/>
    <w:rsid w:val="24AF0372"/>
    <w:rsid w:val="24BB2D90"/>
    <w:rsid w:val="24EB5B52"/>
    <w:rsid w:val="24F5C2C4"/>
    <w:rsid w:val="24F68687"/>
    <w:rsid w:val="25254310"/>
    <w:rsid w:val="2547D3D5"/>
    <w:rsid w:val="2547E8EB"/>
    <w:rsid w:val="254AEB7F"/>
    <w:rsid w:val="255C8E2E"/>
    <w:rsid w:val="256E4AC9"/>
    <w:rsid w:val="257EB62F"/>
    <w:rsid w:val="257F7A72"/>
    <w:rsid w:val="25C43503"/>
    <w:rsid w:val="25E2A19E"/>
    <w:rsid w:val="260063F2"/>
    <w:rsid w:val="2612DFDC"/>
    <w:rsid w:val="265184D7"/>
    <w:rsid w:val="2652BB94"/>
    <w:rsid w:val="26640972"/>
    <w:rsid w:val="266B423A"/>
    <w:rsid w:val="2672E371"/>
    <w:rsid w:val="2678DDDA"/>
    <w:rsid w:val="267AAAE3"/>
    <w:rsid w:val="26914807"/>
    <w:rsid w:val="269F057C"/>
    <w:rsid w:val="26A48E8F"/>
    <w:rsid w:val="26B4FA90"/>
    <w:rsid w:val="26C5AE1C"/>
    <w:rsid w:val="26F31259"/>
    <w:rsid w:val="26F6BF10"/>
    <w:rsid w:val="2789C0EA"/>
    <w:rsid w:val="27B1AB48"/>
    <w:rsid w:val="27C7FFB0"/>
    <w:rsid w:val="27DBFAB0"/>
    <w:rsid w:val="27E366BC"/>
    <w:rsid w:val="28026AC4"/>
    <w:rsid w:val="280FB3E1"/>
    <w:rsid w:val="281726CF"/>
    <w:rsid w:val="282F81A9"/>
    <w:rsid w:val="284452ED"/>
    <w:rsid w:val="286AC87E"/>
    <w:rsid w:val="28733B56"/>
    <w:rsid w:val="287C719E"/>
    <w:rsid w:val="287FB240"/>
    <w:rsid w:val="2897095D"/>
    <w:rsid w:val="289D0214"/>
    <w:rsid w:val="28BD06CA"/>
    <w:rsid w:val="28C4ABE6"/>
    <w:rsid w:val="28D5C8AF"/>
    <w:rsid w:val="28DB682C"/>
    <w:rsid w:val="29577FB7"/>
    <w:rsid w:val="29707503"/>
    <w:rsid w:val="29882B64"/>
    <w:rsid w:val="29BB8EFE"/>
    <w:rsid w:val="29C543E7"/>
    <w:rsid w:val="29DFA6ED"/>
    <w:rsid w:val="29E576EF"/>
    <w:rsid w:val="2A1B626D"/>
    <w:rsid w:val="2A74730C"/>
    <w:rsid w:val="2A89C0D9"/>
    <w:rsid w:val="2AAF9F93"/>
    <w:rsid w:val="2ABC735A"/>
    <w:rsid w:val="2ADCF104"/>
    <w:rsid w:val="2AE4C725"/>
    <w:rsid w:val="2AE8F4D6"/>
    <w:rsid w:val="2B32F4CA"/>
    <w:rsid w:val="2B860C44"/>
    <w:rsid w:val="2B891BB8"/>
    <w:rsid w:val="2B94138A"/>
    <w:rsid w:val="2BB33D8B"/>
    <w:rsid w:val="2BB75A41"/>
    <w:rsid w:val="2BF5CE31"/>
    <w:rsid w:val="2C43693F"/>
    <w:rsid w:val="2C445B77"/>
    <w:rsid w:val="2C64C949"/>
    <w:rsid w:val="2C68C1B6"/>
    <w:rsid w:val="2C849895"/>
    <w:rsid w:val="2C989C97"/>
    <w:rsid w:val="2CA47B97"/>
    <w:rsid w:val="2CB73EBA"/>
    <w:rsid w:val="2CBEF404"/>
    <w:rsid w:val="2CD3B897"/>
    <w:rsid w:val="2CFE69DD"/>
    <w:rsid w:val="2D23DF7B"/>
    <w:rsid w:val="2D2E0173"/>
    <w:rsid w:val="2D3650A5"/>
    <w:rsid w:val="2D67D175"/>
    <w:rsid w:val="2D6C45C9"/>
    <w:rsid w:val="2D78C295"/>
    <w:rsid w:val="2D7C6DEB"/>
    <w:rsid w:val="2DC76BB0"/>
    <w:rsid w:val="2DD5237B"/>
    <w:rsid w:val="2DDC98C3"/>
    <w:rsid w:val="2DF5936F"/>
    <w:rsid w:val="2DFCBBE7"/>
    <w:rsid w:val="2DFD289C"/>
    <w:rsid w:val="2E10E428"/>
    <w:rsid w:val="2E390DE6"/>
    <w:rsid w:val="2E5D37ED"/>
    <w:rsid w:val="2E922B5E"/>
    <w:rsid w:val="2EA05EBB"/>
    <w:rsid w:val="2EB37DF2"/>
    <w:rsid w:val="2ED840C1"/>
    <w:rsid w:val="2EE07B74"/>
    <w:rsid w:val="2F003DF1"/>
    <w:rsid w:val="2F3B7257"/>
    <w:rsid w:val="2F4C23A7"/>
    <w:rsid w:val="2F51A275"/>
    <w:rsid w:val="2F5771BB"/>
    <w:rsid w:val="2F579235"/>
    <w:rsid w:val="2F806F7B"/>
    <w:rsid w:val="2F85DCDA"/>
    <w:rsid w:val="2F8EB8B7"/>
    <w:rsid w:val="2FAEFA5F"/>
    <w:rsid w:val="2FB60285"/>
    <w:rsid w:val="2FDB86C8"/>
    <w:rsid w:val="2FE0EBAC"/>
    <w:rsid w:val="2FE31086"/>
    <w:rsid w:val="2FF50D1E"/>
    <w:rsid w:val="2FFEDE09"/>
    <w:rsid w:val="30142CD6"/>
    <w:rsid w:val="301585F7"/>
    <w:rsid w:val="3033B2B6"/>
    <w:rsid w:val="3036EED4"/>
    <w:rsid w:val="304367A2"/>
    <w:rsid w:val="305C4183"/>
    <w:rsid w:val="308969D6"/>
    <w:rsid w:val="3093C449"/>
    <w:rsid w:val="30AD7EB1"/>
    <w:rsid w:val="30E0539B"/>
    <w:rsid w:val="30FA13E6"/>
    <w:rsid w:val="3108AE12"/>
    <w:rsid w:val="31141A8B"/>
    <w:rsid w:val="3138DD5A"/>
    <w:rsid w:val="315D0BC0"/>
    <w:rsid w:val="3176C7C0"/>
    <w:rsid w:val="31C42BFE"/>
    <w:rsid w:val="31C72156"/>
    <w:rsid w:val="31D41DC6"/>
    <w:rsid w:val="31D842D4"/>
    <w:rsid w:val="31DEAE98"/>
    <w:rsid w:val="31E85B98"/>
    <w:rsid w:val="3224FD4D"/>
    <w:rsid w:val="323AE839"/>
    <w:rsid w:val="323F11CD"/>
    <w:rsid w:val="32505B43"/>
    <w:rsid w:val="3275F017"/>
    <w:rsid w:val="3285E19C"/>
    <w:rsid w:val="328A77F8"/>
    <w:rsid w:val="329A98AF"/>
    <w:rsid w:val="32F42889"/>
    <w:rsid w:val="3300A224"/>
    <w:rsid w:val="330C8D20"/>
    <w:rsid w:val="3312B43E"/>
    <w:rsid w:val="332C0E71"/>
    <w:rsid w:val="332C6960"/>
    <w:rsid w:val="332CADE0"/>
    <w:rsid w:val="33334D87"/>
    <w:rsid w:val="3337232B"/>
    <w:rsid w:val="334C2218"/>
    <w:rsid w:val="335732CA"/>
    <w:rsid w:val="337A04C5"/>
    <w:rsid w:val="338A6A4C"/>
    <w:rsid w:val="3399523D"/>
    <w:rsid w:val="339D010E"/>
    <w:rsid w:val="33ACDE33"/>
    <w:rsid w:val="33B963EF"/>
    <w:rsid w:val="33EAFDF0"/>
    <w:rsid w:val="33F42D55"/>
    <w:rsid w:val="340612D8"/>
    <w:rsid w:val="3414E076"/>
    <w:rsid w:val="341FDD3B"/>
    <w:rsid w:val="3425CAB4"/>
    <w:rsid w:val="34330FE6"/>
    <w:rsid w:val="3442F175"/>
    <w:rsid w:val="344A8185"/>
    <w:rsid w:val="3476D51B"/>
    <w:rsid w:val="34807751"/>
    <w:rsid w:val="34A8C228"/>
    <w:rsid w:val="34AEE946"/>
    <w:rsid w:val="34B933B1"/>
    <w:rsid w:val="34BCE2AF"/>
    <w:rsid w:val="34CAF9ED"/>
    <w:rsid w:val="3506AC34"/>
    <w:rsid w:val="351B047D"/>
    <w:rsid w:val="351B2889"/>
    <w:rsid w:val="3539241C"/>
    <w:rsid w:val="354EC532"/>
    <w:rsid w:val="35529D51"/>
    <w:rsid w:val="35769441"/>
    <w:rsid w:val="357C3D32"/>
    <w:rsid w:val="358CAB0A"/>
    <w:rsid w:val="35967CA9"/>
    <w:rsid w:val="359BFA91"/>
    <w:rsid w:val="359D4F64"/>
    <w:rsid w:val="35F1234A"/>
    <w:rsid w:val="3607EE78"/>
    <w:rsid w:val="3617CB22"/>
    <w:rsid w:val="3639FECE"/>
    <w:rsid w:val="365FA73D"/>
    <w:rsid w:val="366213D6"/>
    <w:rsid w:val="3672BDD6"/>
    <w:rsid w:val="368090E1"/>
    <w:rsid w:val="3698307C"/>
    <w:rsid w:val="36A55820"/>
    <w:rsid w:val="370FB8B0"/>
    <w:rsid w:val="371269B2"/>
    <w:rsid w:val="3753B0DF"/>
    <w:rsid w:val="375DBD57"/>
    <w:rsid w:val="37602019"/>
    <w:rsid w:val="3761A0FE"/>
    <w:rsid w:val="3773FE1F"/>
    <w:rsid w:val="37937F70"/>
    <w:rsid w:val="37A0FBA1"/>
    <w:rsid w:val="37B087BA"/>
    <w:rsid w:val="37C99F05"/>
    <w:rsid w:val="37E898E3"/>
    <w:rsid w:val="37F03F5A"/>
    <w:rsid w:val="3813D5B2"/>
    <w:rsid w:val="38434710"/>
    <w:rsid w:val="385D0228"/>
    <w:rsid w:val="385F0DED"/>
    <w:rsid w:val="38776852"/>
    <w:rsid w:val="38794A08"/>
    <w:rsid w:val="387B4CE7"/>
    <w:rsid w:val="388F3F78"/>
    <w:rsid w:val="38A0CCA0"/>
    <w:rsid w:val="38E91AB0"/>
    <w:rsid w:val="3912CB08"/>
    <w:rsid w:val="396D5654"/>
    <w:rsid w:val="39703D9E"/>
    <w:rsid w:val="397ECEA2"/>
    <w:rsid w:val="39851CF0"/>
    <w:rsid w:val="39877EE5"/>
    <w:rsid w:val="398C85A9"/>
    <w:rsid w:val="39BBC5B3"/>
    <w:rsid w:val="39BBF102"/>
    <w:rsid w:val="39BEDE3D"/>
    <w:rsid w:val="39C38414"/>
    <w:rsid w:val="39D74CB5"/>
    <w:rsid w:val="39DF3867"/>
    <w:rsid w:val="39E891BB"/>
    <w:rsid w:val="39F653E0"/>
    <w:rsid w:val="3A46C1FA"/>
    <w:rsid w:val="3A4A3710"/>
    <w:rsid w:val="3A8AC122"/>
    <w:rsid w:val="3AB31137"/>
    <w:rsid w:val="3AEBA879"/>
    <w:rsid w:val="3B0FFF08"/>
    <w:rsid w:val="3B377D34"/>
    <w:rsid w:val="3B4ADDD0"/>
    <w:rsid w:val="3B5BFE7C"/>
    <w:rsid w:val="3BA31AC0"/>
    <w:rsid w:val="3BC71D98"/>
    <w:rsid w:val="3BCDF2ED"/>
    <w:rsid w:val="3BF2D12D"/>
    <w:rsid w:val="3C1A71C0"/>
    <w:rsid w:val="3C1C94E7"/>
    <w:rsid w:val="3C1D6718"/>
    <w:rsid w:val="3C2A0C60"/>
    <w:rsid w:val="3C4D9A20"/>
    <w:rsid w:val="3C58139C"/>
    <w:rsid w:val="3C6109E1"/>
    <w:rsid w:val="3C6803DA"/>
    <w:rsid w:val="3C896FFA"/>
    <w:rsid w:val="3C8A83A9"/>
    <w:rsid w:val="3C9A6220"/>
    <w:rsid w:val="3C9B6884"/>
    <w:rsid w:val="3CC6F063"/>
    <w:rsid w:val="3CF7527C"/>
    <w:rsid w:val="3D0A223B"/>
    <w:rsid w:val="3D3B64F3"/>
    <w:rsid w:val="3D410F08"/>
    <w:rsid w:val="3D994A9D"/>
    <w:rsid w:val="3DA838F8"/>
    <w:rsid w:val="3DAEE244"/>
    <w:rsid w:val="3DD1E59E"/>
    <w:rsid w:val="3DEFD1AB"/>
    <w:rsid w:val="3E177BB9"/>
    <w:rsid w:val="3E2DE034"/>
    <w:rsid w:val="3E377F52"/>
    <w:rsid w:val="3E53E6C5"/>
    <w:rsid w:val="3E56F285"/>
    <w:rsid w:val="3E5C72A8"/>
    <w:rsid w:val="3EBE700B"/>
    <w:rsid w:val="3ECEA298"/>
    <w:rsid w:val="3EFABC27"/>
    <w:rsid w:val="3F068977"/>
    <w:rsid w:val="3F0CF981"/>
    <w:rsid w:val="3F0FE1C3"/>
    <w:rsid w:val="3F1AE2C8"/>
    <w:rsid w:val="3F1BA8E8"/>
    <w:rsid w:val="3F3C3AB5"/>
    <w:rsid w:val="3F485904"/>
    <w:rsid w:val="3F4A25F7"/>
    <w:rsid w:val="3F4EBABE"/>
    <w:rsid w:val="3F57FAD7"/>
    <w:rsid w:val="3F5CEB86"/>
    <w:rsid w:val="3F653D93"/>
    <w:rsid w:val="3F6941A6"/>
    <w:rsid w:val="3F7C56B5"/>
    <w:rsid w:val="3F936E9C"/>
    <w:rsid w:val="3F9CE73C"/>
    <w:rsid w:val="3FA0476E"/>
    <w:rsid w:val="3FA7120C"/>
    <w:rsid w:val="3FDD053D"/>
    <w:rsid w:val="3FE77417"/>
    <w:rsid w:val="3FEA308F"/>
    <w:rsid w:val="400B0C78"/>
    <w:rsid w:val="400C7DD0"/>
    <w:rsid w:val="400EBDB8"/>
    <w:rsid w:val="402080E6"/>
    <w:rsid w:val="402092A8"/>
    <w:rsid w:val="4049F179"/>
    <w:rsid w:val="407ADA99"/>
    <w:rsid w:val="409B4D50"/>
    <w:rsid w:val="409C5C25"/>
    <w:rsid w:val="409DF299"/>
    <w:rsid w:val="40A55F60"/>
    <w:rsid w:val="40B5ECFF"/>
    <w:rsid w:val="40C340E9"/>
    <w:rsid w:val="41098E14"/>
    <w:rsid w:val="4120FF2A"/>
    <w:rsid w:val="41213965"/>
    <w:rsid w:val="419C0F7F"/>
    <w:rsid w:val="41A510D8"/>
    <w:rsid w:val="41F751E2"/>
    <w:rsid w:val="42053472"/>
    <w:rsid w:val="423AEAF2"/>
    <w:rsid w:val="424CD0AC"/>
    <w:rsid w:val="4254B17D"/>
    <w:rsid w:val="425CC20E"/>
    <w:rsid w:val="426232CE"/>
    <w:rsid w:val="4275916F"/>
    <w:rsid w:val="428B67FB"/>
    <w:rsid w:val="42BED473"/>
    <w:rsid w:val="42CA966A"/>
    <w:rsid w:val="42E5A781"/>
    <w:rsid w:val="42F24C30"/>
    <w:rsid w:val="430742A8"/>
    <w:rsid w:val="431C74C6"/>
    <w:rsid w:val="432548AA"/>
    <w:rsid w:val="432D9D65"/>
    <w:rsid w:val="43547B42"/>
    <w:rsid w:val="436449A0"/>
    <w:rsid w:val="43835923"/>
    <w:rsid w:val="43966BC3"/>
    <w:rsid w:val="43D9A944"/>
    <w:rsid w:val="43EBFE66"/>
    <w:rsid w:val="43FF6AA8"/>
    <w:rsid w:val="43FF72CA"/>
    <w:rsid w:val="441DB625"/>
    <w:rsid w:val="442059A1"/>
    <w:rsid w:val="4423FB3E"/>
    <w:rsid w:val="4432B89C"/>
    <w:rsid w:val="4463A560"/>
    <w:rsid w:val="448F72BE"/>
    <w:rsid w:val="448FE1DE"/>
    <w:rsid w:val="44A3303D"/>
    <w:rsid w:val="44C67093"/>
    <w:rsid w:val="44CD2850"/>
    <w:rsid w:val="44E953BE"/>
    <w:rsid w:val="44EAD061"/>
    <w:rsid w:val="44F39E29"/>
    <w:rsid w:val="44F887AD"/>
    <w:rsid w:val="4541DF9B"/>
    <w:rsid w:val="456C0CE6"/>
    <w:rsid w:val="459F7135"/>
    <w:rsid w:val="45ADD5C7"/>
    <w:rsid w:val="45AED3C0"/>
    <w:rsid w:val="45C68CCB"/>
    <w:rsid w:val="45CE9404"/>
    <w:rsid w:val="45DB39A7"/>
    <w:rsid w:val="45F73B2D"/>
    <w:rsid w:val="45F8CC1B"/>
    <w:rsid w:val="460274D5"/>
    <w:rsid w:val="460C90BC"/>
    <w:rsid w:val="462B525B"/>
    <w:rsid w:val="462DBFB5"/>
    <w:rsid w:val="464E1BF6"/>
    <w:rsid w:val="4650621F"/>
    <w:rsid w:val="4653FC9D"/>
    <w:rsid w:val="46746946"/>
    <w:rsid w:val="468F94AE"/>
    <w:rsid w:val="46AF50CD"/>
    <w:rsid w:val="46C3AF16"/>
    <w:rsid w:val="46C55219"/>
    <w:rsid w:val="46E1E004"/>
    <w:rsid w:val="46E8E2F5"/>
    <w:rsid w:val="46ED15E7"/>
    <w:rsid w:val="46EDDE0B"/>
    <w:rsid w:val="46F7DAE8"/>
    <w:rsid w:val="470CAC42"/>
    <w:rsid w:val="47181957"/>
    <w:rsid w:val="4756A6B5"/>
    <w:rsid w:val="478868CB"/>
    <w:rsid w:val="4798EE56"/>
    <w:rsid w:val="47999753"/>
    <w:rsid w:val="47AB2FFB"/>
    <w:rsid w:val="47CE67BD"/>
    <w:rsid w:val="47E0339A"/>
    <w:rsid w:val="47F09570"/>
    <w:rsid w:val="48172840"/>
    <w:rsid w:val="487A688B"/>
    <w:rsid w:val="48845942"/>
    <w:rsid w:val="48948458"/>
    <w:rsid w:val="48A0FEC6"/>
    <w:rsid w:val="48CC4B63"/>
    <w:rsid w:val="48DFB5EC"/>
    <w:rsid w:val="48F11779"/>
    <w:rsid w:val="4952FAD1"/>
    <w:rsid w:val="495B74CA"/>
    <w:rsid w:val="4962E95F"/>
    <w:rsid w:val="496C7E98"/>
    <w:rsid w:val="497D4596"/>
    <w:rsid w:val="49B78363"/>
    <w:rsid w:val="49D67331"/>
    <w:rsid w:val="49ECDFF4"/>
    <w:rsid w:val="49ECFE6E"/>
    <w:rsid w:val="4A312DB7"/>
    <w:rsid w:val="4A5FE83D"/>
    <w:rsid w:val="4A6BB8BE"/>
    <w:rsid w:val="4A788C52"/>
    <w:rsid w:val="4AA19363"/>
    <w:rsid w:val="4AAF47BE"/>
    <w:rsid w:val="4AB8A730"/>
    <w:rsid w:val="4ADD62C9"/>
    <w:rsid w:val="4AE91D5C"/>
    <w:rsid w:val="4AE92218"/>
    <w:rsid w:val="4AEC12C0"/>
    <w:rsid w:val="4B161D8B"/>
    <w:rsid w:val="4B1D1AE3"/>
    <w:rsid w:val="4B6A70AF"/>
    <w:rsid w:val="4B77098E"/>
    <w:rsid w:val="4B77F529"/>
    <w:rsid w:val="4B80ED96"/>
    <w:rsid w:val="4B8601B7"/>
    <w:rsid w:val="4B92F876"/>
    <w:rsid w:val="4B9A6003"/>
    <w:rsid w:val="4BC98D94"/>
    <w:rsid w:val="4BD1C847"/>
    <w:rsid w:val="4C0C21DE"/>
    <w:rsid w:val="4C0CEA75"/>
    <w:rsid w:val="4C482ADD"/>
    <w:rsid w:val="4C7413C1"/>
    <w:rsid w:val="4C7A0886"/>
    <w:rsid w:val="4C85684C"/>
    <w:rsid w:val="4C87BD64"/>
    <w:rsid w:val="4C8A6424"/>
    <w:rsid w:val="4C924AFA"/>
    <w:rsid w:val="4CB2CA75"/>
    <w:rsid w:val="4CB30817"/>
    <w:rsid w:val="4CBCA8CF"/>
    <w:rsid w:val="4CDD7165"/>
    <w:rsid w:val="4CDFC71D"/>
    <w:rsid w:val="4CE26F43"/>
    <w:rsid w:val="4D020E12"/>
    <w:rsid w:val="4D04637D"/>
    <w:rsid w:val="4D0B7817"/>
    <w:rsid w:val="4D0BAC81"/>
    <w:rsid w:val="4D188DED"/>
    <w:rsid w:val="4D48E26B"/>
    <w:rsid w:val="4D4CBE05"/>
    <w:rsid w:val="4D5B3BC3"/>
    <w:rsid w:val="4D65D31B"/>
    <w:rsid w:val="4D8DB171"/>
    <w:rsid w:val="4DA76BA8"/>
    <w:rsid w:val="4DC2139C"/>
    <w:rsid w:val="4DD4FAAD"/>
    <w:rsid w:val="4DDB2C23"/>
    <w:rsid w:val="4DE998D1"/>
    <w:rsid w:val="4E2E8575"/>
    <w:rsid w:val="4E3DCC45"/>
    <w:rsid w:val="4E5C16C7"/>
    <w:rsid w:val="4E65DA4D"/>
    <w:rsid w:val="4E76548F"/>
    <w:rsid w:val="4E81263C"/>
    <w:rsid w:val="4E895E51"/>
    <w:rsid w:val="4E99024E"/>
    <w:rsid w:val="4ED8224B"/>
    <w:rsid w:val="4EF9EB9D"/>
    <w:rsid w:val="4F006433"/>
    <w:rsid w:val="4F367341"/>
    <w:rsid w:val="4F385E89"/>
    <w:rsid w:val="4F4572AC"/>
    <w:rsid w:val="4F50207E"/>
    <w:rsid w:val="4F70EAF7"/>
    <w:rsid w:val="4F82A06E"/>
    <w:rsid w:val="4F9D099A"/>
    <w:rsid w:val="4FAF7722"/>
    <w:rsid w:val="4FBD93AD"/>
    <w:rsid w:val="4FD14F6D"/>
    <w:rsid w:val="4FF05DC2"/>
    <w:rsid w:val="50059F84"/>
    <w:rsid w:val="504709D4"/>
    <w:rsid w:val="50507FE4"/>
    <w:rsid w:val="505D3EC0"/>
    <w:rsid w:val="5066DD66"/>
    <w:rsid w:val="507BBCE5"/>
    <w:rsid w:val="508AA5F6"/>
    <w:rsid w:val="509C2D8D"/>
    <w:rsid w:val="50B10313"/>
    <w:rsid w:val="50B54511"/>
    <w:rsid w:val="50E880C7"/>
    <w:rsid w:val="51044E12"/>
    <w:rsid w:val="512C724F"/>
    <w:rsid w:val="51463B15"/>
    <w:rsid w:val="514BC72E"/>
    <w:rsid w:val="514DDC40"/>
    <w:rsid w:val="514E4D5C"/>
    <w:rsid w:val="5158D96F"/>
    <w:rsid w:val="515E6753"/>
    <w:rsid w:val="5165BC66"/>
    <w:rsid w:val="517F644C"/>
    <w:rsid w:val="5180B5A8"/>
    <w:rsid w:val="51B365C9"/>
    <w:rsid w:val="51FE8FDF"/>
    <w:rsid w:val="520FC3D3"/>
    <w:rsid w:val="52177618"/>
    <w:rsid w:val="522A56C8"/>
    <w:rsid w:val="523B476C"/>
    <w:rsid w:val="527B8058"/>
    <w:rsid w:val="52842D04"/>
    <w:rsid w:val="52968E25"/>
    <w:rsid w:val="529A755A"/>
    <w:rsid w:val="52AF4E3A"/>
    <w:rsid w:val="52BBE8DA"/>
    <w:rsid w:val="52D0AE4D"/>
    <w:rsid w:val="52DAB1B6"/>
    <w:rsid w:val="52E59846"/>
    <w:rsid w:val="52EB20EF"/>
    <w:rsid w:val="52F7F824"/>
    <w:rsid w:val="53020987"/>
    <w:rsid w:val="53122821"/>
    <w:rsid w:val="531F66C4"/>
    <w:rsid w:val="5350F410"/>
    <w:rsid w:val="536189D5"/>
    <w:rsid w:val="536F8F48"/>
    <w:rsid w:val="538721E6"/>
    <w:rsid w:val="5388966C"/>
    <w:rsid w:val="538C21E1"/>
    <w:rsid w:val="5391CC41"/>
    <w:rsid w:val="53961521"/>
    <w:rsid w:val="53962F9A"/>
    <w:rsid w:val="53C8159E"/>
    <w:rsid w:val="53E5DA50"/>
    <w:rsid w:val="540DC925"/>
    <w:rsid w:val="5472F635"/>
    <w:rsid w:val="54965065"/>
    <w:rsid w:val="54C72B79"/>
    <w:rsid w:val="54C82DB9"/>
    <w:rsid w:val="54CD7B50"/>
    <w:rsid w:val="54E1EF70"/>
    <w:rsid w:val="54EDB0A5"/>
    <w:rsid w:val="5524A3D6"/>
    <w:rsid w:val="5581DB60"/>
    <w:rsid w:val="558F4334"/>
    <w:rsid w:val="55AFA9B7"/>
    <w:rsid w:val="55BAC3FD"/>
    <w:rsid w:val="55BAEDCE"/>
    <w:rsid w:val="55C5447E"/>
    <w:rsid w:val="55D356A2"/>
    <w:rsid w:val="55D44676"/>
    <w:rsid w:val="55DA3E47"/>
    <w:rsid w:val="55FF6E55"/>
    <w:rsid w:val="561543E2"/>
    <w:rsid w:val="561823D2"/>
    <w:rsid w:val="562E3527"/>
    <w:rsid w:val="564A564F"/>
    <w:rsid w:val="5654366A"/>
    <w:rsid w:val="565EA327"/>
    <w:rsid w:val="56615E09"/>
    <w:rsid w:val="5664CA45"/>
    <w:rsid w:val="56734A73"/>
    <w:rsid w:val="568CEB44"/>
    <w:rsid w:val="56B6A011"/>
    <w:rsid w:val="56C482FC"/>
    <w:rsid w:val="56E61E16"/>
    <w:rsid w:val="56F13F43"/>
    <w:rsid w:val="56F632A2"/>
    <w:rsid w:val="56FB660D"/>
    <w:rsid w:val="579C5524"/>
    <w:rsid w:val="57B0F3F8"/>
    <w:rsid w:val="57BB8916"/>
    <w:rsid w:val="57C70F1A"/>
    <w:rsid w:val="57CE5D0D"/>
    <w:rsid w:val="57D427B5"/>
    <w:rsid w:val="57DE4BE8"/>
    <w:rsid w:val="580B49B8"/>
    <w:rsid w:val="580FAC9A"/>
    <w:rsid w:val="5837D81B"/>
    <w:rsid w:val="5859BB96"/>
    <w:rsid w:val="58830904"/>
    <w:rsid w:val="58997910"/>
    <w:rsid w:val="58B988E9"/>
    <w:rsid w:val="58C9BCFC"/>
    <w:rsid w:val="58CE07D2"/>
    <w:rsid w:val="58D45454"/>
    <w:rsid w:val="58ED22E2"/>
    <w:rsid w:val="58EF656B"/>
    <w:rsid w:val="590EE6BC"/>
    <w:rsid w:val="59352B37"/>
    <w:rsid w:val="59359A4D"/>
    <w:rsid w:val="59375B4F"/>
    <w:rsid w:val="596E73E3"/>
    <w:rsid w:val="5977A838"/>
    <w:rsid w:val="598AAA70"/>
    <w:rsid w:val="59B953CC"/>
    <w:rsid w:val="59E6A2AE"/>
    <w:rsid w:val="5A26BF08"/>
    <w:rsid w:val="5A46A384"/>
    <w:rsid w:val="5A71447D"/>
    <w:rsid w:val="5A83CF34"/>
    <w:rsid w:val="5A84924D"/>
    <w:rsid w:val="5A8F2C1B"/>
    <w:rsid w:val="5A98B5DC"/>
    <w:rsid w:val="5A9C2618"/>
    <w:rsid w:val="5AA393E0"/>
    <w:rsid w:val="5AE59577"/>
    <w:rsid w:val="5AEA176E"/>
    <w:rsid w:val="5AF40F8F"/>
    <w:rsid w:val="5AFA1E66"/>
    <w:rsid w:val="5AFD5C13"/>
    <w:rsid w:val="5B03B361"/>
    <w:rsid w:val="5B0B30DD"/>
    <w:rsid w:val="5B222F57"/>
    <w:rsid w:val="5B4F8513"/>
    <w:rsid w:val="5B53BC45"/>
    <w:rsid w:val="5B565952"/>
    <w:rsid w:val="5B8569E6"/>
    <w:rsid w:val="5B86D680"/>
    <w:rsid w:val="5B8B09DD"/>
    <w:rsid w:val="5B8F04A6"/>
    <w:rsid w:val="5B93A678"/>
    <w:rsid w:val="5BBFC2B0"/>
    <w:rsid w:val="5BC093D1"/>
    <w:rsid w:val="5BC97E59"/>
    <w:rsid w:val="5BD2EC02"/>
    <w:rsid w:val="5BD53AF7"/>
    <w:rsid w:val="5BD6BC69"/>
    <w:rsid w:val="5BE4B7F0"/>
    <w:rsid w:val="5BE89039"/>
    <w:rsid w:val="5BEA2C5F"/>
    <w:rsid w:val="5BEA366A"/>
    <w:rsid w:val="5BF2D42C"/>
    <w:rsid w:val="5C52A295"/>
    <w:rsid w:val="5C66598E"/>
    <w:rsid w:val="5C7832E3"/>
    <w:rsid w:val="5C8DA8B2"/>
    <w:rsid w:val="5CB01C54"/>
    <w:rsid w:val="5CB2C1C1"/>
    <w:rsid w:val="5CE2B462"/>
    <w:rsid w:val="5CFDC766"/>
    <w:rsid w:val="5D0D4857"/>
    <w:rsid w:val="5D256E06"/>
    <w:rsid w:val="5D65D7B6"/>
    <w:rsid w:val="5D830056"/>
    <w:rsid w:val="5D98D801"/>
    <w:rsid w:val="5DA4C682"/>
    <w:rsid w:val="5DA74E0B"/>
    <w:rsid w:val="5DC041BA"/>
    <w:rsid w:val="5DD72FCF"/>
    <w:rsid w:val="5E0317EA"/>
    <w:rsid w:val="5E11A6ED"/>
    <w:rsid w:val="5E19B241"/>
    <w:rsid w:val="5E43A7F6"/>
    <w:rsid w:val="5E777C41"/>
    <w:rsid w:val="5E9F3B68"/>
    <w:rsid w:val="5EB670F9"/>
    <w:rsid w:val="5EC37F35"/>
    <w:rsid w:val="5EE031B8"/>
    <w:rsid w:val="5EE0B54E"/>
    <w:rsid w:val="5EE1415C"/>
    <w:rsid w:val="5F2008F4"/>
    <w:rsid w:val="5F21E1BB"/>
    <w:rsid w:val="5F35F2A9"/>
    <w:rsid w:val="5F3667E0"/>
    <w:rsid w:val="5F3F593A"/>
    <w:rsid w:val="5F40C148"/>
    <w:rsid w:val="5F7E3037"/>
    <w:rsid w:val="5FA48DB0"/>
    <w:rsid w:val="5FBEFAE7"/>
    <w:rsid w:val="5FBFE087"/>
    <w:rsid w:val="5FE9B380"/>
    <w:rsid w:val="5FF3463A"/>
    <w:rsid w:val="60064F1F"/>
    <w:rsid w:val="60104C31"/>
    <w:rsid w:val="605070A9"/>
    <w:rsid w:val="6072FBCA"/>
    <w:rsid w:val="60767C53"/>
    <w:rsid w:val="607C85AF"/>
    <w:rsid w:val="609748B5"/>
    <w:rsid w:val="60B0EBB0"/>
    <w:rsid w:val="60F7DF7C"/>
    <w:rsid w:val="610EE415"/>
    <w:rsid w:val="610F5814"/>
    <w:rsid w:val="6115D8E6"/>
    <w:rsid w:val="61254AB1"/>
    <w:rsid w:val="613352A8"/>
    <w:rsid w:val="61460752"/>
    <w:rsid w:val="615DDC6F"/>
    <w:rsid w:val="6167FCD8"/>
    <w:rsid w:val="6181B060"/>
    <w:rsid w:val="618B559A"/>
    <w:rsid w:val="61AE9565"/>
    <w:rsid w:val="61C2B7A3"/>
    <w:rsid w:val="61DE9295"/>
    <w:rsid w:val="61EDA19F"/>
    <w:rsid w:val="61F0A9A3"/>
    <w:rsid w:val="62185610"/>
    <w:rsid w:val="622E47AE"/>
    <w:rsid w:val="623EFEEE"/>
    <w:rsid w:val="6265B671"/>
    <w:rsid w:val="626CFBF3"/>
    <w:rsid w:val="628EBFCD"/>
    <w:rsid w:val="62B164BF"/>
    <w:rsid w:val="62B4C736"/>
    <w:rsid w:val="62B7194D"/>
    <w:rsid w:val="62D3332B"/>
    <w:rsid w:val="630296A1"/>
    <w:rsid w:val="6316C8AD"/>
    <w:rsid w:val="63428304"/>
    <w:rsid w:val="6379CAF1"/>
    <w:rsid w:val="6394075D"/>
    <w:rsid w:val="63A78385"/>
    <w:rsid w:val="63B55D15"/>
    <w:rsid w:val="63B5A64E"/>
    <w:rsid w:val="63D70C4B"/>
    <w:rsid w:val="63D9681F"/>
    <w:rsid w:val="63D9DC1B"/>
    <w:rsid w:val="6404EF43"/>
    <w:rsid w:val="64121A60"/>
    <w:rsid w:val="644346E7"/>
    <w:rsid w:val="646FF299"/>
    <w:rsid w:val="64717B04"/>
    <w:rsid w:val="64729C67"/>
    <w:rsid w:val="6479F90D"/>
    <w:rsid w:val="64890629"/>
    <w:rsid w:val="6498EAC6"/>
    <w:rsid w:val="649AED64"/>
    <w:rsid w:val="64BFC12E"/>
    <w:rsid w:val="64E4EFA9"/>
    <w:rsid w:val="64F0CDAB"/>
    <w:rsid w:val="65145A7B"/>
    <w:rsid w:val="65164CA7"/>
    <w:rsid w:val="651C59E8"/>
    <w:rsid w:val="6525EA84"/>
    <w:rsid w:val="6527D105"/>
    <w:rsid w:val="653D68F2"/>
    <w:rsid w:val="654967E9"/>
    <w:rsid w:val="65C9F0E1"/>
    <w:rsid w:val="65E92EFD"/>
    <w:rsid w:val="661FC41B"/>
    <w:rsid w:val="6622EED9"/>
    <w:rsid w:val="66479B42"/>
    <w:rsid w:val="66627881"/>
    <w:rsid w:val="666DD224"/>
    <w:rsid w:val="667FB36C"/>
    <w:rsid w:val="668EC95B"/>
    <w:rsid w:val="6693ECD9"/>
    <w:rsid w:val="66956D72"/>
    <w:rsid w:val="66AF31B2"/>
    <w:rsid w:val="66AF65C6"/>
    <w:rsid w:val="66EBC733"/>
    <w:rsid w:val="66F43771"/>
    <w:rsid w:val="6734D044"/>
    <w:rsid w:val="67570391"/>
    <w:rsid w:val="67686507"/>
    <w:rsid w:val="6770467E"/>
    <w:rsid w:val="678BDD95"/>
    <w:rsid w:val="67920B15"/>
    <w:rsid w:val="67B3B044"/>
    <w:rsid w:val="67CEF674"/>
    <w:rsid w:val="67F5228F"/>
    <w:rsid w:val="67F99AFF"/>
    <w:rsid w:val="68139D47"/>
    <w:rsid w:val="683B7A44"/>
    <w:rsid w:val="684B52A2"/>
    <w:rsid w:val="68536332"/>
    <w:rsid w:val="686C4E42"/>
    <w:rsid w:val="686FE01F"/>
    <w:rsid w:val="6887BCD6"/>
    <w:rsid w:val="689E5154"/>
    <w:rsid w:val="68A848B4"/>
    <w:rsid w:val="68F9DD09"/>
    <w:rsid w:val="69202139"/>
    <w:rsid w:val="6921CFB7"/>
    <w:rsid w:val="693D029F"/>
    <w:rsid w:val="693ED3F8"/>
    <w:rsid w:val="696A4279"/>
    <w:rsid w:val="697C75D4"/>
    <w:rsid w:val="698D2050"/>
    <w:rsid w:val="69A7D515"/>
    <w:rsid w:val="69A809FB"/>
    <w:rsid w:val="69C2CD89"/>
    <w:rsid w:val="69DB1025"/>
    <w:rsid w:val="69DC397A"/>
    <w:rsid w:val="69E2F236"/>
    <w:rsid w:val="69E48265"/>
    <w:rsid w:val="69EBE13F"/>
    <w:rsid w:val="69FEAA14"/>
    <w:rsid w:val="6A19253E"/>
    <w:rsid w:val="6A1F808F"/>
    <w:rsid w:val="6A45A3AC"/>
    <w:rsid w:val="6A7F1783"/>
    <w:rsid w:val="6AA1700B"/>
    <w:rsid w:val="6ABEDECD"/>
    <w:rsid w:val="6AD1F9C0"/>
    <w:rsid w:val="6AE518CB"/>
    <w:rsid w:val="6AEBAD5A"/>
    <w:rsid w:val="6AF9D7C5"/>
    <w:rsid w:val="6B3A5939"/>
    <w:rsid w:val="6B3D32A7"/>
    <w:rsid w:val="6B66A013"/>
    <w:rsid w:val="6BA0E1D6"/>
    <w:rsid w:val="6BAEEEA1"/>
    <w:rsid w:val="6BB3DA98"/>
    <w:rsid w:val="6BC75F66"/>
    <w:rsid w:val="6BF0206F"/>
    <w:rsid w:val="6BFE9231"/>
    <w:rsid w:val="6C06A6E1"/>
    <w:rsid w:val="6C1E164D"/>
    <w:rsid w:val="6C2C77BD"/>
    <w:rsid w:val="6C4AB5EC"/>
    <w:rsid w:val="6C4D7015"/>
    <w:rsid w:val="6C65310D"/>
    <w:rsid w:val="6C75F385"/>
    <w:rsid w:val="6C864DE3"/>
    <w:rsid w:val="6CD707AC"/>
    <w:rsid w:val="6D03251F"/>
    <w:rsid w:val="6D64F015"/>
    <w:rsid w:val="6DA65576"/>
    <w:rsid w:val="6DBAC943"/>
    <w:rsid w:val="6DC9F13F"/>
    <w:rsid w:val="6DF306C0"/>
    <w:rsid w:val="6E1267F8"/>
    <w:rsid w:val="6E20790F"/>
    <w:rsid w:val="6E5A20F3"/>
    <w:rsid w:val="6E64F0A0"/>
    <w:rsid w:val="6E8026BE"/>
    <w:rsid w:val="6ECD885B"/>
    <w:rsid w:val="6EDE123E"/>
    <w:rsid w:val="6EE87EFB"/>
    <w:rsid w:val="6F0320D8"/>
    <w:rsid w:val="6F17FC78"/>
    <w:rsid w:val="6F40A7AB"/>
    <w:rsid w:val="6F435F9F"/>
    <w:rsid w:val="6F724B7C"/>
    <w:rsid w:val="6F769BB3"/>
    <w:rsid w:val="6F809B99"/>
    <w:rsid w:val="6FA5E9AB"/>
    <w:rsid w:val="6FA7474A"/>
    <w:rsid w:val="6FAB0C36"/>
    <w:rsid w:val="6FCA3A35"/>
    <w:rsid w:val="6FD50D8A"/>
    <w:rsid w:val="6FDB36D9"/>
    <w:rsid w:val="6FE4941B"/>
    <w:rsid w:val="6FE805B1"/>
    <w:rsid w:val="70125009"/>
    <w:rsid w:val="7037A419"/>
    <w:rsid w:val="703A782B"/>
    <w:rsid w:val="705370E2"/>
    <w:rsid w:val="7071916D"/>
    <w:rsid w:val="707726DD"/>
    <w:rsid w:val="7079EE72"/>
    <w:rsid w:val="708F9630"/>
    <w:rsid w:val="70AD51CA"/>
    <w:rsid w:val="70BC2AD9"/>
    <w:rsid w:val="70CEC7F4"/>
    <w:rsid w:val="70E76063"/>
    <w:rsid w:val="70F57A7F"/>
    <w:rsid w:val="70FDB532"/>
    <w:rsid w:val="710ED4B2"/>
    <w:rsid w:val="7110918F"/>
    <w:rsid w:val="713B7BDA"/>
    <w:rsid w:val="7158C1B5"/>
    <w:rsid w:val="715A727D"/>
    <w:rsid w:val="716C6936"/>
    <w:rsid w:val="718B5623"/>
    <w:rsid w:val="718BA03C"/>
    <w:rsid w:val="718F27D0"/>
    <w:rsid w:val="71B6DEE8"/>
    <w:rsid w:val="71C5C012"/>
    <w:rsid w:val="71D33C43"/>
    <w:rsid w:val="71D41EBF"/>
    <w:rsid w:val="71D720D8"/>
    <w:rsid w:val="71F4FEFB"/>
    <w:rsid w:val="7232365A"/>
    <w:rsid w:val="728962F1"/>
    <w:rsid w:val="72CA2272"/>
    <w:rsid w:val="72E430EF"/>
    <w:rsid w:val="72EC0486"/>
    <w:rsid w:val="72EF1FA1"/>
    <w:rsid w:val="7364677A"/>
    <w:rsid w:val="737B458A"/>
    <w:rsid w:val="73A9FB7D"/>
    <w:rsid w:val="73AD1327"/>
    <w:rsid w:val="73B0F7BC"/>
    <w:rsid w:val="73D5E0A3"/>
    <w:rsid w:val="74159F03"/>
    <w:rsid w:val="7445DDFC"/>
    <w:rsid w:val="747E9DCE"/>
    <w:rsid w:val="74813BEE"/>
    <w:rsid w:val="7498511C"/>
    <w:rsid w:val="74A1AC9E"/>
    <w:rsid w:val="74E25ECA"/>
    <w:rsid w:val="7530B66E"/>
    <w:rsid w:val="7557AA00"/>
    <w:rsid w:val="757EC80E"/>
    <w:rsid w:val="7583D261"/>
    <w:rsid w:val="75876F2C"/>
    <w:rsid w:val="75A89FF7"/>
    <w:rsid w:val="75A90597"/>
    <w:rsid w:val="75D12655"/>
    <w:rsid w:val="7612C384"/>
    <w:rsid w:val="7637AE4D"/>
    <w:rsid w:val="763C1E87"/>
    <w:rsid w:val="765AF0A9"/>
    <w:rsid w:val="766FE577"/>
    <w:rsid w:val="76873C94"/>
    <w:rsid w:val="769D2C30"/>
    <w:rsid w:val="76BBC7D3"/>
    <w:rsid w:val="76C2E0F8"/>
    <w:rsid w:val="76F2FDFD"/>
    <w:rsid w:val="7713FA79"/>
    <w:rsid w:val="77267781"/>
    <w:rsid w:val="774061C8"/>
    <w:rsid w:val="776CD988"/>
    <w:rsid w:val="7778B3AB"/>
    <w:rsid w:val="7779C166"/>
    <w:rsid w:val="77A04D2C"/>
    <w:rsid w:val="77B84699"/>
    <w:rsid w:val="77E925A4"/>
    <w:rsid w:val="77FA1A8D"/>
    <w:rsid w:val="77FD3A64"/>
    <w:rsid w:val="77FF8203"/>
    <w:rsid w:val="78581CF8"/>
    <w:rsid w:val="78EC3194"/>
    <w:rsid w:val="7927916B"/>
    <w:rsid w:val="7929C0A8"/>
    <w:rsid w:val="792E342A"/>
    <w:rsid w:val="793EC4BD"/>
    <w:rsid w:val="79562CA0"/>
    <w:rsid w:val="79706FA7"/>
    <w:rsid w:val="797D3FBD"/>
    <w:rsid w:val="79987CFA"/>
    <w:rsid w:val="79B0B92E"/>
    <w:rsid w:val="79B70417"/>
    <w:rsid w:val="79CA314E"/>
    <w:rsid w:val="79CE97A0"/>
    <w:rsid w:val="7A0D1EAF"/>
    <w:rsid w:val="7A1752C7"/>
    <w:rsid w:val="7A2B1B23"/>
    <w:rsid w:val="7A483F38"/>
    <w:rsid w:val="7A4A8356"/>
    <w:rsid w:val="7A6274AB"/>
    <w:rsid w:val="7A691A2C"/>
    <w:rsid w:val="7A95848C"/>
    <w:rsid w:val="7AC43C5D"/>
    <w:rsid w:val="7ACDB93B"/>
    <w:rsid w:val="7AFE5FAB"/>
    <w:rsid w:val="7B1231FB"/>
    <w:rsid w:val="7B134B20"/>
    <w:rsid w:val="7B179F84"/>
    <w:rsid w:val="7B3A1CE6"/>
    <w:rsid w:val="7B5540A1"/>
    <w:rsid w:val="7B5C66CD"/>
    <w:rsid w:val="7B778268"/>
    <w:rsid w:val="7B97A4D5"/>
    <w:rsid w:val="7BDAC6BF"/>
    <w:rsid w:val="7C0F4DAB"/>
    <w:rsid w:val="7C1BD303"/>
    <w:rsid w:val="7C1C05D4"/>
    <w:rsid w:val="7C2692D4"/>
    <w:rsid w:val="7C3F38E9"/>
    <w:rsid w:val="7C417B72"/>
    <w:rsid w:val="7C60FCC3"/>
    <w:rsid w:val="7C6AEA7E"/>
    <w:rsid w:val="7C7B0AAB"/>
    <w:rsid w:val="7C7B12C3"/>
    <w:rsid w:val="7C7F4E92"/>
    <w:rsid w:val="7CA9C880"/>
    <w:rsid w:val="7CB25385"/>
    <w:rsid w:val="7D147B44"/>
    <w:rsid w:val="7D540531"/>
    <w:rsid w:val="7D63A2D2"/>
    <w:rsid w:val="7D6A99D0"/>
    <w:rsid w:val="7D7D71CF"/>
    <w:rsid w:val="7DABBB36"/>
    <w:rsid w:val="7DB5A56E"/>
    <w:rsid w:val="7DD8D687"/>
    <w:rsid w:val="7DFCB6D5"/>
    <w:rsid w:val="7E199B72"/>
    <w:rsid w:val="7E1B0F37"/>
    <w:rsid w:val="7E1C0EC2"/>
    <w:rsid w:val="7E215ADB"/>
    <w:rsid w:val="7E31546C"/>
    <w:rsid w:val="7E50896E"/>
    <w:rsid w:val="7E63483A"/>
    <w:rsid w:val="7E9270B8"/>
    <w:rsid w:val="7EB2E20E"/>
    <w:rsid w:val="7ED77FED"/>
    <w:rsid w:val="7ED97AD9"/>
    <w:rsid w:val="7EE7D13D"/>
    <w:rsid w:val="7EEEA29B"/>
    <w:rsid w:val="7EEEA931"/>
    <w:rsid w:val="7F0DE55E"/>
    <w:rsid w:val="7F148C3A"/>
    <w:rsid w:val="7F27230A"/>
    <w:rsid w:val="7F497782"/>
    <w:rsid w:val="7F899719"/>
    <w:rsid w:val="7F8E6E71"/>
    <w:rsid w:val="7FA5801A"/>
    <w:rsid w:val="7FDDEC39"/>
    <w:rsid w:val="7FE7CFEE"/>
    <w:rsid w:val="7FEE7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3F43"/>
  <w15:chartTrackingRefBased/>
  <w15:docId w15:val="{8AE9D73E-270D-42AD-8F1E-D75772EC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67"/>
    <w:rPr>
      <w:rFonts w:ascii="Arial" w:eastAsiaTheme="minorEastAsia" w:hAnsi="Arial"/>
      <w:sz w:val="24"/>
      <w:szCs w:val="24"/>
    </w:rPr>
  </w:style>
  <w:style w:type="paragraph" w:styleId="Heading1">
    <w:name w:val="heading 1"/>
    <w:basedOn w:val="Normal"/>
    <w:link w:val="Heading1Char"/>
    <w:uiPriority w:val="9"/>
    <w:qFormat/>
    <w:rsid w:val="00684167"/>
    <w:pPr>
      <w:spacing w:before="240" w:after="120"/>
      <w:outlineLvl w:val="0"/>
    </w:pPr>
    <w:rPr>
      <w:b/>
      <w:bCs/>
      <w:color w:val="2F5496" w:themeColor="accent1" w:themeShade="BF"/>
      <w:kern w:val="36"/>
      <w:sz w:val="36"/>
      <w:szCs w:val="48"/>
    </w:rPr>
  </w:style>
  <w:style w:type="paragraph" w:styleId="Heading2">
    <w:name w:val="heading 2"/>
    <w:basedOn w:val="Normal"/>
    <w:link w:val="Heading2Char"/>
    <w:uiPriority w:val="9"/>
    <w:qFormat/>
    <w:rsid w:val="00F57C71"/>
    <w:pPr>
      <w:spacing w:before="360" w:after="100" w:afterAutospacing="1"/>
      <w:outlineLvl w:val="1"/>
    </w:pPr>
    <w:rPr>
      <w:rFonts w:cstheme="majorBidi"/>
      <w:bCs/>
      <w:color w:val="2F5496" w:themeColor="accent1" w:themeShade="BF"/>
      <w:sz w:val="32"/>
      <w:szCs w:val="36"/>
    </w:rPr>
  </w:style>
  <w:style w:type="paragraph" w:styleId="Heading3">
    <w:name w:val="heading 3"/>
    <w:basedOn w:val="Normal"/>
    <w:next w:val="Normal"/>
    <w:link w:val="Heading3Char"/>
    <w:uiPriority w:val="9"/>
    <w:unhideWhenUsed/>
    <w:qFormat/>
    <w:rsid w:val="00684167"/>
    <w:pPr>
      <w:keepNext/>
      <w:keepLines/>
      <w:spacing w:before="240" w:after="12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6841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C71"/>
    <w:rPr>
      <w:rFonts w:ascii="Arial" w:eastAsiaTheme="minorEastAsia" w:hAnsi="Arial" w:cstheme="majorBidi"/>
      <w:bCs/>
      <w:color w:val="2F5496" w:themeColor="accent1" w:themeShade="BF"/>
      <w:sz w:val="32"/>
      <w:szCs w:val="36"/>
    </w:rPr>
  </w:style>
  <w:style w:type="character" w:customStyle="1" w:styleId="Heading4Char">
    <w:name w:val="Heading 4 Char"/>
    <w:basedOn w:val="DefaultParagraphFont"/>
    <w:link w:val="Heading4"/>
    <w:uiPriority w:val="9"/>
    <w:rsid w:val="00684167"/>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pPr>
      <w:ind w:left="720"/>
      <w:contextualSpacing/>
    </w:pPr>
  </w:style>
  <w:style w:type="paragraph" w:customStyle="1" w:styleId="paragraph">
    <w:name w:val="paragraph"/>
    <w:basedOn w:val="Normal"/>
    <w:next w:val="Normal"/>
    <w:rsid w:val="006668E3"/>
    <w:pPr>
      <w:spacing w:before="100" w:beforeAutospacing="1" w:after="100" w:afterAutospacing="1"/>
    </w:pPr>
    <w:rPr>
      <w:rFonts w:eastAsia="Times New Roman"/>
      <w:lang w:val="en-AU" w:eastAsia="en-AU"/>
    </w:rPr>
  </w:style>
  <w:style w:type="character" w:customStyle="1" w:styleId="normaltextrun">
    <w:name w:val="normaltextrun"/>
    <w:basedOn w:val="DefaultParagraphFont"/>
    <w:rsid w:val="00A44D9A"/>
  </w:style>
  <w:style w:type="character" w:customStyle="1" w:styleId="eop">
    <w:name w:val="eop"/>
    <w:basedOn w:val="DefaultParagraphFont"/>
    <w:rsid w:val="00A44D9A"/>
  </w:style>
  <w:style w:type="paragraph" w:customStyle="1" w:styleId="indent">
    <w:name w:val="indent"/>
    <w:basedOn w:val="NormalWeb"/>
    <w:qFormat/>
    <w:rsid w:val="00684167"/>
    <w:pPr>
      <w:spacing w:before="120" w:after="100" w:afterAutospacing="1"/>
      <w:ind w:left="720"/>
    </w:pPr>
    <w:rPr>
      <w:rFonts w:cs="Arial"/>
      <w:i/>
      <w:iCs/>
    </w:rPr>
  </w:style>
  <w:style w:type="paragraph" w:styleId="NormalWeb">
    <w:name w:val="Normal (Web)"/>
    <w:basedOn w:val="Normal"/>
    <w:uiPriority w:val="99"/>
    <w:semiHidden/>
    <w:unhideWhenUsed/>
    <w:rsid w:val="008F5859"/>
  </w:style>
  <w:style w:type="paragraph" w:customStyle="1" w:styleId="bullettedlist">
    <w:name w:val="bulletted list"/>
    <w:basedOn w:val="Normal"/>
    <w:qFormat/>
    <w:rsid w:val="00B443B2"/>
    <w:pPr>
      <w:numPr>
        <w:numId w:val="1"/>
      </w:numPr>
      <w:spacing w:before="60"/>
      <w:ind w:left="357" w:hanging="357"/>
    </w:pPr>
    <w:rPr>
      <w:rFonts w:cs="Arial"/>
    </w:rPr>
  </w:style>
  <w:style w:type="character" w:customStyle="1" w:styleId="Heading1Char">
    <w:name w:val="Heading 1 Char"/>
    <w:basedOn w:val="DefaultParagraphFont"/>
    <w:link w:val="Heading1"/>
    <w:uiPriority w:val="9"/>
    <w:rsid w:val="00684167"/>
    <w:rPr>
      <w:rFonts w:ascii="Arial" w:eastAsiaTheme="minorEastAsia"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684167"/>
    <w:rPr>
      <w:rFonts w:ascii="Arial" w:eastAsiaTheme="majorEastAsia" w:hAnsi="Arial" w:cstheme="majorBidi"/>
      <w:color w:val="2F5496" w:themeColor="accent1" w:themeShade="BF"/>
      <w:sz w:val="28"/>
      <w:szCs w:val="24"/>
    </w:rPr>
  </w:style>
  <w:style w:type="paragraph" w:styleId="Title">
    <w:name w:val="Title"/>
    <w:basedOn w:val="Normal"/>
    <w:next w:val="Normal"/>
    <w:link w:val="TitleChar"/>
    <w:uiPriority w:val="10"/>
    <w:qFormat/>
    <w:rsid w:val="00684167"/>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684167"/>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684167"/>
    <w:rPr>
      <w:b/>
      <w:bCs/>
    </w:rPr>
  </w:style>
  <w:style w:type="character" w:styleId="Emphasis">
    <w:name w:val="Emphasis"/>
    <w:basedOn w:val="DefaultParagraphFont"/>
    <w:uiPriority w:val="20"/>
    <w:qFormat/>
    <w:rsid w:val="00684167"/>
    <w:rPr>
      <w:i/>
      <w:iCs/>
    </w:rPr>
  </w:style>
  <w:style w:type="paragraph" w:styleId="TOCHeading">
    <w:name w:val="TOC Heading"/>
    <w:basedOn w:val="Heading1"/>
    <w:next w:val="Normal"/>
    <w:uiPriority w:val="39"/>
    <w:unhideWhenUsed/>
    <w:qFormat/>
    <w:rsid w:val="00684167"/>
    <w:pPr>
      <w:keepNext/>
      <w:keepLines/>
      <w:spacing w:after="0" w:line="259" w:lineRule="auto"/>
      <w:outlineLvl w:val="9"/>
    </w:pPr>
    <w:rPr>
      <w:rFonts w:asciiTheme="majorHAnsi" w:eastAsiaTheme="majorEastAsia" w:hAnsiTheme="majorHAnsi" w:cstheme="majorBidi"/>
      <w:b w:val="0"/>
      <w:bCs w:val="0"/>
      <w:kern w:val="0"/>
      <w:sz w:val="32"/>
      <w:szCs w:val="32"/>
    </w:rPr>
  </w:style>
  <w:style w:type="character" w:customStyle="1" w:styleId="superscript">
    <w:name w:val="superscript"/>
    <w:basedOn w:val="DefaultParagraphFont"/>
    <w:rsid w:val="00CA60BE"/>
  </w:style>
  <w:style w:type="character" w:styleId="Hyperlink">
    <w:name w:val="Hyperlink"/>
    <w:basedOn w:val="DefaultParagraphFont"/>
    <w:uiPriority w:val="99"/>
    <w:unhideWhenUsed/>
    <w:rsid w:val="00A1275D"/>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852E4A"/>
    <w:rPr>
      <w:color w:val="605E5C"/>
      <w:shd w:val="clear" w:color="auto" w:fill="E1DFDD"/>
    </w:rPr>
  </w:style>
  <w:style w:type="paragraph" w:styleId="FootnoteText">
    <w:name w:val="footnote text"/>
    <w:basedOn w:val="Normal"/>
    <w:link w:val="FootnoteTextChar"/>
    <w:uiPriority w:val="99"/>
    <w:semiHidden/>
    <w:unhideWhenUsed/>
    <w:rsid w:val="00E01341"/>
    <w:rPr>
      <w:sz w:val="20"/>
      <w:szCs w:val="20"/>
    </w:rPr>
  </w:style>
  <w:style w:type="character" w:customStyle="1" w:styleId="FootnoteTextChar">
    <w:name w:val="Footnote Text Char"/>
    <w:basedOn w:val="DefaultParagraphFont"/>
    <w:link w:val="FootnoteText"/>
    <w:uiPriority w:val="99"/>
    <w:semiHidden/>
    <w:rsid w:val="00E01341"/>
    <w:rPr>
      <w:rFonts w:ascii="Arial" w:eastAsiaTheme="minorEastAsia" w:hAnsi="Arial"/>
    </w:rPr>
  </w:style>
  <w:style w:type="character" w:styleId="FootnoteReference">
    <w:name w:val="footnote reference"/>
    <w:basedOn w:val="DefaultParagraphFont"/>
    <w:uiPriority w:val="99"/>
    <w:semiHidden/>
    <w:unhideWhenUsed/>
    <w:rsid w:val="00E01341"/>
    <w:rPr>
      <w:vertAlign w:val="superscript"/>
    </w:rPr>
  </w:style>
  <w:style w:type="table" w:styleId="TableGrid">
    <w:name w:val="Table Grid"/>
    <w:basedOn w:val="TableNormal"/>
    <w:uiPriority w:val="59"/>
    <w:rsid w:val="00182BF4"/>
    <w:rPr>
      <w:rFonts w:asciiTheme="minorHAnsi" w:eastAsiaTheme="minorHAnsi" w:hAnsiTheme="minorHAnsi" w:cstheme="minorBid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47B"/>
    <w:pPr>
      <w:tabs>
        <w:tab w:val="center" w:pos="4513"/>
        <w:tab w:val="right" w:pos="9026"/>
      </w:tabs>
    </w:pPr>
  </w:style>
  <w:style w:type="character" w:customStyle="1" w:styleId="HeaderChar">
    <w:name w:val="Header Char"/>
    <w:basedOn w:val="DefaultParagraphFont"/>
    <w:link w:val="Header"/>
    <w:uiPriority w:val="99"/>
    <w:rsid w:val="003D547B"/>
    <w:rPr>
      <w:rFonts w:ascii="Arial" w:eastAsiaTheme="minorEastAsia" w:hAnsi="Arial"/>
      <w:sz w:val="24"/>
      <w:szCs w:val="24"/>
    </w:rPr>
  </w:style>
  <w:style w:type="paragraph" w:styleId="Footer">
    <w:name w:val="footer"/>
    <w:basedOn w:val="Normal"/>
    <w:link w:val="FooterChar"/>
    <w:uiPriority w:val="99"/>
    <w:unhideWhenUsed/>
    <w:rsid w:val="003D547B"/>
    <w:pPr>
      <w:tabs>
        <w:tab w:val="center" w:pos="4513"/>
        <w:tab w:val="right" w:pos="9026"/>
      </w:tabs>
    </w:pPr>
  </w:style>
  <w:style w:type="character" w:customStyle="1" w:styleId="FooterChar">
    <w:name w:val="Footer Char"/>
    <w:basedOn w:val="DefaultParagraphFont"/>
    <w:link w:val="Footer"/>
    <w:uiPriority w:val="99"/>
    <w:rsid w:val="003D547B"/>
    <w:rPr>
      <w:rFonts w:ascii="Arial" w:eastAsiaTheme="minorEastAsia" w:hAnsi="Arial"/>
      <w:sz w:val="24"/>
      <w:szCs w:val="24"/>
    </w:rPr>
  </w:style>
  <w:style w:type="paragraph" w:customStyle="1" w:styleId="footnotetext0">
    <w:name w:val="footnote text0"/>
    <w:basedOn w:val="FootnoteText"/>
    <w:qFormat/>
    <w:rsid w:val="0013355A"/>
    <w:rPr>
      <w:i/>
      <w:sz w:val="18"/>
      <w:lang w:val="en-AU"/>
    </w:rPr>
  </w:style>
  <w:style w:type="character" w:styleId="SubtleEmphasis">
    <w:name w:val="Subtle Emphasis"/>
    <w:basedOn w:val="DefaultParagraphFont"/>
    <w:uiPriority w:val="19"/>
    <w:qFormat/>
    <w:rsid w:val="008310E5"/>
    <w:rPr>
      <w:i/>
      <w:iCs/>
      <w:color w:val="404040" w:themeColor="text1" w:themeTint="BF"/>
    </w:rPr>
  </w:style>
  <w:style w:type="paragraph" w:customStyle="1" w:styleId="Footnote">
    <w:name w:val="Footnote"/>
    <w:basedOn w:val="Normal"/>
    <w:qFormat/>
    <w:rsid w:val="00853ED9"/>
    <w:rPr>
      <w:rFonts w:eastAsia="Arial" w:cs="Myriad Pro Light"/>
      <w:i/>
      <w:color w:val="000000"/>
      <w:sz w:val="16"/>
      <w:szCs w:val="20"/>
      <w:lang w:val="en" w:eastAsia="en-AU"/>
    </w:rPr>
  </w:style>
  <w:style w:type="paragraph" w:styleId="CommentText">
    <w:name w:val="annotation text"/>
    <w:basedOn w:val="Normal"/>
    <w:link w:val="CommentTextChar"/>
    <w:uiPriority w:val="99"/>
    <w:unhideWhenUsed/>
    <w:rsid w:val="00D7439F"/>
    <w:rPr>
      <w:rFonts w:eastAsia="Arial" w:cs="Arial"/>
      <w:sz w:val="20"/>
      <w:szCs w:val="20"/>
      <w:lang w:val="en" w:eastAsia="en-AU"/>
    </w:rPr>
  </w:style>
  <w:style w:type="character" w:customStyle="1" w:styleId="CommentTextChar">
    <w:name w:val="Comment Text Char"/>
    <w:basedOn w:val="DefaultParagraphFont"/>
    <w:link w:val="CommentText"/>
    <w:uiPriority w:val="99"/>
    <w:rsid w:val="00D7439F"/>
    <w:rPr>
      <w:rFonts w:ascii="Arial" w:eastAsia="Arial" w:hAnsi="Arial" w:cs="Arial"/>
      <w:lang w:val="en" w:eastAsia="en-AU"/>
    </w:rPr>
  </w:style>
  <w:style w:type="character" w:styleId="CommentReference">
    <w:name w:val="annotation reference"/>
    <w:basedOn w:val="DefaultParagraphFont"/>
    <w:uiPriority w:val="99"/>
    <w:semiHidden/>
    <w:unhideWhenUsed/>
    <w:rsid w:val="00D7439F"/>
    <w:rPr>
      <w:sz w:val="16"/>
      <w:szCs w:val="16"/>
    </w:rPr>
  </w:style>
  <w:style w:type="paragraph" w:customStyle="1" w:styleId="dotpoint">
    <w:name w:val="dot point"/>
    <w:basedOn w:val="paratext"/>
    <w:rsid w:val="00577005"/>
    <w:pPr>
      <w:numPr>
        <w:numId w:val="2"/>
      </w:numPr>
      <w:spacing w:line="240" w:lineRule="auto"/>
      <w:ind w:left="357" w:hanging="357"/>
    </w:pPr>
  </w:style>
  <w:style w:type="paragraph" w:customStyle="1" w:styleId="paratext">
    <w:name w:val="para text"/>
    <w:basedOn w:val="Normal"/>
    <w:qFormat/>
    <w:rsid w:val="00577005"/>
    <w:pPr>
      <w:spacing w:before="120" w:line="276" w:lineRule="auto"/>
    </w:pPr>
    <w:rPr>
      <w:rFonts w:eastAsia="Arial" w:cs="Arial"/>
      <w:sz w:val="22"/>
      <w:szCs w:val="22"/>
      <w:lang w:val="en" w:eastAsia="en-AU"/>
    </w:rPr>
  </w:style>
  <w:style w:type="paragraph" w:styleId="TOC1">
    <w:name w:val="toc 1"/>
    <w:basedOn w:val="Normal"/>
    <w:next w:val="Normal"/>
    <w:autoRedefine/>
    <w:uiPriority w:val="39"/>
    <w:unhideWhenUsed/>
    <w:rsid w:val="00706C97"/>
    <w:pPr>
      <w:tabs>
        <w:tab w:val="right" w:leader="dot" w:pos="9350"/>
      </w:tabs>
      <w:spacing w:after="100"/>
    </w:pPr>
  </w:style>
  <w:style w:type="paragraph" w:styleId="TOC2">
    <w:name w:val="toc 2"/>
    <w:basedOn w:val="Normal"/>
    <w:next w:val="Normal"/>
    <w:autoRedefine/>
    <w:uiPriority w:val="39"/>
    <w:unhideWhenUsed/>
    <w:rsid w:val="00D24C9B"/>
    <w:pPr>
      <w:tabs>
        <w:tab w:val="right" w:leader="dot" w:pos="9350"/>
      </w:tabs>
      <w:spacing w:after="100"/>
      <w:ind w:left="240"/>
    </w:pPr>
    <w:rPr>
      <w:noProof/>
    </w:rPr>
  </w:style>
  <w:style w:type="paragraph" w:styleId="TOC3">
    <w:name w:val="toc 3"/>
    <w:basedOn w:val="Normal"/>
    <w:next w:val="Normal"/>
    <w:autoRedefine/>
    <w:uiPriority w:val="39"/>
    <w:unhideWhenUsed/>
    <w:rsid w:val="001B5A8F"/>
    <w:pPr>
      <w:tabs>
        <w:tab w:val="right" w:leader="dot" w:pos="9350"/>
      </w:tabs>
      <w:spacing w:after="100"/>
      <w:ind w:left="480"/>
    </w:pPr>
  </w:style>
  <w:style w:type="paragraph" w:styleId="CommentSubject">
    <w:name w:val="annotation subject"/>
    <w:basedOn w:val="CommentText"/>
    <w:next w:val="CommentText"/>
    <w:link w:val="CommentSubjectChar"/>
    <w:uiPriority w:val="99"/>
    <w:semiHidden/>
    <w:unhideWhenUsed/>
    <w:rsid w:val="002C05A1"/>
    <w:rPr>
      <w:rFonts w:eastAsiaTheme="minorEastAsia" w:cs="Times New Roman"/>
      <w:b/>
      <w:bCs/>
      <w:lang w:val="en-US" w:eastAsia="en-US"/>
    </w:rPr>
  </w:style>
  <w:style w:type="character" w:customStyle="1" w:styleId="CommentSubjectChar">
    <w:name w:val="Comment Subject Char"/>
    <w:basedOn w:val="CommentTextChar"/>
    <w:link w:val="CommentSubject"/>
    <w:uiPriority w:val="99"/>
    <w:semiHidden/>
    <w:rsid w:val="002C05A1"/>
    <w:rPr>
      <w:rFonts w:ascii="Arial" w:eastAsiaTheme="minorEastAsia" w:hAnsi="Arial" w:cs="Arial"/>
      <w:b/>
      <w:bCs/>
      <w:lang w:val="en" w:eastAsia="en-AU"/>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92894"/>
    <w:rPr>
      <w:rFonts w:ascii="Arial" w:eastAsiaTheme="minorEastAsia" w:hAnsi="Arial"/>
      <w:sz w:val="24"/>
      <w:szCs w:val="24"/>
    </w:rPr>
  </w:style>
  <w:style w:type="character" w:styleId="FollowedHyperlink">
    <w:name w:val="FollowedHyperlink"/>
    <w:basedOn w:val="DefaultParagraphFont"/>
    <w:uiPriority w:val="99"/>
    <w:semiHidden/>
    <w:unhideWhenUsed/>
    <w:rsid w:val="00CC2B01"/>
    <w:rPr>
      <w:color w:val="954F72" w:themeColor="followedHyperlink"/>
      <w:u w:val="single"/>
    </w:rPr>
  </w:style>
  <w:style w:type="paragraph" w:customStyle="1" w:styleId="Default">
    <w:name w:val="Default"/>
    <w:rsid w:val="00096316"/>
    <w:pPr>
      <w:autoSpaceDE w:val="0"/>
      <w:autoSpaceDN w:val="0"/>
      <w:adjustRightInd w:val="0"/>
    </w:pPr>
    <w:rPr>
      <w:rFonts w:ascii="Calibri" w:hAnsi="Calibri" w:cs="Calibri"/>
      <w:color w:val="000000"/>
      <w:sz w:val="24"/>
      <w:szCs w:val="24"/>
      <w:lang w:val="en-AU"/>
    </w:rPr>
  </w:style>
  <w:style w:type="paragraph" w:customStyle="1" w:styleId="pf0">
    <w:name w:val="pf0"/>
    <w:basedOn w:val="Normal"/>
    <w:rsid w:val="003019E3"/>
    <w:pPr>
      <w:spacing w:before="100" w:beforeAutospacing="1" w:after="100" w:afterAutospacing="1"/>
    </w:pPr>
    <w:rPr>
      <w:rFonts w:ascii="Times New Roman" w:eastAsia="Times New Roman" w:hAnsi="Times New Roman"/>
      <w:lang w:val="en-AU" w:eastAsia="en-AU"/>
    </w:rPr>
  </w:style>
  <w:style w:type="character" w:customStyle="1" w:styleId="cf01">
    <w:name w:val="cf01"/>
    <w:basedOn w:val="DefaultParagraphFont"/>
    <w:rsid w:val="003019E3"/>
    <w:rPr>
      <w:rFonts w:ascii="Segoe UI" w:hAnsi="Segoe UI" w:cs="Segoe UI" w:hint="default"/>
      <w:sz w:val="18"/>
      <w:szCs w:val="18"/>
    </w:rPr>
  </w:style>
  <w:style w:type="character" w:customStyle="1" w:styleId="cf11">
    <w:name w:val="cf11"/>
    <w:basedOn w:val="DefaultParagraphFont"/>
    <w:rsid w:val="003019E3"/>
    <w:rPr>
      <w:rFonts w:ascii="Segoe UI" w:hAnsi="Segoe UI" w:cs="Segoe UI" w:hint="default"/>
      <w:b/>
      <w:bCs/>
      <w:sz w:val="18"/>
      <w:szCs w:val="18"/>
    </w:rPr>
  </w:style>
  <w:style w:type="character" w:customStyle="1" w:styleId="cf21">
    <w:name w:val="cf21"/>
    <w:basedOn w:val="DefaultParagraphFont"/>
    <w:rsid w:val="003019E3"/>
    <w:rPr>
      <w:rFonts w:ascii="Segoe UI" w:hAnsi="Segoe UI" w:cs="Segoe UI" w:hint="default"/>
      <w:i/>
      <w:iCs/>
      <w:sz w:val="18"/>
      <w:szCs w:val="18"/>
    </w:rPr>
  </w:style>
  <w:style w:type="paragraph" w:customStyle="1" w:styleId="references">
    <w:name w:val="references"/>
    <w:basedOn w:val="Normal"/>
    <w:qFormat/>
    <w:rsid w:val="001A6F1C"/>
    <w:pPr>
      <w:spacing w:before="120" w:after="240"/>
      <w:ind w:left="720" w:hanging="720"/>
    </w:pPr>
    <w:rPr>
      <w:rFonts w:eastAsia="Times New Roman" w:cs="Arial"/>
      <w:lang w:eastAsia="en-AU"/>
    </w:rPr>
  </w:style>
  <w:style w:type="paragraph" w:customStyle="1" w:styleId="Pa18">
    <w:name w:val="Pa18"/>
    <w:basedOn w:val="Default"/>
    <w:next w:val="Default"/>
    <w:uiPriority w:val="99"/>
    <w:rsid w:val="0074110B"/>
    <w:pPr>
      <w:spacing w:line="171" w:lineRule="atLeast"/>
    </w:pPr>
    <w:rPr>
      <w:rFonts w:ascii="Atletico Medium" w:hAnsi="Atletico Medium" w:cs="Times New Roman"/>
      <w:color w:val="auto"/>
    </w:rPr>
  </w:style>
  <w:style w:type="paragraph" w:customStyle="1" w:styleId="Pa21">
    <w:name w:val="Pa21"/>
    <w:basedOn w:val="Default"/>
    <w:next w:val="Default"/>
    <w:uiPriority w:val="99"/>
    <w:rsid w:val="0074110B"/>
    <w:pPr>
      <w:spacing w:line="171" w:lineRule="atLeast"/>
    </w:pPr>
    <w:rPr>
      <w:rFonts w:ascii="Atletico Medium" w:hAnsi="Atletico Medium" w:cs="Times New Roman"/>
      <w:color w:val="auto"/>
    </w:rPr>
  </w:style>
  <w:style w:type="paragraph" w:customStyle="1" w:styleId="Pa12">
    <w:name w:val="Pa12"/>
    <w:basedOn w:val="Default"/>
    <w:next w:val="Default"/>
    <w:uiPriority w:val="99"/>
    <w:rsid w:val="0074110B"/>
    <w:pPr>
      <w:spacing w:line="171" w:lineRule="atLeast"/>
    </w:pPr>
    <w:rPr>
      <w:rFonts w:ascii="Atletico Medium" w:hAnsi="Atletico Medium" w:cs="Times New Roman"/>
      <w:color w:val="auto"/>
    </w:rPr>
  </w:style>
  <w:style w:type="table" w:styleId="ListTable4-Accent1">
    <w:name w:val="List Table 4 Accent 1"/>
    <w:basedOn w:val="TableNormal"/>
    <w:uiPriority w:val="49"/>
    <w:rsid w:val="00BF146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name">
    <w:name w:val="Table name"/>
    <w:basedOn w:val="Normal"/>
    <w:qFormat/>
    <w:rsid w:val="0055138C"/>
    <w:pPr>
      <w:spacing w:before="120" w:after="120"/>
    </w:pPr>
    <w:rPr>
      <w:b/>
      <w:i/>
      <w:iCs/>
      <w:sz w:val="20"/>
    </w:rPr>
  </w:style>
  <w:style w:type="paragraph" w:customStyle="1" w:styleId="tabletext">
    <w:name w:val="table text"/>
    <w:basedOn w:val="Normal"/>
    <w:qFormat/>
    <w:rsid w:val="005B470A"/>
    <w:rPr>
      <w:bCs/>
      <w:sz w:val="20"/>
    </w:rPr>
  </w:style>
  <w:style w:type="table" w:styleId="ListTable3-Accent5">
    <w:name w:val="List Table 3 Accent 5"/>
    <w:basedOn w:val="TableNormal"/>
    <w:uiPriority w:val="48"/>
    <w:rsid w:val="00E96E7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adcet">
    <w:name w:val="adcet"/>
    <w:basedOn w:val="TableNormal"/>
    <w:uiPriority w:val="99"/>
    <w:rsid w:val="00E96E73"/>
    <w:rPr>
      <w:rFonts w:ascii="Arial" w:hAnsi="Arial"/>
      <w:sz w:val="22"/>
    </w:rPr>
    <w:tblPr/>
  </w:style>
  <w:style w:type="table" w:customStyle="1" w:styleId="adcet1">
    <w:name w:val="adcet1"/>
    <w:basedOn w:val="TableNormal"/>
    <w:uiPriority w:val="99"/>
    <w:rsid w:val="00642319"/>
    <w:rPr>
      <w:rFonts w:ascii="Arial" w:hAnsi="Arial"/>
      <w:sz w:val="22"/>
    </w:rPr>
    <w:tblP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Pr>
  </w:style>
  <w:style w:type="paragraph" w:customStyle="1" w:styleId="xmsonormal">
    <w:name w:val="x_msonormal"/>
    <w:basedOn w:val="Normal"/>
    <w:rsid w:val="0030543D"/>
    <w:pPr>
      <w:spacing w:before="100" w:beforeAutospacing="1" w:after="100" w:afterAutospacing="1"/>
    </w:pPr>
    <w:rPr>
      <w:rFonts w:ascii="Times New Roman" w:eastAsia="Times New Roman" w:hAnsi="Times New Roman"/>
      <w:lang w:val="en-AU" w:eastAsia="en-AU"/>
    </w:rPr>
  </w:style>
  <w:style w:type="paragraph" w:customStyle="1" w:styleId="Pa11">
    <w:name w:val="Pa11"/>
    <w:basedOn w:val="Default"/>
    <w:next w:val="Default"/>
    <w:uiPriority w:val="99"/>
    <w:rsid w:val="008A1C9C"/>
    <w:pPr>
      <w:spacing w:line="191" w:lineRule="atLeast"/>
    </w:pPr>
    <w:rPr>
      <w:rFonts w:ascii="Myriad Pro" w:hAnsi="Myriad Pro" w:cs="Times New Roman"/>
      <w:color w:val="auto"/>
    </w:rPr>
  </w:style>
  <w:style w:type="paragraph" w:customStyle="1" w:styleId="Recommendation">
    <w:name w:val="Recommendation"/>
    <w:basedOn w:val="Normal"/>
    <w:qFormat/>
    <w:rsid w:val="00262F55"/>
    <w:pPr>
      <w:pBdr>
        <w:top w:val="single" w:sz="24" w:space="1" w:color="F2F2F2" w:themeColor="background1" w:themeShade="F2"/>
        <w:left w:val="single" w:sz="24" w:space="4" w:color="F2F2F2" w:themeColor="background1" w:themeShade="F2"/>
        <w:bottom w:val="single" w:sz="24" w:space="1" w:color="F2F2F2" w:themeColor="background1" w:themeShade="F2"/>
        <w:right w:val="single" w:sz="24" w:space="4" w:color="F2F2F2" w:themeColor="background1" w:themeShade="F2"/>
      </w:pBdr>
      <w:shd w:val="clear" w:color="auto" w:fill="F2F2F2" w:themeFill="background1" w:themeFillShade="F2"/>
      <w:spacing w:before="120" w:after="120"/>
    </w:pPr>
    <w:rPr>
      <w:b/>
      <w:i/>
      <w:color w:val="2F5496" w:themeColor="accent1" w:themeShade="BF"/>
    </w:rPr>
  </w:style>
  <w:style w:type="character" w:customStyle="1" w:styleId="A7">
    <w:name w:val="A7"/>
    <w:uiPriority w:val="99"/>
    <w:rsid w:val="0061348E"/>
    <w:rPr>
      <w:rFonts w:cs="Myriad Pro"/>
      <w:color w:val="000000"/>
      <w:sz w:val="11"/>
      <w:szCs w:val="11"/>
    </w:rPr>
  </w:style>
  <w:style w:type="paragraph" w:customStyle="1" w:styleId="pf1">
    <w:name w:val="pf1"/>
    <w:basedOn w:val="Normal"/>
    <w:rsid w:val="00A92654"/>
    <w:pPr>
      <w:spacing w:before="100" w:beforeAutospacing="1" w:after="100" w:afterAutospacing="1"/>
    </w:pPr>
    <w:rPr>
      <w:rFonts w:ascii="Times New Roman" w:eastAsia="Times New Roman" w:hAnsi="Times New Roman"/>
      <w:lang w:val="en-AU" w:eastAsia="en-AU"/>
    </w:rPr>
  </w:style>
  <w:style w:type="paragraph" w:customStyle="1" w:styleId="pf2">
    <w:name w:val="pf2"/>
    <w:basedOn w:val="Normal"/>
    <w:rsid w:val="00A92654"/>
    <w:pPr>
      <w:spacing w:before="100" w:beforeAutospacing="1" w:after="100" w:afterAutospacing="1"/>
      <w:ind w:left="720"/>
    </w:pPr>
    <w:rPr>
      <w:rFonts w:ascii="Times New Roman" w:eastAsia="Times New Roman" w:hAnsi="Times New Roman"/>
      <w:lang w:val="en-AU" w:eastAsia="en-AU"/>
    </w:rPr>
  </w:style>
  <w:style w:type="paragraph" w:styleId="NoSpacing">
    <w:name w:val="No Spacing"/>
    <w:uiPriority w:val="1"/>
    <w:qFormat/>
    <w:rsid w:val="00B519BC"/>
    <w:rPr>
      <w:rFonts w:ascii="Arial" w:eastAsiaTheme="minorEastAsia" w:hAnsi="Arial"/>
      <w:sz w:val="24"/>
      <w:szCs w:val="24"/>
    </w:rPr>
  </w:style>
  <w:style w:type="table" w:styleId="GridTable4-Accent3">
    <w:name w:val="Grid Table 4 Accent 3"/>
    <w:basedOn w:val="TableNormal"/>
    <w:uiPriority w:val="49"/>
    <w:rsid w:val="00CC321D"/>
    <w:rPr>
      <w:rFonts w:asciiTheme="minorHAnsi" w:eastAsiaTheme="minorHAnsi" w:hAnsiTheme="minorHAnsi" w:cstheme="minorBidi"/>
      <w:sz w:val="22"/>
      <w:szCs w:val="22"/>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ulletlistnospaces">
    <w:name w:val="Bullet list no spaces"/>
    <w:next w:val="Default"/>
    <w:qFormat/>
    <w:rsid w:val="006E0664"/>
    <w:pPr>
      <w:numPr>
        <w:numId w:val="3"/>
      </w:numPr>
      <w:spacing w:after="160" w:line="259" w:lineRule="auto"/>
      <w:ind w:left="360"/>
      <w:contextualSpacing/>
    </w:pPr>
    <w:rPr>
      <w:rFonts w:ascii="Arial" w:eastAsia="Arial" w:hAnsi="Arial" w:cs="Arial"/>
      <w:sz w:val="22"/>
    </w:rPr>
  </w:style>
  <w:style w:type="paragraph" w:customStyle="1" w:styleId="numberpara">
    <w:name w:val="number para"/>
    <w:basedOn w:val="ListParagraph"/>
    <w:qFormat/>
    <w:rsid w:val="008A6107"/>
    <w:pPr>
      <w:numPr>
        <w:numId w:val="4"/>
      </w:numPr>
      <w:ind w:left="284"/>
    </w:pPr>
    <w:rPr>
      <w:b/>
      <w:bCs/>
    </w:rPr>
  </w:style>
  <w:style w:type="paragraph" w:customStyle="1" w:styleId="bullet2">
    <w:name w:val="bullet 2"/>
    <w:basedOn w:val="bullettedlist"/>
    <w:qFormat/>
    <w:rsid w:val="00172479"/>
    <w:pPr>
      <w:numPr>
        <w:ilvl w:val="1"/>
      </w:numPr>
      <w:ind w:left="851" w:hanging="284"/>
    </w:pPr>
    <w:rPr>
      <w:lang w:val="en-AU" w:eastAsia="en-AU"/>
    </w:rPr>
  </w:style>
  <w:style w:type="table" w:styleId="GridTable4">
    <w:name w:val="Grid Table 4"/>
    <w:basedOn w:val="TableNormal"/>
    <w:uiPriority w:val="49"/>
    <w:rsid w:val="009E2B83"/>
    <w:rPr>
      <w:lang w:val="en-AU"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E2B83"/>
    <w:rPr>
      <w:rFonts w:asciiTheme="minorHAnsi" w:eastAsiaTheme="minorHAnsi" w:hAnsiTheme="minorHAnsi" w:cstheme="minorBidi"/>
      <w:sz w:val="22"/>
      <w:szCs w:val="22"/>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ectionheading1">
    <w:name w:val="Section heading 1"/>
    <w:basedOn w:val="Normal"/>
    <w:link w:val="Sectionheading1Char"/>
    <w:qFormat/>
    <w:rsid w:val="009E2B83"/>
    <w:pPr>
      <w:keepNext/>
      <w:spacing w:after="160" w:line="259" w:lineRule="auto"/>
    </w:pPr>
    <w:rPr>
      <w:rFonts w:cstheme="minorBidi"/>
      <w:sz w:val="28"/>
      <w:szCs w:val="28"/>
      <w:lang w:val="en-AU" w:eastAsia="zh-CN"/>
    </w:rPr>
  </w:style>
  <w:style w:type="character" w:customStyle="1" w:styleId="Sectionheading1Char">
    <w:name w:val="Section heading 1 Char"/>
    <w:basedOn w:val="DefaultParagraphFont"/>
    <w:link w:val="Sectionheading1"/>
    <w:rsid w:val="009E2B83"/>
    <w:rPr>
      <w:rFonts w:ascii="Arial" w:eastAsiaTheme="minorEastAsia" w:hAnsi="Arial" w:cstheme="minorBidi"/>
      <w:sz w:val="28"/>
      <w:szCs w:val="28"/>
      <w:lang w:val="en-AU" w:eastAsia="zh-CN"/>
    </w:rPr>
  </w:style>
  <w:style w:type="paragraph" w:styleId="BodyText">
    <w:name w:val="Body Text"/>
    <w:basedOn w:val="Normal"/>
    <w:link w:val="BodyTextChar"/>
    <w:uiPriority w:val="1"/>
    <w:qFormat/>
    <w:rsid w:val="009E2B83"/>
    <w:pPr>
      <w:widowControl w:val="0"/>
      <w:autoSpaceDE w:val="0"/>
      <w:autoSpaceDN w:val="0"/>
    </w:pPr>
    <w:rPr>
      <w:rFonts w:eastAsia="Arial" w:cs="Arial"/>
      <w:sz w:val="20"/>
      <w:szCs w:val="20"/>
    </w:rPr>
  </w:style>
  <w:style w:type="character" w:customStyle="1" w:styleId="BodyTextChar">
    <w:name w:val="Body Text Char"/>
    <w:basedOn w:val="DefaultParagraphFont"/>
    <w:link w:val="BodyText"/>
    <w:uiPriority w:val="1"/>
    <w:rsid w:val="009E2B83"/>
    <w:rPr>
      <w:rFonts w:ascii="Arial" w:eastAsia="Arial" w:hAnsi="Arial" w:cs="Arial"/>
    </w:rPr>
  </w:style>
  <w:style w:type="table" w:styleId="GridTable2-Accent1">
    <w:name w:val="Grid Table 2 Accent 1"/>
    <w:basedOn w:val="TableNormal"/>
    <w:uiPriority w:val="47"/>
    <w:rsid w:val="009E2B83"/>
    <w:rPr>
      <w:rFonts w:asciiTheme="minorHAnsi" w:eastAsiaTheme="minorEastAsia" w:hAnsiTheme="minorHAnsi" w:cstheme="minorBidi"/>
      <w:sz w:val="22"/>
      <w:szCs w:val="22"/>
      <w:lang w:val="en-AU" w:eastAsia="zh-CN"/>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9E2B83"/>
    <w:rPr>
      <w:rFonts w:asciiTheme="minorHAnsi" w:eastAsiaTheme="minorEastAsia" w:hAnsiTheme="minorHAnsi" w:cstheme="minorBidi"/>
      <w:sz w:val="22"/>
      <w:szCs w:val="22"/>
      <w:lang w:val="en-AU" w:eastAsia="zh-C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ablesandfigures">
    <w:name w:val="tables and figures"/>
    <w:basedOn w:val="Normal"/>
    <w:qFormat/>
    <w:rsid w:val="009E2B83"/>
    <w:pPr>
      <w:keepNext/>
      <w:spacing w:after="160" w:line="259" w:lineRule="auto"/>
    </w:pPr>
    <w:rPr>
      <w:rFonts w:cs="Calibri"/>
      <w:b/>
      <w:i/>
      <w:color w:val="000000"/>
      <w:sz w:val="20"/>
      <w:szCs w:val="22"/>
      <w:shd w:val="clear" w:color="auto" w:fill="FFFFFF"/>
      <w:lang w:val="en-AU" w:eastAsia="zh-CN"/>
    </w:rPr>
  </w:style>
  <w:style w:type="paragraph" w:customStyle="1" w:styleId="Listparasecondlevel">
    <w:name w:val="List para second level"/>
    <w:next w:val="Default"/>
    <w:qFormat/>
    <w:rsid w:val="009E2B83"/>
    <w:pPr>
      <w:numPr>
        <w:ilvl w:val="1"/>
        <w:numId w:val="5"/>
      </w:numPr>
      <w:spacing w:line="259" w:lineRule="auto"/>
      <w:ind w:left="1077" w:hanging="357"/>
    </w:pPr>
    <w:rPr>
      <w:rFonts w:ascii="Arial" w:eastAsiaTheme="minorEastAsia" w:hAnsi="Arial" w:cstheme="minorBidi"/>
      <w:bCs/>
      <w:sz w:val="22"/>
      <w:szCs w:val="22"/>
      <w:lang w:val="en-AU"/>
    </w:rPr>
  </w:style>
  <w:style w:type="paragraph" w:styleId="Caption">
    <w:name w:val="caption"/>
    <w:basedOn w:val="Normal"/>
    <w:next w:val="Normal"/>
    <w:uiPriority w:val="35"/>
    <w:unhideWhenUsed/>
    <w:qFormat/>
    <w:rsid w:val="009E2B83"/>
    <w:pPr>
      <w:spacing w:after="200"/>
    </w:pPr>
    <w:rPr>
      <w:rFonts w:cstheme="minorBidi"/>
      <w:b/>
      <w:i/>
      <w:iCs/>
      <w:sz w:val="20"/>
      <w:szCs w:val="18"/>
      <w:lang w:val="en-AU" w:eastAsia="zh-CN"/>
    </w:rPr>
  </w:style>
  <w:style w:type="paragraph" w:customStyle="1" w:styleId="Tabletext0">
    <w:name w:val="Table text"/>
    <w:basedOn w:val="Tablelist"/>
    <w:qFormat/>
    <w:rsid w:val="009E2B83"/>
    <w:pPr>
      <w:numPr>
        <w:numId w:val="0"/>
      </w:numPr>
    </w:pPr>
    <w:rPr>
      <w:bCs/>
    </w:rPr>
  </w:style>
  <w:style w:type="paragraph" w:customStyle="1" w:styleId="numberlist">
    <w:name w:val="number list"/>
    <w:basedOn w:val="Normal"/>
    <w:next w:val="Normal"/>
    <w:qFormat/>
    <w:rsid w:val="009E2B83"/>
    <w:pPr>
      <w:numPr>
        <w:numId w:val="6"/>
      </w:numPr>
      <w:spacing w:after="160" w:line="250" w:lineRule="auto"/>
      <w:contextualSpacing/>
    </w:pPr>
    <w:rPr>
      <w:rFonts w:cstheme="minorBidi"/>
      <w:sz w:val="22"/>
      <w:szCs w:val="22"/>
      <w:lang w:val="en-AU" w:eastAsia="zh-CN"/>
    </w:rPr>
  </w:style>
  <w:style w:type="paragraph" w:customStyle="1" w:styleId="Tablelist">
    <w:name w:val="Table list"/>
    <w:basedOn w:val="Normal"/>
    <w:rsid w:val="009E2B83"/>
    <w:pPr>
      <w:numPr>
        <w:numId w:val="5"/>
      </w:numPr>
      <w:ind w:left="284" w:hanging="284"/>
      <w:contextualSpacing/>
    </w:pPr>
    <w:rPr>
      <w:rFonts w:cstheme="minorBidi"/>
      <w:sz w:val="21"/>
      <w:szCs w:val="22"/>
      <w:lang w:val="en-AU" w:eastAsia="en-AU"/>
    </w:rPr>
  </w:style>
  <w:style w:type="paragraph" w:styleId="IntenseQuote">
    <w:name w:val="Intense Quote"/>
    <w:basedOn w:val="Normal"/>
    <w:next w:val="Normal"/>
    <w:link w:val="IntenseQuoteChar"/>
    <w:uiPriority w:val="30"/>
    <w:qFormat/>
    <w:rsid w:val="009E2B83"/>
    <w:pPr>
      <w:pBdr>
        <w:top w:val="single" w:sz="4" w:space="10" w:color="4472C4" w:themeColor="accent1"/>
        <w:bottom w:val="single" w:sz="4" w:space="10" w:color="4472C4" w:themeColor="accent1"/>
      </w:pBdr>
      <w:spacing w:before="360" w:after="360" w:line="259" w:lineRule="auto"/>
      <w:ind w:left="864" w:right="864"/>
      <w:jc w:val="center"/>
    </w:pPr>
    <w:rPr>
      <w:rFonts w:cstheme="minorBidi"/>
      <w:i/>
      <w:iCs/>
      <w:color w:val="4472C4" w:themeColor="accent1"/>
      <w:sz w:val="22"/>
      <w:szCs w:val="22"/>
      <w:lang w:val="en-AU" w:eastAsia="zh-CN"/>
    </w:rPr>
  </w:style>
  <w:style w:type="character" w:customStyle="1" w:styleId="IntenseQuoteChar">
    <w:name w:val="Intense Quote Char"/>
    <w:basedOn w:val="DefaultParagraphFont"/>
    <w:link w:val="IntenseQuote"/>
    <w:uiPriority w:val="30"/>
    <w:rsid w:val="009E2B83"/>
    <w:rPr>
      <w:rFonts w:ascii="Arial" w:eastAsiaTheme="minorEastAsia" w:hAnsi="Arial" w:cstheme="minorBidi"/>
      <w:i/>
      <w:iCs/>
      <w:color w:val="4472C4" w:themeColor="accent1"/>
      <w:sz w:val="22"/>
      <w:szCs w:val="22"/>
      <w:lang w:val="en-AU" w:eastAsia="zh-CN"/>
    </w:rPr>
  </w:style>
  <w:style w:type="paragraph" w:styleId="Quote">
    <w:name w:val="Quote"/>
    <w:basedOn w:val="Normal"/>
    <w:next w:val="Normal"/>
    <w:link w:val="QuoteChar"/>
    <w:uiPriority w:val="29"/>
    <w:qFormat/>
    <w:rsid w:val="009E2B83"/>
    <w:pPr>
      <w:pBdr>
        <w:left w:val="single" w:sz="12" w:space="4" w:color="4472C4" w:themeColor="accent1"/>
      </w:pBdr>
      <w:spacing w:before="200" w:after="120"/>
      <w:ind w:left="720" w:right="862"/>
      <w:contextualSpacing/>
    </w:pPr>
    <w:rPr>
      <w:rFonts w:cstheme="minorBidi"/>
      <w:i/>
      <w:iCs/>
      <w:color w:val="4472C4" w:themeColor="accent1"/>
      <w:sz w:val="22"/>
      <w:szCs w:val="22"/>
      <w:lang w:val="en-AU" w:eastAsia="zh-CN"/>
    </w:rPr>
  </w:style>
  <w:style w:type="character" w:customStyle="1" w:styleId="QuoteChar">
    <w:name w:val="Quote Char"/>
    <w:basedOn w:val="DefaultParagraphFont"/>
    <w:link w:val="Quote"/>
    <w:uiPriority w:val="29"/>
    <w:rsid w:val="009E2B83"/>
    <w:rPr>
      <w:rFonts w:ascii="Arial" w:eastAsiaTheme="minorEastAsia" w:hAnsi="Arial" w:cstheme="minorBidi"/>
      <w:i/>
      <w:iCs/>
      <w:color w:val="4472C4" w:themeColor="accent1"/>
      <w:sz w:val="22"/>
      <w:szCs w:val="22"/>
      <w:lang w:val="en-AU" w:eastAsia="zh-CN"/>
    </w:rPr>
  </w:style>
  <w:style w:type="character" w:customStyle="1" w:styleId="pagebreaktextspan">
    <w:name w:val="pagebreaktextspan"/>
    <w:basedOn w:val="DefaultParagraphFont"/>
    <w:rsid w:val="009E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188">
      <w:bodyDiv w:val="1"/>
      <w:marLeft w:val="0"/>
      <w:marRight w:val="0"/>
      <w:marTop w:val="0"/>
      <w:marBottom w:val="0"/>
      <w:divBdr>
        <w:top w:val="none" w:sz="0" w:space="0" w:color="auto"/>
        <w:left w:val="none" w:sz="0" w:space="0" w:color="auto"/>
        <w:bottom w:val="none" w:sz="0" w:space="0" w:color="auto"/>
        <w:right w:val="none" w:sz="0" w:space="0" w:color="auto"/>
      </w:divBdr>
    </w:div>
    <w:div w:id="108865630">
      <w:bodyDiv w:val="1"/>
      <w:marLeft w:val="0"/>
      <w:marRight w:val="0"/>
      <w:marTop w:val="0"/>
      <w:marBottom w:val="0"/>
      <w:divBdr>
        <w:top w:val="none" w:sz="0" w:space="0" w:color="auto"/>
        <w:left w:val="none" w:sz="0" w:space="0" w:color="auto"/>
        <w:bottom w:val="none" w:sz="0" w:space="0" w:color="auto"/>
        <w:right w:val="none" w:sz="0" w:space="0" w:color="auto"/>
      </w:divBdr>
      <w:divsChild>
        <w:div w:id="992418256">
          <w:marLeft w:val="0"/>
          <w:marRight w:val="0"/>
          <w:marTop w:val="0"/>
          <w:marBottom w:val="0"/>
          <w:divBdr>
            <w:top w:val="none" w:sz="0" w:space="0" w:color="auto"/>
            <w:left w:val="none" w:sz="0" w:space="0" w:color="auto"/>
            <w:bottom w:val="none" w:sz="0" w:space="0" w:color="auto"/>
            <w:right w:val="none" w:sz="0" w:space="0" w:color="auto"/>
          </w:divBdr>
        </w:div>
        <w:div w:id="1547185505">
          <w:marLeft w:val="0"/>
          <w:marRight w:val="0"/>
          <w:marTop w:val="0"/>
          <w:marBottom w:val="0"/>
          <w:divBdr>
            <w:top w:val="none" w:sz="0" w:space="0" w:color="auto"/>
            <w:left w:val="none" w:sz="0" w:space="0" w:color="auto"/>
            <w:bottom w:val="none" w:sz="0" w:space="0" w:color="auto"/>
            <w:right w:val="none" w:sz="0" w:space="0" w:color="auto"/>
          </w:divBdr>
        </w:div>
      </w:divsChild>
    </w:div>
    <w:div w:id="124781659">
      <w:bodyDiv w:val="1"/>
      <w:marLeft w:val="0"/>
      <w:marRight w:val="0"/>
      <w:marTop w:val="0"/>
      <w:marBottom w:val="0"/>
      <w:divBdr>
        <w:top w:val="none" w:sz="0" w:space="0" w:color="auto"/>
        <w:left w:val="none" w:sz="0" w:space="0" w:color="auto"/>
        <w:bottom w:val="none" w:sz="0" w:space="0" w:color="auto"/>
        <w:right w:val="none" w:sz="0" w:space="0" w:color="auto"/>
      </w:divBdr>
    </w:div>
    <w:div w:id="175732084">
      <w:bodyDiv w:val="1"/>
      <w:marLeft w:val="0"/>
      <w:marRight w:val="0"/>
      <w:marTop w:val="0"/>
      <w:marBottom w:val="0"/>
      <w:divBdr>
        <w:top w:val="none" w:sz="0" w:space="0" w:color="auto"/>
        <w:left w:val="none" w:sz="0" w:space="0" w:color="auto"/>
        <w:bottom w:val="none" w:sz="0" w:space="0" w:color="auto"/>
        <w:right w:val="none" w:sz="0" w:space="0" w:color="auto"/>
      </w:divBdr>
    </w:div>
    <w:div w:id="202058815">
      <w:bodyDiv w:val="1"/>
      <w:marLeft w:val="0"/>
      <w:marRight w:val="0"/>
      <w:marTop w:val="0"/>
      <w:marBottom w:val="0"/>
      <w:divBdr>
        <w:top w:val="none" w:sz="0" w:space="0" w:color="auto"/>
        <w:left w:val="none" w:sz="0" w:space="0" w:color="auto"/>
        <w:bottom w:val="none" w:sz="0" w:space="0" w:color="auto"/>
        <w:right w:val="none" w:sz="0" w:space="0" w:color="auto"/>
      </w:divBdr>
    </w:div>
    <w:div w:id="248470088">
      <w:bodyDiv w:val="1"/>
      <w:marLeft w:val="0"/>
      <w:marRight w:val="0"/>
      <w:marTop w:val="0"/>
      <w:marBottom w:val="0"/>
      <w:divBdr>
        <w:top w:val="none" w:sz="0" w:space="0" w:color="auto"/>
        <w:left w:val="none" w:sz="0" w:space="0" w:color="auto"/>
        <w:bottom w:val="none" w:sz="0" w:space="0" w:color="auto"/>
        <w:right w:val="none" w:sz="0" w:space="0" w:color="auto"/>
      </w:divBdr>
    </w:div>
    <w:div w:id="271594715">
      <w:bodyDiv w:val="1"/>
      <w:marLeft w:val="0"/>
      <w:marRight w:val="0"/>
      <w:marTop w:val="0"/>
      <w:marBottom w:val="0"/>
      <w:divBdr>
        <w:top w:val="none" w:sz="0" w:space="0" w:color="auto"/>
        <w:left w:val="none" w:sz="0" w:space="0" w:color="auto"/>
        <w:bottom w:val="none" w:sz="0" w:space="0" w:color="auto"/>
        <w:right w:val="none" w:sz="0" w:space="0" w:color="auto"/>
      </w:divBdr>
    </w:div>
    <w:div w:id="341517964">
      <w:bodyDiv w:val="1"/>
      <w:marLeft w:val="0"/>
      <w:marRight w:val="0"/>
      <w:marTop w:val="0"/>
      <w:marBottom w:val="0"/>
      <w:divBdr>
        <w:top w:val="none" w:sz="0" w:space="0" w:color="auto"/>
        <w:left w:val="none" w:sz="0" w:space="0" w:color="auto"/>
        <w:bottom w:val="none" w:sz="0" w:space="0" w:color="auto"/>
        <w:right w:val="none" w:sz="0" w:space="0" w:color="auto"/>
      </w:divBdr>
    </w:div>
    <w:div w:id="498083515">
      <w:bodyDiv w:val="1"/>
      <w:marLeft w:val="0"/>
      <w:marRight w:val="0"/>
      <w:marTop w:val="0"/>
      <w:marBottom w:val="0"/>
      <w:divBdr>
        <w:top w:val="none" w:sz="0" w:space="0" w:color="auto"/>
        <w:left w:val="none" w:sz="0" w:space="0" w:color="auto"/>
        <w:bottom w:val="none" w:sz="0" w:space="0" w:color="auto"/>
        <w:right w:val="none" w:sz="0" w:space="0" w:color="auto"/>
      </w:divBdr>
    </w:div>
    <w:div w:id="502277208">
      <w:bodyDiv w:val="1"/>
      <w:marLeft w:val="0"/>
      <w:marRight w:val="0"/>
      <w:marTop w:val="0"/>
      <w:marBottom w:val="0"/>
      <w:divBdr>
        <w:top w:val="none" w:sz="0" w:space="0" w:color="auto"/>
        <w:left w:val="none" w:sz="0" w:space="0" w:color="auto"/>
        <w:bottom w:val="none" w:sz="0" w:space="0" w:color="auto"/>
        <w:right w:val="none" w:sz="0" w:space="0" w:color="auto"/>
      </w:divBdr>
      <w:divsChild>
        <w:div w:id="664434513">
          <w:marLeft w:val="0"/>
          <w:marRight w:val="0"/>
          <w:marTop w:val="0"/>
          <w:marBottom w:val="0"/>
          <w:divBdr>
            <w:top w:val="none" w:sz="0" w:space="0" w:color="auto"/>
            <w:left w:val="none" w:sz="0" w:space="0" w:color="auto"/>
            <w:bottom w:val="none" w:sz="0" w:space="0" w:color="auto"/>
            <w:right w:val="none" w:sz="0" w:space="0" w:color="auto"/>
          </w:divBdr>
        </w:div>
        <w:div w:id="1399591206">
          <w:marLeft w:val="0"/>
          <w:marRight w:val="0"/>
          <w:marTop w:val="0"/>
          <w:marBottom w:val="0"/>
          <w:divBdr>
            <w:top w:val="none" w:sz="0" w:space="0" w:color="auto"/>
            <w:left w:val="none" w:sz="0" w:space="0" w:color="auto"/>
            <w:bottom w:val="none" w:sz="0" w:space="0" w:color="auto"/>
            <w:right w:val="none" w:sz="0" w:space="0" w:color="auto"/>
          </w:divBdr>
        </w:div>
        <w:div w:id="1653365345">
          <w:marLeft w:val="0"/>
          <w:marRight w:val="0"/>
          <w:marTop w:val="0"/>
          <w:marBottom w:val="0"/>
          <w:divBdr>
            <w:top w:val="none" w:sz="0" w:space="0" w:color="auto"/>
            <w:left w:val="none" w:sz="0" w:space="0" w:color="auto"/>
            <w:bottom w:val="none" w:sz="0" w:space="0" w:color="auto"/>
            <w:right w:val="none" w:sz="0" w:space="0" w:color="auto"/>
          </w:divBdr>
        </w:div>
        <w:div w:id="1690259795">
          <w:marLeft w:val="0"/>
          <w:marRight w:val="0"/>
          <w:marTop w:val="0"/>
          <w:marBottom w:val="0"/>
          <w:divBdr>
            <w:top w:val="none" w:sz="0" w:space="0" w:color="auto"/>
            <w:left w:val="none" w:sz="0" w:space="0" w:color="auto"/>
            <w:bottom w:val="none" w:sz="0" w:space="0" w:color="auto"/>
            <w:right w:val="none" w:sz="0" w:space="0" w:color="auto"/>
          </w:divBdr>
        </w:div>
        <w:div w:id="1775902341">
          <w:marLeft w:val="0"/>
          <w:marRight w:val="0"/>
          <w:marTop w:val="0"/>
          <w:marBottom w:val="0"/>
          <w:divBdr>
            <w:top w:val="none" w:sz="0" w:space="0" w:color="auto"/>
            <w:left w:val="none" w:sz="0" w:space="0" w:color="auto"/>
            <w:bottom w:val="none" w:sz="0" w:space="0" w:color="auto"/>
            <w:right w:val="none" w:sz="0" w:space="0" w:color="auto"/>
          </w:divBdr>
        </w:div>
        <w:div w:id="1831216928">
          <w:marLeft w:val="0"/>
          <w:marRight w:val="0"/>
          <w:marTop w:val="0"/>
          <w:marBottom w:val="0"/>
          <w:divBdr>
            <w:top w:val="none" w:sz="0" w:space="0" w:color="auto"/>
            <w:left w:val="none" w:sz="0" w:space="0" w:color="auto"/>
            <w:bottom w:val="none" w:sz="0" w:space="0" w:color="auto"/>
            <w:right w:val="none" w:sz="0" w:space="0" w:color="auto"/>
          </w:divBdr>
        </w:div>
        <w:div w:id="2036345204">
          <w:marLeft w:val="0"/>
          <w:marRight w:val="0"/>
          <w:marTop w:val="0"/>
          <w:marBottom w:val="0"/>
          <w:divBdr>
            <w:top w:val="none" w:sz="0" w:space="0" w:color="auto"/>
            <w:left w:val="none" w:sz="0" w:space="0" w:color="auto"/>
            <w:bottom w:val="none" w:sz="0" w:space="0" w:color="auto"/>
            <w:right w:val="none" w:sz="0" w:space="0" w:color="auto"/>
          </w:divBdr>
        </w:div>
        <w:div w:id="2101750131">
          <w:marLeft w:val="0"/>
          <w:marRight w:val="0"/>
          <w:marTop w:val="0"/>
          <w:marBottom w:val="0"/>
          <w:divBdr>
            <w:top w:val="none" w:sz="0" w:space="0" w:color="auto"/>
            <w:left w:val="none" w:sz="0" w:space="0" w:color="auto"/>
            <w:bottom w:val="none" w:sz="0" w:space="0" w:color="auto"/>
            <w:right w:val="none" w:sz="0" w:space="0" w:color="auto"/>
          </w:divBdr>
        </w:div>
        <w:div w:id="2128311041">
          <w:marLeft w:val="0"/>
          <w:marRight w:val="0"/>
          <w:marTop w:val="0"/>
          <w:marBottom w:val="0"/>
          <w:divBdr>
            <w:top w:val="none" w:sz="0" w:space="0" w:color="auto"/>
            <w:left w:val="none" w:sz="0" w:space="0" w:color="auto"/>
            <w:bottom w:val="none" w:sz="0" w:space="0" w:color="auto"/>
            <w:right w:val="none" w:sz="0" w:space="0" w:color="auto"/>
          </w:divBdr>
        </w:div>
      </w:divsChild>
    </w:div>
    <w:div w:id="551775504">
      <w:bodyDiv w:val="1"/>
      <w:marLeft w:val="0"/>
      <w:marRight w:val="0"/>
      <w:marTop w:val="0"/>
      <w:marBottom w:val="0"/>
      <w:divBdr>
        <w:top w:val="none" w:sz="0" w:space="0" w:color="auto"/>
        <w:left w:val="none" w:sz="0" w:space="0" w:color="auto"/>
        <w:bottom w:val="none" w:sz="0" w:space="0" w:color="auto"/>
        <w:right w:val="none" w:sz="0" w:space="0" w:color="auto"/>
      </w:divBdr>
    </w:div>
    <w:div w:id="611254862">
      <w:bodyDiv w:val="1"/>
      <w:marLeft w:val="0"/>
      <w:marRight w:val="0"/>
      <w:marTop w:val="0"/>
      <w:marBottom w:val="0"/>
      <w:divBdr>
        <w:top w:val="none" w:sz="0" w:space="0" w:color="auto"/>
        <w:left w:val="none" w:sz="0" w:space="0" w:color="auto"/>
        <w:bottom w:val="none" w:sz="0" w:space="0" w:color="auto"/>
        <w:right w:val="none" w:sz="0" w:space="0" w:color="auto"/>
      </w:divBdr>
      <w:divsChild>
        <w:div w:id="2024555070">
          <w:marLeft w:val="0"/>
          <w:marRight w:val="0"/>
          <w:marTop w:val="0"/>
          <w:marBottom w:val="0"/>
          <w:divBdr>
            <w:top w:val="none" w:sz="0" w:space="0" w:color="auto"/>
            <w:left w:val="none" w:sz="0" w:space="0" w:color="auto"/>
            <w:bottom w:val="none" w:sz="0" w:space="0" w:color="auto"/>
            <w:right w:val="none" w:sz="0" w:space="0" w:color="auto"/>
          </w:divBdr>
          <w:divsChild>
            <w:div w:id="1757090166">
              <w:marLeft w:val="0"/>
              <w:marRight w:val="0"/>
              <w:marTop w:val="0"/>
              <w:marBottom w:val="0"/>
              <w:divBdr>
                <w:top w:val="none" w:sz="0" w:space="0" w:color="auto"/>
                <w:left w:val="none" w:sz="0" w:space="0" w:color="auto"/>
                <w:bottom w:val="none" w:sz="0" w:space="0" w:color="auto"/>
                <w:right w:val="none" w:sz="0" w:space="0" w:color="auto"/>
              </w:divBdr>
              <w:divsChild>
                <w:div w:id="1814173093">
                  <w:marLeft w:val="0"/>
                  <w:marRight w:val="0"/>
                  <w:marTop w:val="0"/>
                  <w:marBottom w:val="0"/>
                  <w:divBdr>
                    <w:top w:val="none" w:sz="0" w:space="0" w:color="auto"/>
                    <w:left w:val="none" w:sz="0" w:space="0" w:color="auto"/>
                    <w:bottom w:val="none" w:sz="0" w:space="0" w:color="auto"/>
                    <w:right w:val="none" w:sz="0" w:space="0" w:color="auto"/>
                  </w:divBdr>
                  <w:divsChild>
                    <w:div w:id="15075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23177">
      <w:bodyDiv w:val="1"/>
      <w:marLeft w:val="0"/>
      <w:marRight w:val="0"/>
      <w:marTop w:val="0"/>
      <w:marBottom w:val="0"/>
      <w:divBdr>
        <w:top w:val="none" w:sz="0" w:space="0" w:color="auto"/>
        <w:left w:val="none" w:sz="0" w:space="0" w:color="auto"/>
        <w:bottom w:val="none" w:sz="0" w:space="0" w:color="auto"/>
        <w:right w:val="none" w:sz="0" w:space="0" w:color="auto"/>
      </w:divBdr>
    </w:div>
    <w:div w:id="685447957">
      <w:bodyDiv w:val="1"/>
      <w:marLeft w:val="0"/>
      <w:marRight w:val="0"/>
      <w:marTop w:val="0"/>
      <w:marBottom w:val="0"/>
      <w:divBdr>
        <w:top w:val="none" w:sz="0" w:space="0" w:color="auto"/>
        <w:left w:val="none" w:sz="0" w:space="0" w:color="auto"/>
        <w:bottom w:val="none" w:sz="0" w:space="0" w:color="auto"/>
        <w:right w:val="none" w:sz="0" w:space="0" w:color="auto"/>
      </w:divBdr>
    </w:div>
    <w:div w:id="912466718">
      <w:bodyDiv w:val="1"/>
      <w:marLeft w:val="0"/>
      <w:marRight w:val="0"/>
      <w:marTop w:val="0"/>
      <w:marBottom w:val="0"/>
      <w:divBdr>
        <w:top w:val="none" w:sz="0" w:space="0" w:color="auto"/>
        <w:left w:val="none" w:sz="0" w:space="0" w:color="auto"/>
        <w:bottom w:val="none" w:sz="0" w:space="0" w:color="auto"/>
        <w:right w:val="none" w:sz="0" w:space="0" w:color="auto"/>
      </w:divBdr>
    </w:div>
    <w:div w:id="940529594">
      <w:bodyDiv w:val="1"/>
      <w:marLeft w:val="0"/>
      <w:marRight w:val="0"/>
      <w:marTop w:val="0"/>
      <w:marBottom w:val="0"/>
      <w:divBdr>
        <w:top w:val="none" w:sz="0" w:space="0" w:color="auto"/>
        <w:left w:val="none" w:sz="0" w:space="0" w:color="auto"/>
        <w:bottom w:val="none" w:sz="0" w:space="0" w:color="auto"/>
        <w:right w:val="none" w:sz="0" w:space="0" w:color="auto"/>
      </w:divBdr>
    </w:div>
    <w:div w:id="1022631167">
      <w:bodyDiv w:val="1"/>
      <w:marLeft w:val="0"/>
      <w:marRight w:val="0"/>
      <w:marTop w:val="0"/>
      <w:marBottom w:val="0"/>
      <w:divBdr>
        <w:top w:val="none" w:sz="0" w:space="0" w:color="auto"/>
        <w:left w:val="none" w:sz="0" w:space="0" w:color="auto"/>
        <w:bottom w:val="none" w:sz="0" w:space="0" w:color="auto"/>
        <w:right w:val="none" w:sz="0" w:space="0" w:color="auto"/>
      </w:divBdr>
    </w:div>
    <w:div w:id="1147088959">
      <w:bodyDiv w:val="1"/>
      <w:marLeft w:val="0"/>
      <w:marRight w:val="0"/>
      <w:marTop w:val="0"/>
      <w:marBottom w:val="0"/>
      <w:divBdr>
        <w:top w:val="none" w:sz="0" w:space="0" w:color="auto"/>
        <w:left w:val="none" w:sz="0" w:space="0" w:color="auto"/>
        <w:bottom w:val="none" w:sz="0" w:space="0" w:color="auto"/>
        <w:right w:val="none" w:sz="0" w:space="0" w:color="auto"/>
      </w:divBdr>
    </w:div>
    <w:div w:id="1157965282">
      <w:bodyDiv w:val="1"/>
      <w:marLeft w:val="0"/>
      <w:marRight w:val="0"/>
      <w:marTop w:val="0"/>
      <w:marBottom w:val="0"/>
      <w:divBdr>
        <w:top w:val="none" w:sz="0" w:space="0" w:color="auto"/>
        <w:left w:val="none" w:sz="0" w:space="0" w:color="auto"/>
        <w:bottom w:val="none" w:sz="0" w:space="0" w:color="auto"/>
        <w:right w:val="none" w:sz="0" w:space="0" w:color="auto"/>
      </w:divBdr>
    </w:div>
    <w:div w:id="1158808418">
      <w:bodyDiv w:val="1"/>
      <w:marLeft w:val="0"/>
      <w:marRight w:val="0"/>
      <w:marTop w:val="0"/>
      <w:marBottom w:val="0"/>
      <w:divBdr>
        <w:top w:val="none" w:sz="0" w:space="0" w:color="auto"/>
        <w:left w:val="none" w:sz="0" w:space="0" w:color="auto"/>
        <w:bottom w:val="none" w:sz="0" w:space="0" w:color="auto"/>
        <w:right w:val="none" w:sz="0" w:space="0" w:color="auto"/>
      </w:divBdr>
    </w:div>
    <w:div w:id="1409964991">
      <w:bodyDiv w:val="1"/>
      <w:marLeft w:val="0"/>
      <w:marRight w:val="0"/>
      <w:marTop w:val="0"/>
      <w:marBottom w:val="0"/>
      <w:divBdr>
        <w:top w:val="none" w:sz="0" w:space="0" w:color="auto"/>
        <w:left w:val="none" w:sz="0" w:space="0" w:color="auto"/>
        <w:bottom w:val="none" w:sz="0" w:space="0" w:color="auto"/>
        <w:right w:val="none" w:sz="0" w:space="0" w:color="auto"/>
      </w:divBdr>
    </w:div>
    <w:div w:id="1476801626">
      <w:bodyDiv w:val="1"/>
      <w:marLeft w:val="0"/>
      <w:marRight w:val="0"/>
      <w:marTop w:val="0"/>
      <w:marBottom w:val="0"/>
      <w:divBdr>
        <w:top w:val="none" w:sz="0" w:space="0" w:color="auto"/>
        <w:left w:val="none" w:sz="0" w:space="0" w:color="auto"/>
        <w:bottom w:val="none" w:sz="0" w:space="0" w:color="auto"/>
        <w:right w:val="none" w:sz="0" w:space="0" w:color="auto"/>
      </w:divBdr>
    </w:div>
    <w:div w:id="1516453481">
      <w:bodyDiv w:val="1"/>
      <w:marLeft w:val="0"/>
      <w:marRight w:val="0"/>
      <w:marTop w:val="0"/>
      <w:marBottom w:val="0"/>
      <w:divBdr>
        <w:top w:val="none" w:sz="0" w:space="0" w:color="auto"/>
        <w:left w:val="none" w:sz="0" w:space="0" w:color="auto"/>
        <w:bottom w:val="none" w:sz="0" w:space="0" w:color="auto"/>
        <w:right w:val="none" w:sz="0" w:space="0" w:color="auto"/>
      </w:divBdr>
    </w:div>
    <w:div w:id="1769278499">
      <w:bodyDiv w:val="1"/>
      <w:marLeft w:val="0"/>
      <w:marRight w:val="0"/>
      <w:marTop w:val="0"/>
      <w:marBottom w:val="0"/>
      <w:divBdr>
        <w:top w:val="none" w:sz="0" w:space="0" w:color="auto"/>
        <w:left w:val="none" w:sz="0" w:space="0" w:color="auto"/>
        <w:bottom w:val="none" w:sz="0" w:space="0" w:color="auto"/>
        <w:right w:val="none" w:sz="0" w:space="0" w:color="auto"/>
      </w:divBdr>
    </w:div>
    <w:div w:id="1964996594">
      <w:bodyDiv w:val="1"/>
      <w:marLeft w:val="0"/>
      <w:marRight w:val="0"/>
      <w:marTop w:val="0"/>
      <w:marBottom w:val="0"/>
      <w:divBdr>
        <w:top w:val="none" w:sz="0" w:space="0" w:color="auto"/>
        <w:left w:val="none" w:sz="0" w:space="0" w:color="auto"/>
        <w:bottom w:val="none" w:sz="0" w:space="0" w:color="auto"/>
        <w:right w:val="none" w:sz="0" w:space="0" w:color="auto"/>
      </w:divBdr>
      <w:divsChild>
        <w:div w:id="155659039">
          <w:marLeft w:val="0"/>
          <w:marRight w:val="0"/>
          <w:marTop w:val="0"/>
          <w:marBottom w:val="0"/>
          <w:divBdr>
            <w:top w:val="none" w:sz="0" w:space="0" w:color="auto"/>
            <w:left w:val="none" w:sz="0" w:space="0" w:color="auto"/>
            <w:bottom w:val="none" w:sz="0" w:space="0" w:color="auto"/>
            <w:right w:val="none" w:sz="0" w:space="0" w:color="auto"/>
          </w:divBdr>
        </w:div>
        <w:div w:id="163590072">
          <w:marLeft w:val="0"/>
          <w:marRight w:val="0"/>
          <w:marTop w:val="0"/>
          <w:marBottom w:val="0"/>
          <w:divBdr>
            <w:top w:val="none" w:sz="0" w:space="0" w:color="auto"/>
            <w:left w:val="none" w:sz="0" w:space="0" w:color="auto"/>
            <w:bottom w:val="none" w:sz="0" w:space="0" w:color="auto"/>
            <w:right w:val="none" w:sz="0" w:space="0" w:color="auto"/>
          </w:divBdr>
        </w:div>
        <w:div w:id="240994163">
          <w:marLeft w:val="0"/>
          <w:marRight w:val="0"/>
          <w:marTop w:val="0"/>
          <w:marBottom w:val="0"/>
          <w:divBdr>
            <w:top w:val="none" w:sz="0" w:space="0" w:color="auto"/>
            <w:left w:val="none" w:sz="0" w:space="0" w:color="auto"/>
            <w:bottom w:val="none" w:sz="0" w:space="0" w:color="auto"/>
            <w:right w:val="none" w:sz="0" w:space="0" w:color="auto"/>
          </w:divBdr>
        </w:div>
        <w:div w:id="530610970">
          <w:marLeft w:val="0"/>
          <w:marRight w:val="0"/>
          <w:marTop w:val="0"/>
          <w:marBottom w:val="0"/>
          <w:divBdr>
            <w:top w:val="none" w:sz="0" w:space="0" w:color="auto"/>
            <w:left w:val="none" w:sz="0" w:space="0" w:color="auto"/>
            <w:bottom w:val="none" w:sz="0" w:space="0" w:color="auto"/>
            <w:right w:val="none" w:sz="0" w:space="0" w:color="auto"/>
          </w:divBdr>
        </w:div>
        <w:div w:id="774402428">
          <w:marLeft w:val="0"/>
          <w:marRight w:val="0"/>
          <w:marTop w:val="0"/>
          <w:marBottom w:val="0"/>
          <w:divBdr>
            <w:top w:val="none" w:sz="0" w:space="0" w:color="auto"/>
            <w:left w:val="none" w:sz="0" w:space="0" w:color="auto"/>
            <w:bottom w:val="none" w:sz="0" w:space="0" w:color="auto"/>
            <w:right w:val="none" w:sz="0" w:space="0" w:color="auto"/>
          </w:divBdr>
        </w:div>
        <w:div w:id="797336952">
          <w:marLeft w:val="0"/>
          <w:marRight w:val="0"/>
          <w:marTop w:val="0"/>
          <w:marBottom w:val="0"/>
          <w:divBdr>
            <w:top w:val="none" w:sz="0" w:space="0" w:color="auto"/>
            <w:left w:val="none" w:sz="0" w:space="0" w:color="auto"/>
            <w:bottom w:val="none" w:sz="0" w:space="0" w:color="auto"/>
            <w:right w:val="none" w:sz="0" w:space="0" w:color="auto"/>
          </w:divBdr>
        </w:div>
        <w:div w:id="859513933">
          <w:marLeft w:val="0"/>
          <w:marRight w:val="0"/>
          <w:marTop w:val="0"/>
          <w:marBottom w:val="0"/>
          <w:divBdr>
            <w:top w:val="none" w:sz="0" w:space="0" w:color="auto"/>
            <w:left w:val="none" w:sz="0" w:space="0" w:color="auto"/>
            <w:bottom w:val="none" w:sz="0" w:space="0" w:color="auto"/>
            <w:right w:val="none" w:sz="0" w:space="0" w:color="auto"/>
          </w:divBdr>
        </w:div>
        <w:div w:id="913661007">
          <w:marLeft w:val="0"/>
          <w:marRight w:val="0"/>
          <w:marTop w:val="0"/>
          <w:marBottom w:val="0"/>
          <w:divBdr>
            <w:top w:val="none" w:sz="0" w:space="0" w:color="auto"/>
            <w:left w:val="none" w:sz="0" w:space="0" w:color="auto"/>
            <w:bottom w:val="none" w:sz="0" w:space="0" w:color="auto"/>
            <w:right w:val="none" w:sz="0" w:space="0" w:color="auto"/>
          </w:divBdr>
        </w:div>
        <w:div w:id="951982398">
          <w:marLeft w:val="0"/>
          <w:marRight w:val="0"/>
          <w:marTop w:val="0"/>
          <w:marBottom w:val="0"/>
          <w:divBdr>
            <w:top w:val="none" w:sz="0" w:space="0" w:color="auto"/>
            <w:left w:val="none" w:sz="0" w:space="0" w:color="auto"/>
            <w:bottom w:val="none" w:sz="0" w:space="0" w:color="auto"/>
            <w:right w:val="none" w:sz="0" w:space="0" w:color="auto"/>
          </w:divBdr>
        </w:div>
        <w:div w:id="1046761461">
          <w:marLeft w:val="0"/>
          <w:marRight w:val="0"/>
          <w:marTop w:val="0"/>
          <w:marBottom w:val="0"/>
          <w:divBdr>
            <w:top w:val="none" w:sz="0" w:space="0" w:color="auto"/>
            <w:left w:val="none" w:sz="0" w:space="0" w:color="auto"/>
            <w:bottom w:val="none" w:sz="0" w:space="0" w:color="auto"/>
            <w:right w:val="none" w:sz="0" w:space="0" w:color="auto"/>
          </w:divBdr>
        </w:div>
        <w:div w:id="1070422670">
          <w:marLeft w:val="0"/>
          <w:marRight w:val="0"/>
          <w:marTop w:val="0"/>
          <w:marBottom w:val="0"/>
          <w:divBdr>
            <w:top w:val="none" w:sz="0" w:space="0" w:color="auto"/>
            <w:left w:val="none" w:sz="0" w:space="0" w:color="auto"/>
            <w:bottom w:val="none" w:sz="0" w:space="0" w:color="auto"/>
            <w:right w:val="none" w:sz="0" w:space="0" w:color="auto"/>
          </w:divBdr>
        </w:div>
        <w:div w:id="1355686440">
          <w:marLeft w:val="0"/>
          <w:marRight w:val="0"/>
          <w:marTop w:val="0"/>
          <w:marBottom w:val="0"/>
          <w:divBdr>
            <w:top w:val="none" w:sz="0" w:space="0" w:color="auto"/>
            <w:left w:val="none" w:sz="0" w:space="0" w:color="auto"/>
            <w:bottom w:val="none" w:sz="0" w:space="0" w:color="auto"/>
            <w:right w:val="none" w:sz="0" w:space="0" w:color="auto"/>
          </w:divBdr>
        </w:div>
        <w:div w:id="1530293160">
          <w:marLeft w:val="0"/>
          <w:marRight w:val="0"/>
          <w:marTop w:val="0"/>
          <w:marBottom w:val="0"/>
          <w:divBdr>
            <w:top w:val="none" w:sz="0" w:space="0" w:color="auto"/>
            <w:left w:val="none" w:sz="0" w:space="0" w:color="auto"/>
            <w:bottom w:val="none" w:sz="0" w:space="0" w:color="auto"/>
            <w:right w:val="none" w:sz="0" w:space="0" w:color="auto"/>
          </w:divBdr>
        </w:div>
        <w:div w:id="1583875700">
          <w:marLeft w:val="0"/>
          <w:marRight w:val="0"/>
          <w:marTop w:val="0"/>
          <w:marBottom w:val="0"/>
          <w:divBdr>
            <w:top w:val="none" w:sz="0" w:space="0" w:color="auto"/>
            <w:left w:val="none" w:sz="0" w:space="0" w:color="auto"/>
            <w:bottom w:val="none" w:sz="0" w:space="0" w:color="auto"/>
            <w:right w:val="none" w:sz="0" w:space="0" w:color="auto"/>
          </w:divBdr>
        </w:div>
        <w:div w:id="1773433087">
          <w:marLeft w:val="0"/>
          <w:marRight w:val="0"/>
          <w:marTop w:val="0"/>
          <w:marBottom w:val="0"/>
          <w:divBdr>
            <w:top w:val="none" w:sz="0" w:space="0" w:color="auto"/>
            <w:left w:val="none" w:sz="0" w:space="0" w:color="auto"/>
            <w:bottom w:val="none" w:sz="0" w:space="0" w:color="auto"/>
            <w:right w:val="none" w:sz="0" w:space="0" w:color="auto"/>
          </w:divBdr>
        </w:div>
      </w:divsChild>
    </w:div>
    <w:div w:id="1997873592">
      <w:bodyDiv w:val="1"/>
      <w:marLeft w:val="0"/>
      <w:marRight w:val="0"/>
      <w:marTop w:val="0"/>
      <w:marBottom w:val="0"/>
      <w:divBdr>
        <w:top w:val="none" w:sz="0" w:space="0" w:color="auto"/>
        <w:left w:val="none" w:sz="0" w:space="0" w:color="auto"/>
        <w:bottom w:val="none" w:sz="0" w:space="0" w:color="auto"/>
        <w:right w:val="none" w:sz="0" w:space="0" w:color="auto"/>
      </w:divBdr>
    </w:div>
    <w:div w:id="21026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dcet.edu.au/our-work/disability-awareness" TargetMode="External"/><Relationship Id="rId21" Type="http://schemas.openxmlformats.org/officeDocument/2006/relationships/hyperlink" Target="https://www.teqsa.gov.au/" TargetMode="External"/><Relationship Id="rId42" Type="http://schemas.openxmlformats.org/officeDocument/2006/relationships/hyperlink" Target="https://www.humanrights.gov.au/our-work/publications" TargetMode="External"/><Relationship Id="rId47" Type="http://schemas.openxmlformats.org/officeDocument/2006/relationships/hyperlink" Target="https://www.qilt.edu.au/surveys/graduate-outcomes-survey-(gos)" TargetMode="External"/><Relationship Id="rId63" Type="http://schemas.openxmlformats.org/officeDocument/2006/relationships/hyperlink" Target="https://disabilityawareness.com.au" TargetMode="External"/><Relationship Id="rId68" Type="http://schemas.openxmlformats.org/officeDocument/2006/relationships/hyperlink" Target="https://www.adcet.edu.au/disability-practitioner" TargetMode="External"/><Relationship Id="rId84" Type="http://schemas.openxmlformats.org/officeDocument/2006/relationships/hyperlink" Target="https://www.aihw.gov.au/reports/dis/72/people-with-disability-in-australia/contents/education-and-skills/educational-attainment" TargetMode="External"/><Relationship Id="rId89" Type="http://schemas.openxmlformats.org/officeDocument/2006/relationships/hyperlink" Target="https://www.usep.com.au/" TargetMode="External"/><Relationship Id="rId16" Type="http://schemas.openxmlformats.org/officeDocument/2006/relationships/hyperlink" Target="https://www.dss.gov.au/disability-and-australias-disability-strategy-2021-2031" TargetMode="External"/><Relationship Id="rId11" Type="http://schemas.openxmlformats.org/officeDocument/2006/relationships/hyperlink" Target="mailto:darlene.mclennan@utas.edu.au" TargetMode="External"/><Relationship Id="rId32" Type="http://schemas.openxmlformats.org/officeDocument/2006/relationships/hyperlink" Target="https://www.studyassist.gov.au/help-loans-commonwealth-supported-places-csps/student-learning-entitlement" TargetMode="External"/><Relationship Id="rId37" Type="http://schemas.openxmlformats.org/officeDocument/2006/relationships/hyperlink" Target="https://www.adcet.edu.au/students-with-disability/planning-for-post-secondary-education" TargetMode="External"/><Relationship Id="rId53" Type="http://schemas.openxmlformats.org/officeDocument/2006/relationships/hyperlink" Target="https://www.asqa.gov.au/" TargetMode="External"/><Relationship Id="rId58" Type="http://schemas.openxmlformats.org/officeDocument/2006/relationships/diagramLayout" Target="diagrams/layout1.xml"/><Relationship Id="rId74" Type="http://schemas.openxmlformats.org/officeDocument/2006/relationships/hyperlink" Target="https://www.adcet.edu.au/resource/10475/guidelines-supporting-deaf-and-hard-of-hearing-students-online" TargetMode="External"/><Relationship Id="rId79" Type="http://schemas.openxmlformats.org/officeDocument/2006/relationships/diagramColors" Target="diagrams/colors2.xml"/><Relationship Id="rId5" Type="http://schemas.openxmlformats.org/officeDocument/2006/relationships/numbering" Target="numbering.xml"/><Relationship Id="rId90" Type="http://schemas.openxmlformats.org/officeDocument/2006/relationships/hyperlink" Target="https://wiseemployment.com.au/gradwise-graduate-jobs/" TargetMode="External"/><Relationship Id="rId22" Type="http://schemas.openxmlformats.org/officeDocument/2006/relationships/hyperlink" Target="https://www.asqa.gov.au/" TargetMode="External"/><Relationship Id="rId27" Type="http://schemas.openxmlformats.org/officeDocument/2006/relationships/hyperlink" Target="https://www.legislation.gov.au/Details/F2022L00347" TargetMode="External"/><Relationship Id="rId43" Type="http://schemas.openxmlformats.org/officeDocument/2006/relationships/hyperlink" Target="https://includeability.gov.au/resources-employers/economic-and-business-benefits-employing-people-disability" TargetMode="External"/><Relationship Id="rId48" Type="http://schemas.openxmlformats.org/officeDocument/2006/relationships/hyperlink" Target="https://www.dss.gov.au/disability-and-australias-disability-strategy-2021-2031" TargetMode="External"/><Relationship Id="rId64" Type="http://schemas.openxmlformats.org/officeDocument/2006/relationships/hyperlink" Target="https://www.adcet.edu.au/our-work/udl-elearning" TargetMode="External"/><Relationship Id="rId69" Type="http://schemas.openxmlformats.org/officeDocument/2006/relationships/hyperlink" Target="https://www.adcet.edu.au/inclusive-teaching" TargetMode="External"/><Relationship Id="rId8" Type="http://schemas.openxmlformats.org/officeDocument/2006/relationships/webSettings" Target="webSettings.xml"/><Relationship Id="rId51" Type="http://schemas.openxmlformats.org/officeDocument/2006/relationships/hyperlink" Target="https://www.education.gov.au/job-ready" TargetMode="External"/><Relationship Id="rId72" Type="http://schemas.openxmlformats.org/officeDocument/2006/relationships/hyperlink" Target="https://www.adcet.edu.au/covid-19-faqs" TargetMode="External"/><Relationship Id="rId80" Type="http://schemas.microsoft.com/office/2007/relationships/diagramDrawing" Target="diagrams/drawing2.xml"/><Relationship Id="rId85" Type="http://schemas.openxmlformats.org/officeDocument/2006/relationships/hyperlink" Target="https://www.abs.gov.au/statistics/health/disability/disability-ageing-and-carers-australia-summary-findings/2018"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dcet.edu.au" TargetMode="External"/><Relationship Id="rId17" Type="http://schemas.openxmlformats.org/officeDocument/2006/relationships/hyperlink" Target="https://www.education.gov.au/higher-education-disability-support-program" TargetMode="External"/><Relationship Id="rId25" Type="http://schemas.openxmlformats.org/officeDocument/2006/relationships/hyperlink" Target="https://www.adcet.edu.au/resource/11182/accessible-it-procurement-in-higher-education-caudit" TargetMode="External"/><Relationship Id="rId33" Type="http://schemas.openxmlformats.org/officeDocument/2006/relationships/hyperlink" Target="https://www.studyassist.gov.au/help-loans-commonwealth-supported-places-csps/low-completion-rate" TargetMode="External"/><Relationship Id="rId38" Type="http://schemas.openxmlformats.org/officeDocument/2006/relationships/hyperlink" Target="https://www.adcet.edu.au/our-work/disability-awareness" TargetMode="External"/><Relationship Id="rId46" Type="http://schemas.openxmlformats.org/officeDocument/2006/relationships/hyperlink" Target="https://www.nationalskillscommission.gov.au/insights/projecting-employment-2026" TargetMode="External"/><Relationship Id="rId59" Type="http://schemas.openxmlformats.org/officeDocument/2006/relationships/diagramQuickStyle" Target="diagrams/quickStyle1.xml"/><Relationship Id="rId67" Type="http://schemas.openxmlformats.org/officeDocument/2006/relationships/hyperlink" Target="https://www.adcet.edu.au/students-with-disability" TargetMode="External"/><Relationship Id="rId20" Type="http://schemas.openxmlformats.org/officeDocument/2006/relationships/hyperlink" Target="https://www.asqa.gov.au/" TargetMode="External"/><Relationship Id="rId41" Type="http://schemas.openxmlformats.org/officeDocument/2006/relationships/hyperlink" Target="http://www.acola.org" TargetMode="External"/><Relationship Id="rId54" Type="http://schemas.openxmlformats.org/officeDocument/2006/relationships/hyperlink" Target="https://www.teqsa.gov.au/" TargetMode="External"/><Relationship Id="rId62" Type="http://schemas.openxmlformats.org/officeDocument/2006/relationships/hyperlink" Target="https://www.adcet.edu.au/resource/9146/austed-email-list" TargetMode="External"/><Relationship Id="rId70" Type="http://schemas.openxmlformats.org/officeDocument/2006/relationships/hyperlink" Target="https://www.adcet.edu.au/our-work/disability-awareness" TargetMode="External"/><Relationship Id="rId75" Type="http://schemas.openxmlformats.org/officeDocument/2006/relationships/hyperlink" Target="https://www.adcet.edu.au/students-with-disability/planning-for-post-secondary-education" TargetMode="External"/><Relationship Id="rId83" Type="http://schemas.openxmlformats.org/officeDocument/2006/relationships/hyperlink" Target="https://www.dese.gov.au/higher-education-statistics/student-data/selected-higher-education-statistics-2020-student-data-0" TargetMode="External"/><Relationship Id="rId88" Type="http://schemas.openxmlformats.org/officeDocument/2006/relationships/hyperlink" Target="https://www.qilt.edu.au/surveys/graduate-outcomes-survey-(gos)"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au/Details/F2022L00347" TargetMode="External"/><Relationship Id="rId23" Type="http://schemas.openxmlformats.org/officeDocument/2006/relationships/hyperlink" Target="https://www.teqsa.gov.au/" TargetMode="External"/><Relationship Id="rId28" Type="http://schemas.openxmlformats.org/officeDocument/2006/relationships/hyperlink" Target="https://www.adcet.edu.au/resource/11321/a-request-for-support-for-adcet-in-universities-accord-submission" TargetMode="External"/><Relationship Id="rId36" Type="http://schemas.openxmlformats.org/officeDocument/2006/relationships/hyperlink" Target="https://www.adcet.edu.au/students-with-disability/employment" TargetMode="External"/><Relationship Id="rId49" Type="http://schemas.openxmlformats.org/officeDocument/2006/relationships/hyperlink" Target="https://www.dewr.gov.au/expert-review-australias-vet-system/resources/vocational-education-and-training-vet-reform-roadmap-draft" TargetMode="External"/><Relationship Id="rId57" Type="http://schemas.openxmlformats.org/officeDocument/2006/relationships/diagramData" Target="diagrams/data1.xml"/><Relationship Id="rId10" Type="http://schemas.openxmlformats.org/officeDocument/2006/relationships/endnotes" Target="endnotes.xml"/><Relationship Id="rId31" Type="http://schemas.openxmlformats.org/officeDocument/2006/relationships/hyperlink" Target="https://www.adcet.edu.au/our-work/disability-awareness" TargetMode="External"/><Relationship Id="rId44" Type="http://schemas.openxmlformats.org/officeDocument/2006/relationships/hyperlink" Target="https://www.cast.org/" TargetMode="External"/><Relationship Id="rId52" Type="http://schemas.openxmlformats.org/officeDocument/2006/relationships/hyperlink" Target="https://www.education.gov.au/higher-education-funding/performancebased-funding-commonwealth-grant-scheme" TargetMode="External"/><Relationship Id="rId60" Type="http://schemas.openxmlformats.org/officeDocument/2006/relationships/diagramColors" Target="diagrams/colors1.xml"/><Relationship Id="rId65" Type="http://schemas.openxmlformats.org/officeDocument/2006/relationships/hyperlink" Target="https://www.adcet.edu.au/inclusive-technology/darren's-update" TargetMode="External"/><Relationship Id="rId73" Type="http://schemas.openxmlformats.org/officeDocument/2006/relationships/hyperlink" Target="https://www.adcet.edu.au/our-work/guidelines" TargetMode="External"/><Relationship Id="rId78" Type="http://schemas.openxmlformats.org/officeDocument/2006/relationships/diagramQuickStyle" Target="diagrams/quickStyle2.xml"/><Relationship Id="rId81" Type="http://schemas.openxmlformats.org/officeDocument/2006/relationships/hyperlink" Target="https://www.dese.gov.au/heppp/resources/student-equity-higher-education-evaluation-framework-seheef-guidance-manual" TargetMode="External"/><Relationship Id="rId86" Type="http://schemas.openxmlformats.org/officeDocument/2006/relationships/chart" Target="charts/chart2.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dcet.edu.au/20-years-with-adcet/our-impact" TargetMode="External"/><Relationship Id="rId18" Type="http://schemas.openxmlformats.org/officeDocument/2006/relationships/hyperlink" Target="https://www.education.gov.au/job-ready" TargetMode="External"/><Relationship Id="rId39" Type="http://schemas.openxmlformats.org/officeDocument/2006/relationships/hyperlink" Target="https://www.ndis.gov.au/about-us/strategies/participant-employment-strategy" TargetMode="External"/><Relationship Id="rId34" Type="http://schemas.openxmlformats.org/officeDocument/2006/relationships/hyperlink" Target="https://www.adcet.edu.au/resources/usep-and-tsep/usep-toolkit" TargetMode="External"/><Relationship Id="rId50" Type="http://schemas.openxmlformats.org/officeDocument/2006/relationships/hyperlink" Target="https://www.education.gov.au/higher-education-disability-support-program" TargetMode="External"/><Relationship Id="rId55" Type="http://schemas.openxmlformats.org/officeDocument/2006/relationships/hyperlink" Target="https://www.adcet.edu.au/about" TargetMode="External"/><Relationship Id="rId76" Type="http://schemas.openxmlformats.org/officeDocument/2006/relationships/diagramData" Target="diagrams/data2.xml"/><Relationship Id="rId7" Type="http://schemas.openxmlformats.org/officeDocument/2006/relationships/settings" Target="settings.xml"/><Relationship Id="rId71" Type="http://schemas.openxmlformats.org/officeDocument/2006/relationships/hyperlink" Target="https://www.adcet.edu.au/resource/10926/procuring-with-everybody-in-mind-supporting-universities-to-adopt-as-en-301-549"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adcet.edu.au/resource/11321/a-request-for-support-for-adcet-in-universities-accord-submission" TargetMode="External"/><Relationship Id="rId24" Type="http://schemas.openxmlformats.org/officeDocument/2006/relationships/hyperlink" Target="https://www.adcet.edu.au/inclusive-teaching/universal-design-for-learning" TargetMode="External"/><Relationship Id="rId40" Type="http://schemas.openxmlformats.org/officeDocument/2006/relationships/hyperlink" Target="https://www.ndis.gov.au/about-us/strategies/participant-employment-strategy" TargetMode="External"/><Relationship Id="rId45" Type="http://schemas.openxmlformats.org/officeDocument/2006/relationships/hyperlink" Target="https://www.dese.gov.au/higher-education-statistics/resources/2020-section-11-equity-groups" TargetMode="External"/><Relationship Id="rId66" Type="http://schemas.openxmlformats.org/officeDocument/2006/relationships/hyperlink" Target="https://www.adcet.edu.au/students-with-disability/employment/employment-services-and-programs" TargetMode="External"/><Relationship Id="rId87" Type="http://schemas.openxmlformats.org/officeDocument/2006/relationships/hyperlink" Target="https://www.dese.gov.au/higher-education-statistics/student-data/selected-higher-education-statistics-2020-student-data-0" TargetMode="External"/><Relationship Id="rId61" Type="http://schemas.microsoft.com/office/2007/relationships/diagramDrawing" Target="diagrams/drawing1.xml"/><Relationship Id="rId82" Type="http://schemas.openxmlformats.org/officeDocument/2006/relationships/chart" Target="charts/chart1.xml"/><Relationship Id="rId19" Type="http://schemas.openxmlformats.org/officeDocument/2006/relationships/hyperlink" Target="https://www.education.gov.au/higher-education-funding/performancebased-funding-commonwealth-grant-scheme" TargetMode="External"/><Relationship Id="rId14" Type="http://schemas.openxmlformats.org/officeDocument/2006/relationships/image" Target="media/image1.png"/><Relationship Id="rId30" Type="http://schemas.openxmlformats.org/officeDocument/2006/relationships/hyperlink" Target="https://www.adcet.edu.au/disability-practitioner/your-role/disability-action-plans" TargetMode="External"/><Relationship Id="rId35" Type="http://schemas.openxmlformats.org/officeDocument/2006/relationships/hyperlink" Target="https://wiseemployment.com.au/gradwise-graduate-jobs/" TargetMode="External"/><Relationship Id="rId56" Type="http://schemas.openxmlformats.org/officeDocument/2006/relationships/hyperlink" Target="https://www.adcet.edu.au/ndco" TargetMode="External"/><Relationship Id="rId77" Type="http://schemas.openxmlformats.org/officeDocument/2006/relationships/diagramLayout" Target="diagrams/layout2.xml"/></Relationships>
</file>

<file path=word/_rels/footnotes.xml.rels><?xml version="1.0" encoding="UTF-8" standalone="yes"?>
<Relationships xmlns="http://schemas.openxmlformats.org/package/2006/relationships"><Relationship Id="rId8" Type="http://schemas.openxmlformats.org/officeDocument/2006/relationships/hyperlink" Target="https://www.adcet.edu.au/disability-practitioner/data-evaluation/higher-education-data/current-he-data-analysis" TargetMode="External"/><Relationship Id="rId13" Type="http://schemas.openxmlformats.org/officeDocument/2006/relationships/hyperlink" Target="https://www.ahri.com.au/resources/ahri-diversity-inclusion-maturity-model" TargetMode="External"/><Relationship Id="rId3" Type="http://schemas.openxmlformats.org/officeDocument/2006/relationships/hyperlink" Target="https://data.oecd.org/eduresource/education-spending.htm" TargetMode="External"/><Relationship Id="rId7" Type="http://schemas.openxmlformats.org/officeDocument/2006/relationships/hyperlink" Target="https://www.education.gov.au/higher-education-statistics/resources/2021-section-16-equity-performance-data" TargetMode="External"/><Relationship Id="rId12" Type="http://schemas.openxmlformats.org/officeDocument/2006/relationships/hyperlink" Target="https://www.qilt.edu.au/surveys/graduate-outcomes-survey-(gos)" TargetMode="External"/><Relationship Id="rId17" Type="http://schemas.openxmlformats.org/officeDocument/2006/relationships/hyperlink" Target="https://www.nationalskillscommission.gov.au/sites/default/files/2022-03/2021%20State%20of%20Australia%27s%20Skills_0.pdf" TargetMode="External"/><Relationship Id="rId2" Type="http://schemas.openxmlformats.org/officeDocument/2006/relationships/hyperlink" Target="https://www.oecd-ilibrary.org/employment/disability-work-and-inclusion_1eaa5e9c-en" TargetMode="External"/><Relationship Id="rId16" Type="http://schemas.openxmlformats.org/officeDocument/2006/relationships/hyperlink" Target="https://www.nationalskillscommission.gov.au/reports/2020-employment-projections-five-years-november-2025" TargetMode="External"/><Relationship Id="rId1" Type="http://schemas.openxmlformats.org/officeDocument/2006/relationships/hyperlink" Target="https://data.oecd.org/eduatt/population-with-tertiary-education.htm" TargetMode="External"/><Relationship Id="rId6" Type="http://schemas.openxmlformats.org/officeDocument/2006/relationships/hyperlink" Target="https://www.nationalskillscommission.gov.au/insights/projecting-employment-2026" TargetMode="External"/><Relationship Id="rId11" Type="http://schemas.openxmlformats.org/officeDocument/2006/relationships/hyperlink" Target="https://www.nationalskillscommission.gov.au/reports/2020-employment-projections-five-years-november-2025" TargetMode="External"/><Relationship Id="rId5" Type="http://schemas.openxmlformats.org/officeDocument/2006/relationships/hyperlink" Target="https://www.ncsehe.edu.au/research-database/calculating-the-costs-of-supporting-people-with-disability-in-australian-higher-education/" TargetMode="External"/><Relationship Id="rId15" Type="http://schemas.openxmlformats.org/officeDocument/2006/relationships/hyperlink" Target="https://www.nationalskillscommission.gov.au/sites/default/files/2022-02/State%20of%20Australia%27s%20Skills%20Overview.pdf" TargetMode="External"/><Relationship Id="rId10" Type="http://schemas.openxmlformats.org/officeDocument/2006/relationships/hyperlink" Target="https://disability.royalcommission.gov.au/publications/employment" TargetMode="External"/><Relationship Id="rId4" Type="http://schemas.openxmlformats.org/officeDocument/2006/relationships/hyperlink" Target="https://www.education.gov.au/heppp/resources/20102023-higher-education-participation-and-partnerships-program-heppp-participation-allocations" TargetMode="External"/><Relationship Id="rId9" Type="http://schemas.openxmlformats.org/officeDocument/2006/relationships/hyperlink" Target="https://disability.royalcommission.gov.au/publications/education" TargetMode="External"/><Relationship Id="rId14" Type="http://schemas.openxmlformats.org/officeDocument/2006/relationships/hyperlink" Target="https://www2.deloitte.com/au/en/pages/economics/articles/economic-benefits-increasing-employment-for-people-with-disabil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AU" sz="1050" b="1" i="1" u="none" strike="noStrike" baseline="0">
                <a:effectLst/>
              </a:rPr>
              <a:t>Graph 1: Percentage of people with disability in higher education, VET, schools and the general population in Australia as at 2018</a:t>
            </a:r>
            <a:endParaRPr lang="en-US" sz="1050" b="1"/>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Students with disability in Higher Education</c:v>
                </c:pt>
                <c:pt idx="1">
                  <c:v>Students with disability in VET</c:v>
                </c:pt>
                <c:pt idx="2">
                  <c:v>Students with disability in School</c:v>
                </c:pt>
                <c:pt idx="3">
                  <c:v>People with disability in Population</c:v>
                </c:pt>
              </c:strCache>
            </c:strRef>
          </c:cat>
          <c:val>
            <c:numRef>
              <c:f>Sheet1!$B$2:$B$5</c:f>
              <c:numCache>
                <c:formatCode>General</c:formatCode>
                <c:ptCount val="4"/>
                <c:pt idx="0">
                  <c:v>7</c:v>
                </c:pt>
                <c:pt idx="1">
                  <c:v>6.6</c:v>
                </c:pt>
                <c:pt idx="2">
                  <c:v>19.3</c:v>
                </c:pt>
                <c:pt idx="3">
                  <c:v>18</c:v>
                </c:pt>
              </c:numCache>
            </c:numRef>
          </c:val>
          <c:extLst>
            <c:ext xmlns:c16="http://schemas.microsoft.com/office/drawing/2014/chart" uri="{C3380CC4-5D6E-409C-BE32-E72D297353CC}">
              <c16:uniqueId val="{00000000-1576-4CF3-BAE9-752597ABEC5D}"/>
            </c:ext>
          </c:extLst>
        </c:ser>
        <c:dLbls>
          <c:showLegendKey val="0"/>
          <c:showVal val="0"/>
          <c:showCatName val="0"/>
          <c:showSerName val="0"/>
          <c:showPercent val="0"/>
          <c:showBubbleSize val="0"/>
        </c:dLbls>
        <c:gapWidth val="219"/>
        <c:overlap val="-27"/>
        <c:axId val="921547024"/>
        <c:axId val="921542032"/>
      </c:barChart>
      <c:catAx>
        <c:axId val="92154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921542032"/>
        <c:crosses val="autoZero"/>
        <c:auto val="1"/>
        <c:lblAlgn val="ctr"/>
        <c:lblOffset val="100"/>
        <c:noMultiLvlLbl val="0"/>
      </c:catAx>
      <c:valAx>
        <c:axId val="921542032"/>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547024"/>
        <c:crosses val="autoZero"/>
        <c:crossBetween val="between"/>
        <c:dispUnits>
          <c:builtInUnit val="hundre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i="1"/>
              <a:t>Graph</a:t>
            </a:r>
            <a:r>
              <a:rPr lang="en-AU" sz="1200" b="1" i="1" baseline="0"/>
              <a:t> 2: Domestic s</a:t>
            </a:r>
            <a:r>
              <a:rPr lang="en-AU" sz="1200" b="1" i="1"/>
              <a:t>tudents with a disability 2010 - 2020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Sheet1!$C$13</c:f>
              <c:strCache>
                <c:ptCount val="1"/>
                <c:pt idx="0">
                  <c:v>Students with a 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Sheet1!$D$12:$N$12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Sheet1!$D$13:$N$13</c:f>
              <c:numCache>
                <c:formatCode>0.00%</c:formatCode>
                <c:ptCount val="11"/>
                <c:pt idx="0">
                  <c:v>4.5091017536053171E-2</c:v>
                </c:pt>
                <c:pt idx="1">
                  <c:v>4.8076692548232533E-2</c:v>
                </c:pt>
                <c:pt idx="2">
                  <c:v>5.0470806112989125E-2</c:v>
                </c:pt>
                <c:pt idx="3">
                  <c:v>5.1506131902761723E-2</c:v>
                </c:pt>
                <c:pt idx="4">
                  <c:v>5.4846419176371605E-2</c:v>
                </c:pt>
                <c:pt idx="5">
                  <c:v>5.7962826686136011E-2</c:v>
                </c:pt>
                <c:pt idx="6">
                  <c:v>6.0379579142478636E-2</c:v>
                </c:pt>
                <c:pt idx="7">
                  <c:v>6.397044000268795E-2</c:v>
                </c:pt>
                <c:pt idx="8">
                  <c:v>6.8317505923617974E-2</c:v>
                </c:pt>
                <c:pt idx="9">
                  <c:v>7.2096694805858147E-2</c:v>
                </c:pt>
                <c:pt idx="10">
                  <c:v>7.4423742032792839E-2</c:v>
                </c:pt>
              </c:numCache>
            </c:numRef>
          </c:val>
          <c:extLst>
            <c:ext xmlns:c16="http://schemas.microsoft.com/office/drawing/2014/chart" uri="{C3380CC4-5D6E-409C-BE32-E72D297353CC}">
              <c16:uniqueId val="{00000000-58BA-45BB-B13C-972FE53175BD}"/>
            </c:ext>
          </c:extLst>
        </c:ser>
        <c:dLbls>
          <c:showLegendKey val="0"/>
          <c:showVal val="0"/>
          <c:showCatName val="0"/>
          <c:showSerName val="0"/>
          <c:showPercent val="0"/>
          <c:showBubbleSize val="0"/>
        </c:dLbls>
        <c:gapWidth val="39"/>
        <c:overlap val="-19"/>
        <c:axId val="1466889328"/>
        <c:axId val="1466890160"/>
      </c:barChart>
      <c:catAx>
        <c:axId val="146688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66890160"/>
        <c:crosses val="autoZero"/>
        <c:auto val="1"/>
        <c:lblAlgn val="ctr"/>
        <c:lblOffset val="100"/>
        <c:noMultiLvlLbl val="0"/>
      </c:catAx>
      <c:valAx>
        <c:axId val="1466890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688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D5F5F7-BC80-43C5-98ED-F3ADFA1C5098}"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AU"/>
        </a:p>
      </dgm:t>
    </dgm:pt>
    <dgm:pt modelId="{45F4A5BD-8E96-4495-820E-6886ED8E065B}">
      <dgm:prSet phldrT="[Text]" custT="1"/>
      <dgm:spPr>
        <a:xfrm>
          <a:off x="2662089" y="0"/>
          <a:ext cx="885496" cy="314568"/>
        </a:xfrm>
      </dgm:spPr>
      <dgm:t>
        <a:bodyPr/>
        <a:lstStyle/>
        <a:p>
          <a:r>
            <a:rPr lang="en-AU" sz="800" b="1">
              <a:solidFill>
                <a:sysClr val="windowText" lastClr="000000"/>
              </a:solidFill>
            </a:rPr>
            <a:t>Manager*</a:t>
          </a:r>
        </a:p>
      </dgm:t>
    </dgm:pt>
    <dgm:pt modelId="{810C4630-A716-4796-9A78-7E4AF3223637}" type="parTrans" cxnId="{663F1AAA-754D-4F82-ADDB-49717A17E643}">
      <dgm:prSet/>
      <dgm:spPr/>
      <dgm:t>
        <a:bodyPr/>
        <a:lstStyle/>
        <a:p>
          <a:endParaRPr lang="en-AU" sz="2400" b="1">
            <a:solidFill>
              <a:sysClr val="windowText" lastClr="000000"/>
            </a:solidFill>
          </a:endParaRPr>
        </a:p>
      </dgm:t>
    </dgm:pt>
    <dgm:pt modelId="{99D4A797-6C80-47EA-905D-76F82AE2188E}" type="sibTrans" cxnId="{663F1AAA-754D-4F82-ADDB-49717A17E643}">
      <dgm:prSet/>
      <dgm:spPr/>
      <dgm:t>
        <a:bodyPr/>
        <a:lstStyle/>
        <a:p>
          <a:endParaRPr lang="en-AU" sz="2400" b="1">
            <a:solidFill>
              <a:sysClr val="windowText" lastClr="000000"/>
            </a:solidFill>
          </a:endParaRPr>
        </a:p>
      </dgm:t>
    </dgm:pt>
    <dgm:pt modelId="{575932AE-E35E-465F-8C30-D6D6583828BA}">
      <dgm:prSet phldrT="[Text]" custT="1"/>
      <dgm:spPr>
        <a:xfrm>
          <a:off x="1538844" y="847610"/>
          <a:ext cx="868637" cy="308964"/>
        </a:xfrm>
      </dgm:spPr>
      <dgm:t>
        <a:bodyPr/>
        <a:lstStyle/>
        <a:p>
          <a:r>
            <a:rPr lang="en-AU" sz="800" b="1">
              <a:solidFill>
                <a:sysClr val="windowText" lastClr="000000"/>
              </a:solidFill>
            </a:rPr>
            <a:t>Project Coordinator</a:t>
          </a:r>
        </a:p>
      </dgm:t>
    </dgm:pt>
    <dgm:pt modelId="{5B355717-C7A5-4AF1-83B3-3A038085B42F}" type="parTrans" cxnId="{32A40F31-736B-493A-890B-FC11C8CC3C3B}">
      <dgm:prSet/>
      <dgm:spPr>
        <a:xfrm>
          <a:off x="1973163" y="314568"/>
          <a:ext cx="1131674" cy="533042"/>
        </a:xfrm>
      </dgm:spPr>
      <dgm:t>
        <a:bodyPr/>
        <a:lstStyle/>
        <a:p>
          <a:endParaRPr lang="en-AU" sz="2400" b="1">
            <a:solidFill>
              <a:sysClr val="windowText" lastClr="000000"/>
            </a:solidFill>
          </a:endParaRPr>
        </a:p>
      </dgm:t>
    </dgm:pt>
    <dgm:pt modelId="{0EBE8C36-CB3C-4E3D-8676-70368C14F49F}" type="sibTrans" cxnId="{32A40F31-736B-493A-890B-FC11C8CC3C3B}">
      <dgm:prSet/>
      <dgm:spPr/>
      <dgm:t>
        <a:bodyPr/>
        <a:lstStyle/>
        <a:p>
          <a:endParaRPr lang="en-AU" sz="2400" b="1">
            <a:solidFill>
              <a:sysClr val="windowText" lastClr="000000"/>
            </a:solidFill>
          </a:endParaRPr>
        </a:p>
      </dgm:t>
    </dgm:pt>
    <dgm:pt modelId="{5625218D-C67E-4035-9B2C-48DEADDE6334}">
      <dgm:prSet phldrT="[Text]" custT="1"/>
      <dgm:spPr>
        <a:xfrm>
          <a:off x="4021809" y="848299"/>
          <a:ext cx="868637" cy="308964"/>
        </a:xfrm>
      </dgm:spPr>
      <dgm:t>
        <a:bodyPr/>
        <a:lstStyle/>
        <a:p>
          <a:r>
            <a:rPr lang="en-AU" sz="800" b="1">
              <a:solidFill>
                <a:sysClr val="windowText" lastClr="000000"/>
              </a:solidFill>
            </a:rPr>
            <a:t>Senior Project Officer &amp; Content Developer</a:t>
          </a:r>
        </a:p>
      </dgm:t>
    </dgm:pt>
    <dgm:pt modelId="{68B599E5-F533-4D80-9A5F-42E853A48CBE}" type="parTrans" cxnId="{275D8544-A36C-419B-B350-B5C5BB7A993E}">
      <dgm:prSet/>
      <dgm:spPr>
        <a:xfrm>
          <a:off x="3104837" y="314568"/>
          <a:ext cx="1351290" cy="533731"/>
        </a:xfrm>
      </dgm:spPr>
      <dgm:t>
        <a:bodyPr/>
        <a:lstStyle/>
        <a:p>
          <a:endParaRPr lang="en-AU" sz="2400" b="1">
            <a:solidFill>
              <a:sysClr val="windowText" lastClr="000000"/>
            </a:solidFill>
          </a:endParaRPr>
        </a:p>
      </dgm:t>
    </dgm:pt>
    <dgm:pt modelId="{6A5297D3-6F70-45BF-A239-9B4F977D8E16}" type="sibTrans" cxnId="{275D8544-A36C-419B-B350-B5C5BB7A993E}">
      <dgm:prSet/>
      <dgm:spPr/>
      <dgm:t>
        <a:bodyPr/>
        <a:lstStyle/>
        <a:p>
          <a:endParaRPr lang="en-AU" sz="2400" b="1">
            <a:solidFill>
              <a:sysClr val="windowText" lastClr="000000"/>
            </a:solidFill>
          </a:endParaRPr>
        </a:p>
      </dgm:t>
    </dgm:pt>
    <dgm:pt modelId="{15A54728-3D9E-4DC8-A2A1-70F7D986BEE7}">
      <dgm:prSet custT="1"/>
      <dgm:spPr>
        <a:xfrm>
          <a:off x="2809983" y="846826"/>
          <a:ext cx="868637" cy="308964"/>
        </a:xfrm>
      </dgm:spPr>
      <dgm:t>
        <a:bodyPr/>
        <a:lstStyle/>
        <a:p>
          <a:r>
            <a:rPr lang="en-AU" sz="800" b="1">
              <a:solidFill>
                <a:sysClr val="windowText" lastClr="000000"/>
              </a:solidFill>
            </a:rPr>
            <a:t>National Assistive Technology Project Officer*</a:t>
          </a:r>
        </a:p>
      </dgm:t>
    </dgm:pt>
    <dgm:pt modelId="{C461EF36-B2CF-473F-9F74-3AF6A34B0F2A}" type="parTrans" cxnId="{75BAEED6-5EF0-4A2F-BD22-B36BC1DED9B0}">
      <dgm:prSet/>
      <dgm:spPr>
        <a:xfrm>
          <a:off x="3104837" y="314568"/>
          <a:ext cx="139464" cy="532258"/>
        </a:xfrm>
      </dgm:spPr>
      <dgm:t>
        <a:bodyPr/>
        <a:lstStyle/>
        <a:p>
          <a:endParaRPr lang="en-AU" sz="2400" b="1">
            <a:solidFill>
              <a:sysClr val="windowText" lastClr="000000"/>
            </a:solidFill>
          </a:endParaRPr>
        </a:p>
      </dgm:t>
    </dgm:pt>
    <dgm:pt modelId="{03B95F11-BAB8-44A3-B1FF-D350A9456F9C}" type="sibTrans" cxnId="{75BAEED6-5EF0-4A2F-BD22-B36BC1DED9B0}">
      <dgm:prSet/>
      <dgm:spPr/>
      <dgm:t>
        <a:bodyPr/>
        <a:lstStyle/>
        <a:p>
          <a:endParaRPr lang="en-AU" sz="2400" b="1">
            <a:solidFill>
              <a:sysClr val="windowText" lastClr="000000"/>
            </a:solidFill>
          </a:endParaRPr>
        </a:p>
      </dgm:t>
    </dgm:pt>
    <dgm:pt modelId="{72DDE848-E739-4092-8942-BAFB22FDE2AB}">
      <dgm:prSet custT="1"/>
      <dgm:spPr/>
      <dgm:t>
        <a:bodyPr/>
        <a:lstStyle/>
        <a:p>
          <a:r>
            <a:rPr lang="en-AU" sz="800" b="1">
              <a:solidFill>
                <a:sysClr val="windowText" lastClr="000000"/>
              </a:solidFill>
            </a:rPr>
            <a:t>Marketing &amp; Communications</a:t>
          </a:r>
          <a:br>
            <a:rPr lang="en-AU" sz="800" b="1">
              <a:solidFill>
                <a:sysClr val="windowText" lastClr="000000"/>
              </a:solidFill>
            </a:rPr>
          </a:br>
          <a:r>
            <a:rPr lang="en-AU" sz="800" b="1">
              <a:solidFill>
                <a:sysClr val="windowText" lastClr="000000"/>
              </a:solidFill>
            </a:rPr>
            <a:t>Officer^</a:t>
          </a:r>
        </a:p>
      </dgm:t>
    </dgm:pt>
    <dgm:pt modelId="{C5F8AC80-3E15-4962-ADAF-F9C47386AB1D}" type="parTrans" cxnId="{88CEA894-7668-4C92-B967-0B3D5D093DA3}">
      <dgm:prSet/>
      <dgm:spPr/>
      <dgm:t>
        <a:bodyPr/>
        <a:lstStyle/>
        <a:p>
          <a:endParaRPr lang="en-AU" sz="2400" b="1">
            <a:solidFill>
              <a:sysClr val="windowText" lastClr="000000"/>
            </a:solidFill>
          </a:endParaRPr>
        </a:p>
      </dgm:t>
    </dgm:pt>
    <dgm:pt modelId="{36D12760-3599-4AFB-B169-2860EA83321A}" type="sibTrans" cxnId="{88CEA894-7668-4C92-B967-0B3D5D093DA3}">
      <dgm:prSet/>
      <dgm:spPr/>
      <dgm:t>
        <a:bodyPr/>
        <a:lstStyle/>
        <a:p>
          <a:endParaRPr lang="en-AU" sz="2400" b="1">
            <a:solidFill>
              <a:sysClr val="windowText" lastClr="000000"/>
            </a:solidFill>
          </a:endParaRPr>
        </a:p>
      </dgm:t>
    </dgm:pt>
    <dgm:pt modelId="{78B73A2E-F91B-4B5E-9EB3-136160921D99}">
      <dgm:prSet custT="1"/>
      <dgm:spPr/>
      <dgm:t>
        <a:bodyPr/>
        <a:lstStyle/>
        <a:p>
          <a:r>
            <a:rPr lang="en-AU" sz="800" b="1">
              <a:solidFill>
                <a:sysClr val="windowText" lastClr="000000"/>
              </a:solidFill>
            </a:rPr>
            <a:t>Administrative Support Officer*^</a:t>
          </a:r>
        </a:p>
      </dgm:t>
    </dgm:pt>
    <dgm:pt modelId="{5B7B999C-407F-4702-9D37-21B6775DC96B}" type="parTrans" cxnId="{D8A1C9AA-A69C-46B8-BAFA-A608E17320BF}">
      <dgm:prSet/>
      <dgm:spPr/>
      <dgm:t>
        <a:bodyPr/>
        <a:lstStyle/>
        <a:p>
          <a:endParaRPr lang="en-AU" sz="2400" b="1">
            <a:solidFill>
              <a:sysClr val="windowText" lastClr="000000"/>
            </a:solidFill>
          </a:endParaRPr>
        </a:p>
      </dgm:t>
    </dgm:pt>
    <dgm:pt modelId="{690FE06C-FC61-4366-886B-9939AF2450BC}" type="sibTrans" cxnId="{D8A1C9AA-A69C-46B8-BAFA-A608E17320BF}">
      <dgm:prSet/>
      <dgm:spPr/>
      <dgm:t>
        <a:bodyPr/>
        <a:lstStyle/>
        <a:p>
          <a:endParaRPr lang="en-AU" sz="2400" b="1">
            <a:solidFill>
              <a:sysClr val="windowText" lastClr="000000"/>
            </a:solidFill>
          </a:endParaRPr>
        </a:p>
      </dgm:t>
    </dgm:pt>
    <dgm:pt modelId="{D92111E5-AAB7-4C56-9162-708A2A5C06BC}" type="pres">
      <dgm:prSet presAssocID="{2CD5F5F7-BC80-43C5-98ED-F3ADFA1C5098}" presName="hierChild1" presStyleCnt="0">
        <dgm:presLayoutVars>
          <dgm:orgChart val="1"/>
          <dgm:chPref val="1"/>
          <dgm:dir/>
          <dgm:animOne val="branch"/>
          <dgm:animLvl val="lvl"/>
          <dgm:resizeHandles/>
        </dgm:presLayoutVars>
      </dgm:prSet>
      <dgm:spPr/>
    </dgm:pt>
    <dgm:pt modelId="{8DECA606-4610-472F-A9A8-E41E80740EB5}" type="pres">
      <dgm:prSet presAssocID="{45F4A5BD-8E96-4495-820E-6886ED8E065B}" presName="hierRoot1" presStyleCnt="0">
        <dgm:presLayoutVars>
          <dgm:hierBranch val="init"/>
        </dgm:presLayoutVars>
      </dgm:prSet>
      <dgm:spPr/>
    </dgm:pt>
    <dgm:pt modelId="{42304EE9-7809-48C3-AA3C-B76651267857}" type="pres">
      <dgm:prSet presAssocID="{45F4A5BD-8E96-4495-820E-6886ED8E065B}" presName="rootComposite1" presStyleCnt="0"/>
      <dgm:spPr/>
    </dgm:pt>
    <dgm:pt modelId="{12201F1A-9A8A-4C35-86CE-E8E133769E86}" type="pres">
      <dgm:prSet presAssocID="{45F4A5BD-8E96-4495-820E-6886ED8E065B}" presName="rootText1" presStyleLbl="node0" presStyleIdx="0" presStyleCnt="1" custScaleY="82007">
        <dgm:presLayoutVars>
          <dgm:chPref val="3"/>
        </dgm:presLayoutVars>
      </dgm:prSet>
      <dgm:spPr/>
    </dgm:pt>
    <dgm:pt modelId="{B0C2EF7D-466F-4A14-B39E-D28098493402}" type="pres">
      <dgm:prSet presAssocID="{45F4A5BD-8E96-4495-820E-6886ED8E065B}" presName="rootConnector1" presStyleLbl="node1" presStyleIdx="0" presStyleCnt="0"/>
      <dgm:spPr/>
    </dgm:pt>
    <dgm:pt modelId="{73A908FE-4585-47FA-AC04-59D529E9224D}" type="pres">
      <dgm:prSet presAssocID="{45F4A5BD-8E96-4495-820E-6886ED8E065B}" presName="hierChild2" presStyleCnt="0"/>
      <dgm:spPr/>
    </dgm:pt>
    <dgm:pt modelId="{3FC9B6D4-A3F2-45F2-844D-C2F021869D4A}" type="pres">
      <dgm:prSet presAssocID="{5B355717-C7A5-4AF1-83B3-3A038085B42F}" presName="Name37" presStyleLbl="parChTrans1D2" presStyleIdx="0" presStyleCnt="5"/>
      <dgm:spPr/>
    </dgm:pt>
    <dgm:pt modelId="{6E2823AC-87AF-42DE-A926-154637EB761D}" type="pres">
      <dgm:prSet presAssocID="{575932AE-E35E-465F-8C30-D6D6583828BA}" presName="hierRoot2" presStyleCnt="0">
        <dgm:presLayoutVars>
          <dgm:hierBranch val="init"/>
        </dgm:presLayoutVars>
      </dgm:prSet>
      <dgm:spPr/>
    </dgm:pt>
    <dgm:pt modelId="{7C10AC9D-2A16-41A4-B088-141C0717F5BA}" type="pres">
      <dgm:prSet presAssocID="{575932AE-E35E-465F-8C30-D6D6583828BA}" presName="rootComposite" presStyleCnt="0"/>
      <dgm:spPr/>
    </dgm:pt>
    <dgm:pt modelId="{DF3D4FA1-3F16-4912-B363-60E34EC03D07}" type="pres">
      <dgm:prSet presAssocID="{575932AE-E35E-465F-8C30-D6D6583828BA}" presName="rootText" presStyleLbl="node2" presStyleIdx="0" presStyleCnt="5" custScaleY="102330">
        <dgm:presLayoutVars>
          <dgm:chPref val="3"/>
        </dgm:presLayoutVars>
      </dgm:prSet>
      <dgm:spPr/>
    </dgm:pt>
    <dgm:pt modelId="{FA557539-9A96-4B2A-9C7C-0BAB7AC5CB55}" type="pres">
      <dgm:prSet presAssocID="{575932AE-E35E-465F-8C30-D6D6583828BA}" presName="rootConnector" presStyleLbl="node2" presStyleIdx="0" presStyleCnt="5"/>
      <dgm:spPr/>
    </dgm:pt>
    <dgm:pt modelId="{932B4353-3AC8-4F2A-9690-7F5C603A55D9}" type="pres">
      <dgm:prSet presAssocID="{575932AE-E35E-465F-8C30-D6D6583828BA}" presName="hierChild4" presStyleCnt="0"/>
      <dgm:spPr/>
    </dgm:pt>
    <dgm:pt modelId="{E76985EF-8CE0-4486-8261-32ED89648DBE}" type="pres">
      <dgm:prSet presAssocID="{575932AE-E35E-465F-8C30-D6D6583828BA}" presName="hierChild5" presStyleCnt="0"/>
      <dgm:spPr/>
    </dgm:pt>
    <dgm:pt modelId="{87E6A158-64D4-451E-9CA7-55B8BE3C0977}" type="pres">
      <dgm:prSet presAssocID="{68B599E5-F533-4D80-9A5F-42E853A48CBE}" presName="Name37" presStyleLbl="parChTrans1D2" presStyleIdx="1" presStyleCnt="5"/>
      <dgm:spPr/>
    </dgm:pt>
    <dgm:pt modelId="{20B179A0-BA90-47B4-A8DE-B8FE0AECCCA6}" type="pres">
      <dgm:prSet presAssocID="{5625218D-C67E-4035-9B2C-48DEADDE6334}" presName="hierRoot2" presStyleCnt="0">
        <dgm:presLayoutVars>
          <dgm:hierBranch val="init"/>
        </dgm:presLayoutVars>
      </dgm:prSet>
      <dgm:spPr/>
    </dgm:pt>
    <dgm:pt modelId="{ED3E9AEB-28E8-4461-8D72-8E1DAAF7C593}" type="pres">
      <dgm:prSet presAssocID="{5625218D-C67E-4035-9B2C-48DEADDE6334}" presName="rootComposite" presStyleCnt="0"/>
      <dgm:spPr/>
    </dgm:pt>
    <dgm:pt modelId="{77AE5D1B-71C7-46AE-BF0D-38EE12B3D5A8}" type="pres">
      <dgm:prSet presAssocID="{5625218D-C67E-4035-9B2C-48DEADDE6334}" presName="rootText" presStyleLbl="node2" presStyleIdx="1" presStyleCnt="5" custScaleY="102330">
        <dgm:presLayoutVars>
          <dgm:chPref val="3"/>
        </dgm:presLayoutVars>
      </dgm:prSet>
      <dgm:spPr/>
    </dgm:pt>
    <dgm:pt modelId="{56D6D7DA-49B1-4A76-9209-F8C18381C3D9}" type="pres">
      <dgm:prSet presAssocID="{5625218D-C67E-4035-9B2C-48DEADDE6334}" presName="rootConnector" presStyleLbl="node2" presStyleIdx="1" presStyleCnt="5"/>
      <dgm:spPr/>
    </dgm:pt>
    <dgm:pt modelId="{BB8B8CFC-EDA9-4942-86F0-9B099C4AE1E0}" type="pres">
      <dgm:prSet presAssocID="{5625218D-C67E-4035-9B2C-48DEADDE6334}" presName="hierChild4" presStyleCnt="0"/>
      <dgm:spPr/>
    </dgm:pt>
    <dgm:pt modelId="{0C1F8B2C-9489-4B0D-8111-70E6AD753B4A}" type="pres">
      <dgm:prSet presAssocID="{5625218D-C67E-4035-9B2C-48DEADDE6334}" presName="hierChild5" presStyleCnt="0"/>
      <dgm:spPr/>
    </dgm:pt>
    <dgm:pt modelId="{D6E03503-361F-4692-AE00-3C738AD6C063}" type="pres">
      <dgm:prSet presAssocID="{C461EF36-B2CF-473F-9F74-3AF6A34B0F2A}" presName="Name37" presStyleLbl="parChTrans1D2" presStyleIdx="2" presStyleCnt="5"/>
      <dgm:spPr/>
    </dgm:pt>
    <dgm:pt modelId="{32FDF5C5-E848-4C68-BD40-79613FD3EEE3}" type="pres">
      <dgm:prSet presAssocID="{15A54728-3D9E-4DC8-A2A1-70F7D986BEE7}" presName="hierRoot2" presStyleCnt="0">
        <dgm:presLayoutVars>
          <dgm:hierBranch val="init"/>
        </dgm:presLayoutVars>
      </dgm:prSet>
      <dgm:spPr/>
    </dgm:pt>
    <dgm:pt modelId="{FFF53B2C-5C53-4771-8DA9-DB37AB45094E}" type="pres">
      <dgm:prSet presAssocID="{15A54728-3D9E-4DC8-A2A1-70F7D986BEE7}" presName="rootComposite" presStyleCnt="0"/>
      <dgm:spPr/>
    </dgm:pt>
    <dgm:pt modelId="{8B3B5688-6E55-4568-B721-97B17D5F44E8}" type="pres">
      <dgm:prSet presAssocID="{15A54728-3D9E-4DC8-A2A1-70F7D986BEE7}" presName="rootText" presStyleLbl="node2" presStyleIdx="2" presStyleCnt="5" custScaleY="102330">
        <dgm:presLayoutVars>
          <dgm:chPref val="3"/>
        </dgm:presLayoutVars>
      </dgm:prSet>
      <dgm:spPr/>
    </dgm:pt>
    <dgm:pt modelId="{3E9E51AE-C99E-41BB-82A6-5D7C1A0E8AC7}" type="pres">
      <dgm:prSet presAssocID="{15A54728-3D9E-4DC8-A2A1-70F7D986BEE7}" presName="rootConnector" presStyleLbl="node2" presStyleIdx="2" presStyleCnt="5"/>
      <dgm:spPr/>
    </dgm:pt>
    <dgm:pt modelId="{B7CA69FA-36F1-40E1-BF4D-11CC8F680F10}" type="pres">
      <dgm:prSet presAssocID="{15A54728-3D9E-4DC8-A2A1-70F7D986BEE7}" presName="hierChild4" presStyleCnt="0"/>
      <dgm:spPr/>
    </dgm:pt>
    <dgm:pt modelId="{7766B115-4926-44BC-88B3-13CB8BFCB6C0}" type="pres">
      <dgm:prSet presAssocID="{15A54728-3D9E-4DC8-A2A1-70F7D986BEE7}" presName="hierChild5" presStyleCnt="0"/>
      <dgm:spPr/>
    </dgm:pt>
    <dgm:pt modelId="{D26B870C-B3B8-4C5F-BFB1-26882D0EAE98}" type="pres">
      <dgm:prSet presAssocID="{C5F8AC80-3E15-4962-ADAF-F9C47386AB1D}" presName="Name37" presStyleLbl="parChTrans1D2" presStyleIdx="3" presStyleCnt="5"/>
      <dgm:spPr/>
    </dgm:pt>
    <dgm:pt modelId="{4E008724-8260-4B68-8563-084AE6D2217C}" type="pres">
      <dgm:prSet presAssocID="{72DDE848-E739-4092-8942-BAFB22FDE2AB}" presName="hierRoot2" presStyleCnt="0">
        <dgm:presLayoutVars>
          <dgm:hierBranch val="init"/>
        </dgm:presLayoutVars>
      </dgm:prSet>
      <dgm:spPr/>
    </dgm:pt>
    <dgm:pt modelId="{0E0D296F-72A7-4C60-9CD7-638EC3C23FB0}" type="pres">
      <dgm:prSet presAssocID="{72DDE848-E739-4092-8942-BAFB22FDE2AB}" presName="rootComposite" presStyleCnt="0"/>
      <dgm:spPr/>
    </dgm:pt>
    <dgm:pt modelId="{73432112-C21B-4320-82CA-2FE287170F73}" type="pres">
      <dgm:prSet presAssocID="{72DDE848-E739-4092-8942-BAFB22FDE2AB}" presName="rootText" presStyleLbl="node2" presStyleIdx="3" presStyleCnt="5" custScaleY="102330">
        <dgm:presLayoutVars>
          <dgm:chPref val="3"/>
        </dgm:presLayoutVars>
      </dgm:prSet>
      <dgm:spPr/>
    </dgm:pt>
    <dgm:pt modelId="{CF5D7825-BEB1-4EF0-BCB9-E1A9C6E84A6E}" type="pres">
      <dgm:prSet presAssocID="{72DDE848-E739-4092-8942-BAFB22FDE2AB}" presName="rootConnector" presStyleLbl="node2" presStyleIdx="3" presStyleCnt="5"/>
      <dgm:spPr/>
    </dgm:pt>
    <dgm:pt modelId="{ACC7BE25-9A0A-4649-9364-F2B0CBF0B5B7}" type="pres">
      <dgm:prSet presAssocID="{72DDE848-E739-4092-8942-BAFB22FDE2AB}" presName="hierChild4" presStyleCnt="0"/>
      <dgm:spPr/>
    </dgm:pt>
    <dgm:pt modelId="{31A67253-F66B-452E-88D1-F9880822BE3E}" type="pres">
      <dgm:prSet presAssocID="{72DDE848-E739-4092-8942-BAFB22FDE2AB}" presName="hierChild5" presStyleCnt="0"/>
      <dgm:spPr/>
    </dgm:pt>
    <dgm:pt modelId="{EE2B1A57-99A8-4D86-B40E-9265CE20D56F}" type="pres">
      <dgm:prSet presAssocID="{5B7B999C-407F-4702-9D37-21B6775DC96B}" presName="Name37" presStyleLbl="parChTrans1D2" presStyleIdx="4" presStyleCnt="5"/>
      <dgm:spPr/>
    </dgm:pt>
    <dgm:pt modelId="{6715D4E8-3FA6-4774-8318-C7FD0B7885D6}" type="pres">
      <dgm:prSet presAssocID="{78B73A2E-F91B-4B5E-9EB3-136160921D99}" presName="hierRoot2" presStyleCnt="0">
        <dgm:presLayoutVars>
          <dgm:hierBranch val="init"/>
        </dgm:presLayoutVars>
      </dgm:prSet>
      <dgm:spPr/>
    </dgm:pt>
    <dgm:pt modelId="{043E30CA-44A2-414B-A0D6-84A5C78F25A8}" type="pres">
      <dgm:prSet presAssocID="{78B73A2E-F91B-4B5E-9EB3-136160921D99}" presName="rootComposite" presStyleCnt="0"/>
      <dgm:spPr/>
    </dgm:pt>
    <dgm:pt modelId="{00D9D829-F624-48A6-B5D8-FF5D90B8ABC8}" type="pres">
      <dgm:prSet presAssocID="{78B73A2E-F91B-4B5E-9EB3-136160921D99}" presName="rootText" presStyleLbl="node2" presStyleIdx="4" presStyleCnt="5" custScaleY="102330">
        <dgm:presLayoutVars>
          <dgm:chPref val="3"/>
        </dgm:presLayoutVars>
      </dgm:prSet>
      <dgm:spPr/>
    </dgm:pt>
    <dgm:pt modelId="{B0BB5A69-44EF-4BE3-B1F5-471BE851FD36}" type="pres">
      <dgm:prSet presAssocID="{78B73A2E-F91B-4B5E-9EB3-136160921D99}" presName="rootConnector" presStyleLbl="node2" presStyleIdx="4" presStyleCnt="5"/>
      <dgm:spPr/>
    </dgm:pt>
    <dgm:pt modelId="{D5C0C276-AA60-4688-992E-2270C4EDCA57}" type="pres">
      <dgm:prSet presAssocID="{78B73A2E-F91B-4B5E-9EB3-136160921D99}" presName="hierChild4" presStyleCnt="0"/>
      <dgm:spPr/>
    </dgm:pt>
    <dgm:pt modelId="{C896E6F0-2FC2-42F2-B5D4-B907F9CF28F8}" type="pres">
      <dgm:prSet presAssocID="{78B73A2E-F91B-4B5E-9EB3-136160921D99}" presName="hierChild5" presStyleCnt="0"/>
      <dgm:spPr/>
    </dgm:pt>
    <dgm:pt modelId="{AFDE27DB-B7C7-442C-B49B-D857217CAB6C}" type="pres">
      <dgm:prSet presAssocID="{45F4A5BD-8E96-4495-820E-6886ED8E065B}" presName="hierChild3" presStyleCnt="0"/>
      <dgm:spPr/>
    </dgm:pt>
  </dgm:ptLst>
  <dgm:cxnLst>
    <dgm:cxn modelId="{9B1CCC08-36CF-432C-AB64-C1C5176D7D69}" type="presOf" srcId="{78B73A2E-F91B-4B5E-9EB3-136160921D99}" destId="{00D9D829-F624-48A6-B5D8-FF5D90B8ABC8}" srcOrd="0" destOrd="0" presId="urn:microsoft.com/office/officeart/2005/8/layout/orgChart1"/>
    <dgm:cxn modelId="{A888E90F-8412-4851-AA46-792CBD4917B3}" type="presOf" srcId="{5625218D-C67E-4035-9B2C-48DEADDE6334}" destId="{77AE5D1B-71C7-46AE-BF0D-38EE12B3D5A8}" srcOrd="0" destOrd="0" presId="urn:microsoft.com/office/officeart/2005/8/layout/orgChart1"/>
    <dgm:cxn modelId="{392B0214-5305-4BE9-93FA-899C23C09A83}" type="presOf" srcId="{5B7B999C-407F-4702-9D37-21B6775DC96B}" destId="{EE2B1A57-99A8-4D86-B40E-9265CE20D56F}" srcOrd="0" destOrd="0" presId="urn:microsoft.com/office/officeart/2005/8/layout/orgChart1"/>
    <dgm:cxn modelId="{4A882815-27F7-43C9-9C67-1CC9D73F77C5}" type="presOf" srcId="{C461EF36-B2CF-473F-9F74-3AF6A34B0F2A}" destId="{D6E03503-361F-4692-AE00-3C738AD6C063}" srcOrd="0" destOrd="0" presId="urn:microsoft.com/office/officeart/2005/8/layout/orgChart1"/>
    <dgm:cxn modelId="{12695A15-06B8-4970-BFBB-A9A17203F380}" type="presOf" srcId="{15A54728-3D9E-4DC8-A2A1-70F7D986BEE7}" destId="{8B3B5688-6E55-4568-B721-97B17D5F44E8}" srcOrd="0" destOrd="0" presId="urn:microsoft.com/office/officeart/2005/8/layout/orgChart1"/>
    <dgm:cxn modelId="{8BFB3219-02C1-4770-8359-16B198961986}" type="presOf" srcId="{15A54728-3D9E-4DC8-A2A1-70F7D986BEE7}" destId="{3E9E51AE-C99E-41BB-82A6-5D7C1A0E8AC7}" srcOrd="1" destOrd="0" presId="urn:microsoft.com/office/officeart/2005/8/layout/orgChart1"/>
    <dgm:cxn modelId="{32A40F31-736B-493A-890B-FC11C8CC3C3B}" srcId="{45F4A5BD-8E96-4495-820E-6886ED8E065B}" destId="{575932AE-E35E-465F-8C30-D6D6583828BA}" srcOrd="0" destOrd="0" parTransId="{5B355717-C7A5-4AF1-83B3-3A038085B42F}" sibTransId="{0EBE8C36-CB3C-4E3D-8676-70368C14F49F}"/>
    <dgm:cxn modelId="{275D8544-A36C-419B-B350-B5C5BB7A993E}" srcId="{45F4A5BD-8E96-4495-820E-6886ED8E065B}" destId="{5625218D-C67E-4035-9B2C-48DEADDE6334}" srcOrd="1" destOrd="0" parTransId="{68B599E5-F533-4D80-9A5F-42E853A48CBE}" sibTransId="{6A5297D3-6F70-45BF-A239-9B4F977D8E16}"/>
    <dgm:cxn modelId="{98610B66-388E-4FB0-8B99-9C2887FE9E26}" type="presOf" srcId="{45F4A5BD-8E96-4495-820E-6886ED8E065B}" destId="{B0C2EF7D-466F-4A14-B39E-D28098493402}" srcOrd="1" destOrd="0" presId="urn:microsoft.com/office/officeart/2005/8/layout/orgChart1"/>
    <dgm:cxn modelId="{F8AF4F49-1198-47CF-9619-5CC2E14001DB}" type="presOf" srcId="{575932AE-E35E-465F-8C30-D6D6583828BA}" destId="{DF3D4FA1-3F16-4912-B363-60E34EC03D07}" srcOrd="0" destOrd="0" presId="urn:microsoft.com/office/officeart/2005/8/layout/orgChart1"/>
    <dgm:cxn modelId="{37DFE16F-6188-486D-BF1B-DB3EA33626D9}" type="presOf" srcId="{2CD5F5F7-BC80-43C5-98ED-F3ADFA1C5098}" destId="{D92111E5-AAB7-4C56-9162-708A2A5C06BC}" srcOrd="0" destOrd="0" presId="urn:microsoft.com/office/officeart/2005/8/layout/orgChart1"/>
    <dgm:cxn modelId="{85AF6770-DFB8-42B5-AB80-A5B2C2D73DBE}" type="presOf" srcId="{575932AE-E35E-465F-8C30-D6D6583828BA}" destId="{FA557539-9A96-4B2A-9C7C-0BAB7AC5CB55}" srcOrd="1" destOrd="0" presId="urn:microsoft.com/office/officeart/2005/8/layout/orgChart1"/>
    <dgm:cxn modelId="{C6C81156-EFA2-4CB0-8FEB-E7F9AA8FA85C}" type="presOf" srcId="{68B599E5-F533-4D80-9A5F-42E853A48CBE}" destId="{87E6A158-64D4-451E-9CA7-55B8BE3C0977}" srcOrd="0" destOrd="0" presId="urn:microsoft.com/office/officeart/2005/8/layout/orgChart1"/>
    <dgm:cxn modelId="{75007583-54D8-49C8-B485-E1051603F3D7}" type="presOf" srcId="{5B355717-C7A5-4AF1-83B3-3A038085B42F}" destId="{3FC9B6D4-A3F2-45F2-844D-C2F021869D4A}" srcOrd="0" destOrd="0" presId="urn:microsoft.com/office/officeart/2005/8/layout/orgChart1"/>
    <dgm:cxn modelId="{88CEA894-7668-4C92-B967-0B3D5D093DA3}" srcId="{45F4A5BD-8E96-4495-820E-6886ED8E065B}" destId="{72DDE848-E739-4092-8942-BAFB22FDE2AB}" srcOrd="3" destOrd="0" parTransId="{C5F8AC80-3E15-4962-ADAF-F9C47386AB1D}" sibTransId="{36D12760-3599-4AFB-B169-2860EA83321A}"/>
    <dgm:cxn modelId="{0E875C9B-94C6-44D0-AF7E-863B1FE3E3EC}" type="presOf" srcId="{72DDE848-E739-4092-8942-BAFB22FDE2AB}" destId="{CF5D7825-BEB1-4EF0-BCB9-E1A9C6E84A6E}" srcOrd="1" destOrd="0" presId="urn:microsoft.com/office/officeart/2005/8/layout/orgChart1"/>
    <dgm:cxn modelId="{7CCE959B-AD96-46E4-A1F1-CE0F8E73BA7D}" type="presOf" srcId="{45F4A5BD-8E96-4495-820E-6886ED8E065B}" destId="{12201F1A-9A8A-4C35-86CE-E8E133769E86}" srcOrd="0" destOrd="0" presId="urn:microsoft.com/office/officeart/2005/8/layout/orgChart1"/>
    <dgm:cxn modelId="{4F9C24A0-C335-498A-A31B-226352AF1A88}" type="presOf" srcId="{72DDE848-E739-4092-8942-BAFB22FDE2AB}" destId="{73432112-C21B-4320-82CA-2FE287170F73}" srcOrd="0" destOrd="0" presId="urn:microsoft.com/office/officeart/2005/8/layout/orgChart1"/>
    <dgm:cxn modelId="{14A9F3A1-B6DA-440D-AEFD-BE8F5BB15229}" type="presOf" srcId="{C5F8AC80-3E15-4962-ADAF-F9C47386AB1D}" destId="{D26B870C-B3B8-4C5F-BFB1-26882D0EAE98}" srcOrd="0" destOrd="0" presId="urn:microsoft.com/office/officeart/2005/8/layout/orgChart1"/>
    <dgm:cxn modelId="{663F1AAA-754D-4F82-ADDB-49717A17E643}" srcId="{2CD5F5F7-BC80-43C5-98ED-F3ADFA1C5098}" destId="{45F4A5BD-8E96-4495-820E-6886ED8E065B}" srcOrd="0" destOrd="0" parTransId="{810C4630-A716-4796-9A78-7E4AF3223637}" sibTransId="{99D4A797-6C80-47EA-905D-76F82AE2188E}"/>
    <dgm:cxn modelId="{D8A1C9AA-A69C-46B8-BAFA-A608E17320BF}" srcId="{45F4A5BD-8E96-4495-820E-6886ED8E065B}" destId="{78B73A2E-F91B-4B5E-9EB3-136160921D99}" srcOrd="4" destOrd="0" parTransId="{5B7B999C-407F-4702-9D37-21B6775DC96B}" sibTransId="{690FE06C-FC61-4366-886B-9939AF2450BC}"/>
    <dgm:cxn modelId="{58118ACF-F3D5-4DC4-87F9-82528FA9A82C}" type="presOf" srcId="{78B73A2E-F91B-4B5E-9EB3-136160921D99}" destId="{B0BB5A69-44EF-4BE3-B1F5-471BE851FD36}" srcOrd="1" destOrd="0" presId="urn:microsoft.com/office/officeart/2005/8/layout/orgChart1"/>
    <dgm:cxn modelId="{75BAEED6-5EF0-4A2F-BD22-B36BC1DED9B0}" srcId="{45F4A5BD-8E96-4495-820E-6886ED8E065B}" destId="{15A54728-3D9E-4DC8-A2A1-70F7D986BEE7}" srcOrd="2" destOrd="0" parTransId="{C461EF36-B2CF-473F-9F74-3AF6A34B0F2A}" sibTransId="{03B95F11-BAB8-44A3-B1FF-D350A9456F9C}"/>
    <dgm:cxn modelId="{E57036EC-00E6-408A-AEA7-A8A48E6F2830}" type="presOf" srcId="{5625218D-C67E-4035-9B2C-48DEADDE6334}" destId="{56D6D7DA-49B1-4A76-9209-F8C18381C3D9}" srcOrd="1" destOrd="0" presId="urn:microsoft.com/office/officeart/2005/8/layout/orgChart1"/>
    <dgm:cxn modelId="{3B30270C-67F9-4CC8-B634-15ED4DA4CE34}" type="presParOf" srcId="{D92111E5-AAB7-4C56-9162-708A2A5C06BC}" destId="{8DECA606-4610-472F-A9A8-E41E80740EB5}" srcOrd="0" destOrd="0" presId="urn:microsoft.com/office/officeart/2005/8/layout/orgChart1"/>
    <dgm:cxn modelId="{02B0B7E9-36DD-4544-9D95-924807BC4F19}" type="presParOf" srcId="{8DECA606-4610-472F-A9A8-E41E80740EB5}" destId="{42304EE9-7809-48C3-AA3C-B76651267857}" srcOrd="0" destOrd="0" presId="urn:microsoft.com/office/officeart/2005/8/layout/orgChart1"/>
    <dgm:cxn modelId="{E5A76759-9063-430D-8A19-B472D98809DE}" type="presParOf" srcId="{42304EE9-7809-48C3-AA3C-B76651267857}" destId="{12201F1A-9A8A-4C35-86CE-E8E133769E86}" srcOrd="0" destOrd="0" presId="urn:microsoft.com/office/officeart/2005/8/layout/orgChart1"/>
    <dgm:cxn modelId="{5F34FB69-E1EF-43EC-A90A-08ADB898A933}" type="presParOf" srcId="{42304EE9-7809-48C3-AA3C-B76651267857}" destId="{B0C2EF7D-466F-4A14-B39E-D28098493402}" srcOrd="1" destOrd="0" presId="urn:microsoft.com/office/officeart/2005/8/layout/orgChart1"/>
    <dgm:cxn modelId="{6275C38C-FF1F-4EE2-A9F2-5CE8FEB885F8}" type="presParOf" srcId="{8DECA606-4610-472F-A9A8-E41E80740EB5}" destId="{73A908FE-4585-47FA-AC04-59D529E9224D}" srcOrd="1" destOrd="0" presId="urn:microsoft.com/office/officeart/2005/8/layout/orgChart1"/>
    <dgm:cxn modelId="{E96CAAE6-163B-4995-AFE0-CECF8270A245}" type="presParOf" srcId="{73A908FE-4585-47FA-AC04-59D529E9224D}" destId="{3FC9B6D4-A3F2-45F2-844D-C2F021869D4A}" srcOrd="0" destOrd="0" presId="urn:microsoft.com/office/officeart/2005/8/layout/orgChart1"/>
    <dgm:cxn modelId="{077FCDFF-9953-4D02-9034-6CF102BBB899}" type="presParOf" srcId="{73A908FE-4585-47FA-AC04-59D529E9224D}" destId="{6E2823AC-87AF-42DE-A926-154637EB761D}" srcOrd="1" destOrd="0" presId="urn:microsoft.com/office/officeart/2005/8/layout/orgChart1"/>
    <dgm:cxn modelId="{1F2A2947-E422-4F31-BEB8-0A8A10EB31EF}" type="presParOf" srcId="{6E2823AC-87AF-42DE-A926-154637EB761D}" destId="{7C10AC9D-2A16-41A4-B088-141C0717F5BA}" srcOrd="0" destOrd="0" presId="urn:microsoft.com/office/officeart/2005/8/layout/orgChart1"/>
    <dgm:cxn modelId="{981FAF46-4731-4013-92D2-704A0B6BDB9E}" type="presParOf" srcId="{7C10AC9D-2A16-41A4-B088-141C0717F5BA}" destId="{DF3D4FA1-3F16-4912-B363-60E34EC03D07}" srcOrd="0" destOrd="0" presId="urn:microsoft.com/office/officeart/2005/8/layout/orgChart1"/>
    <dgm:cxn modelId="{E1E36D14-74D1-4B94-85B8-6F6653AEA090}" type="presParOf" srcId="{7C10AC9D-2A16-41A4-B088-141C0717F5BA}" destId="{FA557539-9A96-4B2A-9C7C-0BAB7AC5CB55}" srcOrd="1" destOrd="0" presId="urn:microsoft.com/office/officeart/2005/8/layout/orgChart1"/>
    <dgm:cxn modelId="{A8348C71-CB92-4151-A80B-366E6AC37051}" type="presParOf" srcId="{6E2823AC-87AF-42DE-A926-154637EB761D}" destId="{932B4353-3AC8-4F2A-9690-7F5C603A55D9}" srcOrd="1" destOrd="0" presId="urn:microsoft.com/office/officeart/2005/8/layout/orgChart1"/>
    <dgm:cxn modelId="{C5DD4E74-3B90-4F74-8404-E08F27EFBF3A}" type="presParOf" srcId="{6E2823AC-87AF-42DE-A926-154637EB761D}" destId="{E76985EF-8CE0-4486-8261-32ED89648DBE}" srcOrd="2" destOrd="0" presId="urn:microsoft.com/office/officeart/2005/8/layout/orgChart1"/>
    <dgm:cxn modelId="{F9C02E39-5226-42DD-A45D-6D7386900A64}" type="presParOf" srcId="{73A908FE-4585-47FA-AC04-59D529E9224D}" destId="{87E6A158-64D4-451E-9CA7-55B8BE3C0977}" srcOrd="2" destOrd="0" presId="urn:microsoft.com/office/officeart/2005/8/layout/orgChart1"/>
    <dgm:cxn modelId="{34A43BA0-590E-4348-910D-4E13C04C342E}" type="presParOf" srcId="{73A908FE-4585-47FA-AC04-59D529E9224D}" destId="{20B179A0-BA90-47B4-A8DE-B8FE0AECCCA6}" srcOrd="3" destOrd="0" presId="urn:microsoft.com/office/officeart/2005/8/layout/orgChart1"/>
    <dgm:cxn modelId="{7CB7F0B1-A432-4CB4-92E6-112269CC1F0F}" type="presParOf" srcId="{20B179A0-BA90-47B4-A8DE-B8FE0AECCCA6}" destId="{ED3E9AEB-28E8-4461-8D72-8E1DAAF7C593}" srcOrd="0" destOrd="0" presId="urn:microsoft.com/office/officeart/2005/8/layout/orgChart1"/>
    <dgm:cxn modelId="{EA4D05B5-82CF-4117-A642-0DB67731C35A}" type="presParOf" srcId="{ED3E9AEB-28E8-4461-8D72-8E1DAAF7C593}" destId="{77AE5D1B-71C7-46AE-BF0D-38EE12B3D5A8}" srcOrd="0" destOrd="0" presId="urn:microsoft.com/office/officeart/2005/8/layout/orgChart1"/>
    <dgm:cxn modelId="{01CCEB33-F002-42F5-AFA1-72CEC9499394}" type="presParOf" srcId="{ED3E9AEB-28E8-4461-8D72-8E1DAAF7C593}" destId="{56D6D7DA-49B1-4A76-9209-F8C18381C3D9}" srcOrd="1" destOrd="0" presId="urn:microsoft.com/office/officeart/2005/8/layout/orgChart1"/>
    <dgm:cxn modelId="{32F2C04E-BCBB-439E-9054-B2BBB22B75A7}" type="presParOf" srcId="{20B179A0-BA90-47B4-A8DE-B8FE0AECCCA6}" destId="{BB8B8CFC-EDA9-4942-86F0-9B099C4AE1E0}" srcOrd="1" destOrd="0" presId="urn:microsoft.com/office/officeart/2005/8/layout/orgChart1"/>
    <dgm:cxn modelId="{1FE97718-D8EF-43FE-B31C-864D6AD1E86C}" type="presParOf" srcId="{20B179A0-BA90-47B4-A8DE-B8FE0AECCCA6}" destId="{0C1F8B2C-9489-4B0D-8111-70E6AD753B4A}" srcOrd="2" destOrd="0" presId="urn:microsoft.com/office/officeart/2005/8/layout/orgChart1"/>
    <dgm:cxn modelId="{84872EE7-4BB0-4E22-8F1C-89923B843659}" type="presParOf" srcId="{73A908FE-4585-47FA-AC04-59D529E9224D}" destId="{D6E03503-361F-4692-AE00-3C738AD6C063}" srcOrd="4" destOrd="0" presId="urn:microsoft.com/office/officeart/2005/8/layout/orgChart1"/>
    <dgm:cxn modelId="{09D98AB7-E3EA-480D-8800-10C8835FB939}" type="presParOf" srcId="{73A908FE-4585-47FA-AC04-59D529E9224D}" destId="{32FDF5C5-E848-4C68-BD40-79613FD3EEE3}" srcOrd="5" destOrd="0" presId="urn:microsoft.com/office/officeart/2005/8/layout/orgChart1"/>
    <dgm:cxn modelId="{C4665ABE-738C-4A27-A18D-391EC2D62181}" type="presParOf" srcId="{32FDF5C5-E848-4C68-BD40-79613FD3EEE3}" destId="{FFF53B2C-5C53-4771-8DA9-DB37AB45094E}" srcOrd="0" destOrd="0" presId="urn:microsoft.com/office/officeart/2005/8/layout/orgChart1"/>
    <dgm:cxn modelId="{984BB0EF-67C6-49E5-824A-FD8A45C703B5}" type="presParOf" srcId="{FFF53B2C-5C53-4771-8DA9-DB37AB45094E}" destId="{8B3B5688-6E55-4568-B721-97B17D5F44E8}" srcOrd="0" destOrd="0" presId="urn:microsoft.com/office/officeart/2005/8/layout/orgChart1"/>
    <dgm:cxn modelId="{710412AA-FC42-4BEF-B0E7-3E2D744C8425}" type="presParOf" srcId="{FFF53B2C-5C53-4771-8DA9-DB37AB45094E}" destId="{3E9E51AE-C99E-41BB-82A6-5D7C1A0E8AC7}" srcOrd="1" destOrd="0" presId="urn:microsoft.com/office/officeart/2005/8/layout/orgChart1"/>
    <dgm:cxn modelId="{2BD705BC-09C6-4993-8E6E-8CF78CF94B10}" type="presParOf" srcId="{32FDF5C5-E848-4C68-BD40-79613FD3EEE3}" destId="{B7CA69FA-36F1-40E1-BF4D-11CC8F680F10}" srcOrd="1" destOrd="0" presId="urn:microsoft.com/office/officeart/2005/8/layout/orgChart1"/>
    <dgm:cxn modelId="{D0C06C1B-AF0C-4933-A98E-122E2674FA9D}" type="presParOf" srcId="{32FDF5C5-E848-4C68-BD40-79613FD3EEE3}" destId="{7766B115-4926-44BC-88B3-13CB8BFCB6C0}" srcOrd="2" destOrd="0" presId="urn:microsoft.com/office/officeart/2005/8/layout/orgChart1"/>
    <dgm:cxn modelId="{BD6CDA56-4A90-4B5B-8223-5520273C09D8}" type="presParOf" srcId="{73A908FE-4585-47FA-AC04-59D529E9224D}" destId="{D26B870C-B3B8-4C5F-BFB1-26882D0EAE98}" srcOrd="6" destOrd="0" presId="urn:microsoft.com/office/officeart/2005/8/layout/orgChart1"/>
    <dgm:cxn modelId="{1E86C753-B68D-44A1-AE2B-65EBB797724E}" type="presParOf" srcId="{73A908FE-4585-47FA-AC04-59D529E9224D}" destId="{4E008724-8260-4B68-8563-084AE6D2217C}" srcOrd="7" destOrd="0" presId="urn:microsoft.com/office/officeart/2005/8/layout/orgChart1"/>
    <dgm:cxn modelId="{4B9234CF-5B52-4E8E-A4DD-89AD8D8552D7}" type="presParOf" srcId="{4E008724-8260-4B68-8563-084AE6D2217C}" destId="{0E0D296F-72A7-4C60-9CD7-638EC3C23FB0}" srcOrd="0" destOrd="0" presId="urn:microsoft.com/office/officeart/2005/8/layout/orgChart1"/>
    <dgm:cxn modelId="{D8905535-F1DD-4E54-A143-459F19E28AF2}" type="presParOf" srcId="{0E0D296F-72A7-4C60-9CD7-638EC3C23FB0}" destId="{73432112-C21B-4320-82CA-2FE287170F73}" srcOrd="0" destOrd="0" presId="urn:microsoft.com/office/officeart/2005/8/layout/orgChart1"/>
    <dgm:cxn modelId="{19E33CFC-C183-49C0-A235-438239DB0735}" type="presParOf" srcId="{0E0D296F-72A7-4C60-9CD7-638EC3C23FB0}" destId="{CF5D7825-BEB1-4EF0-BCB9-E1A9C6E84A6E}" srcOrd="1" destOrd="0" presId="urn:microsoft.com/office/officeart/2005/8/layout/orgChart1"/>
    <dgm:cxn modelId="{0AB626E1-2AC5-49F4-82B6-4F2DF2136981}" type="presParOf" srcId="{4E008724-8260-4B68-8563-084AE6D2217C}" destId="{ACC7BE25-9A0A-4649-9364-F2B0CBF0B5B7}" srcOrd="1" destOrd="0" presId="urn:microsoft.com/office/officeart/2005/8/layout/orgChart1"/>
    <dgm:cxn modelId="{45F986F8-4F1F-4D08-ABBC-9D1A105D42CB}" type="presParOf" srcId="{4E008724-8260-4B68-8563-084AE6D2217C}" destId="{31A67253-F66B-452E-88D1-F9880822BE3E}" srcOrd="2" destOrd="0" presId="urn:microsoft.com/office/officeart/2005/8/layout/orgChart1"/>
    <dgm:cxn modelId="{A00B9F88-A0FB-4F68-B69A-12EA3BD149DC}" type="presParOf" srcId="{73A908FE-4585-47FA-AC04-59D529E9224D}" destId="{EE2B1A57-99A8-4D86-B40E-9265CE20D56F}" srcOrd="8" destOrd="0" presId="urn:microsoft.com/office/officeart/2005/8/layout/orgChart1"/>
    <dgm:cxn modelId="{87C1BB52-3BB6-4E74-AB49-423349BC097A}" type="presParOf" srcId="{73A908FE-4585-47FA-AC04-59D529E9224D}" destId="{6715D4E8-3FA6-4774-8318-C7FD0B7885D6}" srcOrd="9" destOrd="0" presId="urn:microsoft.com/office/officeart/2005/8/layout/orgChart1"/>
    <dgm:cxn modelId="{207F7805-D2B3-45B5-96CA-8D0AF260C339}" type="presParOf" srcId="{6715D4E8-3FA6-4774-8318-C7FD0B7885D6}" destId="{043E30CA-44A2-414B-A0D6-84A5C78F25A8}" srcOrd="0" destOrd="0" presId="urn:microsoft.com/office/officeart/2005/8/layout/orgChart1"/>
    <dgm:cxn modelId="{2F513CEE-E788-4CB2-8F19-31DFFA872735}" type="presParOf" srcId="{043E30CA-44A2-414B-A0D6-84A5C78F25A8}" destId="{00D9D829-F624-48A6-B5D8-FF5D90B8ABC8}" srcOrd="0" destOrd="0" presId="urn:microsoft.com/office/officeart/2005/8/layout/orgChart1"/>
    <dgm:cxn modelId="{AA84B4D2-6DE5-4240-A65E-04C0ABA93FF8}" type="presParOf" srcId="{043E30CA-44A2-414B-A0D6-84A5C78F25A8}" destId="{B0BB5A69-44EF-4BE3-B1F5-471BE851FD36}" srcOrd="1" destOrd="0" presId="urn:microsoft.com/office/officeart/2005/8/layout/orgChart1"/>
    <dgm:cxn modelId="{5EA084E0-FEAD-40F5-901D-D3D083B7A8B7}" type="presParOf" srcId="{6715D4E8-3FA6-4774-8318-C7FD0B7885D6}" destId="{D5C0C276-AA60-4688-992E-2270C4EDCA57}" srcOrd="1" destOrd="0" presId="urn:microsoft.com/office/officeart/2005/8/layout/orgChart1"/>
    <dgm:cxn modelId="{E2F264CE-0257-41D2-8A6F-982A1F0C9A3B}" type="presParOf" srcId="{6715D4E8-3FA6-4774-8318-C7FD0B7885D6}" destId="{C896E6F0-2FC2-42F2-B5D4-B907F9CF28F8}" srcOrd="2" destOrd="0" presId="urn:microsoft.com/office/officeart/2005/8/layout/orgChart1"/>
    <dgm:cxn modelId="{B12CBC52-58D7-424B-A4F7-CD89E3C2BB9E}" type="presParOf" srcId="{8DECA606-4610-472F-A9A8-E41E80740EB5}" destId="{AFDE27DB-B7C7-442C-B49B-D857217CAB6C}" srcOrd="2" destOrd="0" presId="urn:microsoft.com/office/officeart/2005/8/layout/orgChart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077454-80AD-4D41-AECA-E18C9DE2B836}"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AU"/>
        </a:p>
      </dgm:t>
    </dgm:pt>
    <dgm:pt modelId="{149AEE62-935E-4865-82B4-894AFEB5DF81}">
      <dgm:prSet phldrT="[Text]" custT="1"/>
      <dgm:spPr/>
      <dgm:t>
        <a:bodyPr/>
        <a:lstStyle/>
        <a:p>
          <a:r>
            <a:rPr lang="en-AU" sz="900" b="1">
              <a:solidFill>
                <a:sysClr val="windowText" lastClr="000000"/>
              </a:solidFill>
              <a:latin typeface="Arial" panose="020B0604020202020204" pitchFamily="34" charset="0"/>
              <a:cs typeface="Arial" panose="020B0604020202020204" pitchFamily="34" charset="0"/>
            </a:rPr>
            <a:t>Director</a:t>
          </a:r>
        </a:p>
      </dgm:t>
    </dgm:pt>
    <dgm:pt modelId="{52D3993C-A0FD-4564-BE68-20B55437F022}" type="parTrans" cxnId="{2E5A2BD9-FBA3-4CB5-B3F6-6D0EFC6951B1}">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BB18137A-96AF-49FE-831B-BC4BB143BD71}" type="sibTrans" cxnId="{2E5A2BD9-FBA3-4CB5-B3F6-6D0EFC6951B1}">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851C55F1-EA99-4994-9353-59E22DB19C17}">
      <dgm:prSet phldrT="[Text]" custT="1"/>
      <dgm:spPr/>
      <dgm:t>
        <a:bodyPr/>
        <a:lstStyle/>
        <a:p>
          <a:r>
            <a:rPr lang="en-AU" sz="900" b="1">
              <a:solidFill>
                <a:sysClr val="windowText" lastClr="000000"/>
              </a:solidFill>
              <a:latin typeface="Arial" panose="020B0604020202020204" pitchFamily="34" charset="0"/>
              <a:cs typeface="Arial" panose="020B0604020202020204" pitchFamily="34" charset="0"/>
            </a:rPr>
            <a:t>Education &amp; Training Portfolio</a:t>
          </a:r>
        </a:p>
      </dgm:t>
    </dgm:pt>
    <dgm:pt modelId="{29F196E3-E115-406E-9D94-23CB13227E71}" type="parTrans" cxnId="{2CA18492-73B1-44AE-98B6-E4E387C27D02}">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B0081E47-C707-453D-98DB-72B2928DF886}" type="sibTrans" cxnId="{2CA18492-73B1-44AE-98B6-E4E387C27D02}">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B0884E6D-B1BB-46A7-BC98-989D5E577907}">
      <dgm:prSet phldrT="[Text]" custT="1"/>
      <dgm:spPr/>
      <dgm:t>
        <a:bodyPr/>
        <a:lstStyle/>
        <a:p>
          <a:r>
            <a:rPr lang="en-AU" sz="900" b="1">
              <a:solidFill>
                <a:sysClr val="windowText" lastClr="000000"/>
              </a:solidFill>
              <a:latin typeface="Arial" panose="020B0604020202020204" pitchFamily="34" charset="0"/>
              <a:cs typeface="Arial" panose="020B0604020202020204" pitchFamily="34" charset="0"/>
            </a:rPr>
            <a:t>Policy &amp; Evaluation Portfolio</a:t>
          </a:r>
        </a:p>
      </dgm:t>
    </dgm:pt>
    <dgm:pt modelId="{6551D518-1A1B-44B6-B287-7A5F08B905A2}" type="parTrans" cxnId="{32A4E538-CB4B-4AA8-9403-22F19EFE5B8C}">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BC966F84-4E18-428E-A54A-92E75B8D7D98}" type="sibTrans" cxnId="{32A4E538-CB4B-4AA8-9403-22F19EFE5B8C}">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A716FC8C-69DB-4C50-B112-F9113D355B9A}">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Training &amp; Awareness</a:t>
          </a:r>
        </a:p>
      </dgm:t>
    </dgm:pt>
    <dgm:pt modelId="{F3F0A799-81BE-4F10-B19B-8EA8053ACC4C}" type="parTrans" cxnId="{2FBD3DD5-4C23-419E-A963-4C58C28CF502}">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22F4159B-4B7A-4714-92C9-881D43DE3171}" type="sibTrans" cxnId="{2FBD3DD5-4C23-419E-A963-4C58C28CF502}">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9ACD6C92-854C-49C7-A17A-8F8BCAF78DE7}">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Universal Design</a:t>
          </a:r>
        </a:p>
      </dgm:t>
    </dgm:pt>
    <dgm:pt modelId="{A68ED90C-DCC5-4CAF-85AA-AAA42A200901}" type="parTrans" cxnId="{45D5AB5E-EB5D-41C4-9931-08E76890287E}">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792D6179-43F2-492E-84EF-778C56B5C446}" type="sibTrans" cxnId="{45D5AB5E-EB5D-41C4-9931-08E76890287E}">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0DC2A295-C355-4395-8CA8-F35E98B464B2}">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Content Management</a:t>
          </a:r>
        </a:p>
      </dgm:t>
    </dgm:pt>
    <dgm:pt modelId="{329BDAD9-1EC2-45A2-9983-3FC6B1B6B446}" type="parTrans" cxnId="{6552A034-BAEB-4B5D-90F3-2F5747C87817}">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6C2FBA43-965D-414D-A6D3-958215AFDC7F}" type="sibTrans" cxnId="{6552A034-BAEB-4B5D-90F3-2F5747C87817}">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ECED3C3C-2C01-4616-848A-E21987150298}">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Data and Evaluation</a:t>
          </a:r>
        </a:p>
      </dgm:t>
    </dgm:pt>
    <dgm:pt modelId="{843071D0-5BFD-4F03-8CF7-ED59D5BF89CD}" type="parTrans" cxnId="{2066C9DB-3BF6-4E80-B7DA-6E12F87DA7F0}">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8BE70392-DADC-4B40-B281-0609F264788B}" type="sibTrans" cxnId="{2066C9DB-3BF6-4E80-B7DA-6E12F87DA7F0}">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4ABDD84A-884D-479E-A01A-894E3C52E36A}">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Policy and Advocacy</a:t>
          </a:r>
        </a:p>
      </dgm:t>
    </dgm:pt>
    <dgm:pt modelId="{EC095D4F-2DF7-405D-9433-77633418C430}" type="parTrans" cxnId="{F40A8909-7C3B-47CE-A14F-FB39DD7BDC3B}">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56DD61B0-E8F5-4F42-9040-E7AFE20E8763}" type="sibTrans" cxnId="{F40A8909-7C3B-47CE-A14F-FB39DD7BDC3B}">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F3105E11-FF5B-4E83-A488-450CEDCEC31D}">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Research</a:t>
          </a:r>
        </a:p>
      </dgm:t>
    </dgm:pt>
    <dgm:pt modelId="{092C5F08-6CC9-4976-BF64-2F9D583B3EA5}" type="parTrans" cxnId="{E55D76A2-25F0-446C-BF0C-3B6B8E4CDC86}">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088CDD03-E4A2-4E87-BF11-FBAD76EBE93E}" type="sibTrans" cxnId="{E55D76A2-25F0-446C-BF0C-3B6B8E4CDC86}">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7E3573C2-34E7-4C0E-A888-28EE8DE82F13}">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Legal</a:t>
          </a:r>
        </a:p>
      </dgm:t>
    </dgm:pt>
    <dgm:pt modelId="{B1CE1239-F0FE-4EBC-969B-4E06B1F4886A}" type="parTrans" cxnId="{F7714F76-0829-40E9-9EC9-448528055855}">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611A36F2-B720-40BC-B62D-64C8B61FB4A1}" type="sibTrans" cxnId="{F7714F76-0829-40E9-9EC9-448528055855}">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BD19F7A0-8B2D-4CF6-B0DE-4AEF81326D41}">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Transitions Projects</a:t>
          </a:r>
        </a:p>
      </dgm:t>
    </dgm:pt>
    <dgm:pt modelId="{7F868F7E-0A0F-4AD5-B409-F96823FBB02C}" type="parTrans" cxnId="{0102193E-665E-4E46-A3D7-CCEBC43025F1}">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45C3A09A-B79F-4DE8-940A-D2AC803D1A4A}" type="sibTrans" cxnId="{0102193E-665E-4E46-A3D7-CCEBC43025F1}">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36F4DC87-E4C6-4F81-AB44-E13360C0E4C9}">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Participation</a:t>
          </a:r>
        </a:p>
      </dgm:t>
    </dgm:pt>
    <dgm:pt modelId="{7E140B10-4929-43A7-A184-0078419739BF}" type="parTrans" cxnId="{F3444EDF-691C-4881-B3BB-A3A681C5CB89}">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25BB74EC-79E3-46C2-955D-BDAC8DF6AE4F}" type="sibTrans" cxnId="{F3444EDF-691C-4881-B3BB-A3A681C5CB89}">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1598A24C-E31A-4958-9406-EF8A81A4F89B}">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Graduate Employment</a:t>
          </a:r>
        </a:p>
      </dgm:t>
    </dgm:pt>
    <dgm:pt modelId="{071437F2-5FFF-4FB6-BFB8-396CFDD7CA3A}" type="parTrans" cxnId="{F1D90F4A-BEEA-4105-BC83-7240AE2FC5AF}">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E123A575-3988-41BD-A957-2787B2085A1D}" type="sibTrans" cxnId="{F1D90F4A-BEEA-4105-BC83-7240AE2FC5AF}">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A20EBA17-2C31-4A16-A844-5753EA0C7EA3}" type="asst">
      <dgm:prSet custT="1">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en-AU" sz="900" b="1">
              <a:solidFill>
                <a:sysClr val="windowText" lastClr="000000"/>
              </a:solidFill>
              <a:latin typeface="Arial" panose="020B0604020202020204" pitchFamily="34" charset="0"/>
              <a:cs typeface="Arial" panose="020B0604020202020204" pitchFamily="34" charset="0"/>
            </a:rPr>
            <a:t>Advisory Group</a:t>
          </a:r>
        </a:p>
      </dgm:t>
    </dgm:pt>
    <dgm:pt modelId="{55907392-5133-4145-814E-5418D2D23DD2}" type="parTrans" cxnId="{4F93F3D9-E561-44A4-AE97-25649DB76AC0}">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6"/>
          </a:solidFill>
          <a:prstDash val="dash"/>
          <a:round/>
          <a:headEnd type="none" w="med" len="med"/>
          <a:tailEnd type="none" w="med" len="med"/>
        </a:ln>
      </dgm:spPr>
      <dgm:t>
        <a:bodyPr/>
        <a:lstStyle/>
        <a:p>
          <a:endParaRPr lang="en-AU" sz="900" b="1">
            <a:latin typeface="Arial" panose="020B0604020202020204" pitchFamily="34" charset="0"/>
            <a:cs typeface="Arial" panose="020B0604020202020204" pitchFamily="34" charset="0"/>
          </a:endParaRPr>
        </a:p>
      </dgm:t>
    </dgm:pt>
    <dgm:pt modelId="{D770D91D-EED0-4CEB-BEC0-43E25EEF8170}" type="sibTrans" cxnId="{4F93F3D9-E561-44A4-AE97-25649DB76AC0}">
      <dgm:prSet/>
      <dgm:spPr/>
      <dgm:t>
        <a:bodyPr/>
        <a:lstStyle/>
        <a:p>
          <a:endParaRPr lang="en-AU" sz="900" b="1">
            <a:latin typeface="Arial" panose="020B0604020202020204" pitchFamily="34" charset="0"/>
            <a:cs typeface="Arial" panose="020B0604020202020204" pitchFamily="34" charset="0"/>
          </a:endParaRPr>
        </a:p>
      </dgm:t>
    </dgm:pt>
    <dgm:pt modelId="{9915ACDE-5F7A-4B1C-87D1-3621DCBFCCB8}">
      <dgm:prSet custT="1"/>
      <dgm:spPr/>
      <dgm:t>
        <a:bodyPr/>
        <a:lstStyle/>
        <a:p>
          <a:r>
            <a:rPr lang="en-AU" sz="900" b="1">
              <a:solidFill>
                <a:sysClr val="windowText" lastClr="000000"/>
              </a:solidFill>
              <a:latin typeface="Arial" panose="020B0604020202020204" pitchFamily="34" charset="0"/>
              <a:cs typeface="Arial" panose="020B0604020202020204" pitchFamily="34" charset="0"/>
            </a:rPr>
            <a:t>Business Services</a:t>
          </a:r>
        </a:p>
      </dgm:t>
    </dgm:pt>
    <dgm:pt modelId="{C192E1B1-CFE0-426F-8038-DE36BB921D95}" type="sibTrans" cxnId="{9A1BF1DA-0A10-45C9-96A8-5AA4B6479B14}">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150D2496-6B5E-4F4A-88FC-C26FB2962980}" type="parTrans" cxnId="{9A1BF1DA-0A10-45C9-96A8-5AA4B6479B14}">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0B6CFE56-E552-4FAC-A943-AD1118881EA7}">
      <dgm:prSet phldrT="[Text]" custT="1"/>
      <dgm:spPr/>
      <dgm:t>
        <a:bodyPr/>
        <a:lstStyle/>
        <a:p>
          <a:r>
            <a:rPr lang="en-AU" sz="900" b="1">
              <a:solidFill>
                <a:sysClr val="windowText" lastClr="000000"/>
              </a:solidFill>
              <a:latin typeface="Arial" panose="020B0604020202020204" pitchFamily="34" charset="0"/>
              <a:cs typeface="Arial" panose="020B0604020202020204" pitchFamily="34" charset="0"/>
            </a:rPr>
            <a:t>Projects Portfolio</a:t>
          </a:r>
        </a:p>
      </dgm:t>
    </dgm:pt>
    <dgm:pt modelId="{EA092DD4-1FFF-4467-83BB-33CC4D577B61}" type="sibTrans" cxnId="{1AD170E0-2409-47E7-BB7F-99940B4E62D4}">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879E56CE-8C38-46DF-B368-ED1B5575EF58}" type="parTrans" cxnId="{1AD170E0-2409-47E7-BB7F-99940B4E62D4}">
      <dgm:prSet/>
      <dgm:spPr/>
      <dgm:t>
        <a:bodyPr/>
        <a:lstStyle/>
        <a:p>
          <a:endParaRPr lang="en-AU" sz="900" b="1">
            <a:solidFill>
              <a:sysClr val="windowText" lastClr="000000"/>
            </a:solidFill>
            <a:latin typeface="Arial" panose="020B0604020202020204" pitchFamily="34" charset="0"/>
            <a:cs typeface="Arial" panose="020B0604020202020204" pitchFamily="34" charset="0"/>
          </a:endParaRPr>
        </a:p>
      </dgm:t>
    </dgm:pt>
    <dgm:pt modelId="{9191711E-BFB1-47B6-9583-3DA2CE44BF09}" type="pres">
      <dgm:prSet presAssocID="{99077454-80AD-4D41-AECA-E18C9DE2B836}" presName="hierChild1" presStyleCnt="0">
        <dgm:presLayoutVars>
          <dgm:orgChart val="1"/>
          <dgm:chPref val="1"/>
          <dgm:dir/>
          <dgm:animOne val="branch"/>
          <dgm:animLvl val="lvl"/>
          <dgm:resizeHandles/>
        </dgm:presLayoutVars>
      </dgm:prSet>
      <dgm:spPr/>
    </dgm:pt>
    <dgm:pt modelId="{DCA396F1-B518-4CBE-A1E0-54E37D6E4504}" type="pres">
      <dgm:prSet presAssocID="{149AEE62-935E-4865-82B4-894AFEB5DF81}" presName="hierRoot1" presStyleCnt="0">
        <dgm:presLayoutVars>
          <dgm:hierBranch val="init"/>
        </dgm:presLayoutVars>
      </dgm:prSet>
      <dgm:spPr/>
    </dgm:pt>
    <dgm:pt modelId="{5A4A2053-ED02-438D-AB67-813A5B37E98F}" type="pres">
      <dgm:prSet presAssocID="{149AEE62-935E-4865-82B4-894AFEB5DF81}" presName="rootComposite1" presStyleCnt="0"/>
      <dgm:spPr/>
    </dgm:pt>
    <dgm:pt modelId="{3A1E7007-7709-4D67-921E-3D09EF1F3F61}" type="pres">
      <dgm:prSet presAssocID="{149AEE62-935E-4865-82B4-894AFEB5DF81}" presName="rootText1" presStyleLbl="node0" presStyleIdx="0" presStyleCnt="1" custScaleX="228977" custLinFactNeighborX="-1348" custLinFactNeighborY="-34272">
        <dgm:presLayoutVars>
          <dgm:chPref val="3"/>
        </dgm:presLayoutVars>
      </dgm:prSet>
      <dgm:spPr/>
    </dgm:pt>
    <dgm:pt modelId="{16E2D662-196B-46CC-8B7C-7F851F685534}" type="pres">
      <dgm:prSet presAssocID="{149AEE62-935E-4865-82B4-894AFEB5DF81}" presName="rootConnector1" presStyleLbl="node1" presStyleIdx="0" presStyleCnt="0"/>
      <dgm:spPr/>
    </dgm:pt>
    <dgm:pt modelId="{74D771BD-F54B-41EC-9FF1-C224B4409CBA}" type="pres">
      <dgm:prSet presAssocID="{149AEE62-935E-4865-82B4-894AFEB5DF81}" presName="hierChild2" presStyleCnt="0"/>
      <dgm:spPr/>
    </dgm:pt>
    <dgm:pt modelId="{ECD66FC1-8E75-426D-AF72-64716420BFD7}" type="pres">
      <dgm:prSet presAssocID="{29F196E3-E115-406E-9D94-23CB13227E71}" presName="Name37" presStyleLbl="parChTrans1D2" presStyleIdx="0" presStyleCnt="5"/>
      <dgm:spPr/>
    </dgm:pt>
    <dgm:pt modelId="{7223C8CC-1AAE-49D3-9CD3-4A77BD7A5D75}" type="pres">
      <dgm:prSet presAssocID="{851C55F1-EA99-4994-9353-59E22DB19C17}" presName="hierRoot2" presStyleCnt="0">
        <dgm:presLayoutVars>
          <dgm:hierBranch val="init"/>
        </dgm:presLayoutVars>
      </dgm:prSet>
      <dgm:spPr/>
    </dgm:pt>
    <dgm:pt modelId="{F482D796-0954-4418-AA55-BC9A6DBFFA77}" type="pres">
      <dgm:prSet presAssocID="{851C55F1-EA99-4994-9353-59E22DB19C17}" presName="rootComposite" presStyleCnt="0"/>
      <dgm:spPr/>
    </dgm:pt>
    <dgm:pt modelId="{5AA583E5-3E23-455E-83BE-5551D421A29A}" type="pres">
      <dgm:prSet presAssocID="{851C55F1-EA99-4994-9353-59E22DB19C17}" presName="rootText" presStyleLbl="node2" presStyleIdx="0" presStyleCnt="4" custScaleX="228977" custLinFactNeighborX="-81039" custLinFactNeighborY="10005">
        <dgm:presLayoutVars>
          <dgm:chPref val="3"/>
        </dgm:presLayoutVars>
      </dgm:prSet>
      <dgm:spPr/>
    </dgm:pt>
    <dgm:pt modelId="{9AF19E9A-C76C-4C40-A013-7DF617175F9A}" type="pres">
      <dgm:prSet presAssocID="{851C55F1-EA99-4994-9353-59E22DB19C17}" presName="rootConnector" presStyleLbl="node2" presStyleIdx="0" presStyleCnt="4"/>
      <dgm:spPr/>
    </dgm:pt>
    <dgm:pt modelId="{91F7B855-DF9D-4CE3-860F-D9723344800A}" type="pres">
      <dgm:prSet presAssocID="{851C55F1-EA99-4994-9353-59E22DB19C17}" presName="hierChild4" presStyleCnt="0"/>
      <dgm:spPr/>
    </dgm:pt>
    <dgm:pt modelId="{57474387-574A-4D4E-B0D6-B99E882ACBF3}" type="pres">
      <dgm:prSet presAssocID="{F3F0A799-81BE-4F10-B19B-8EA8053ACC4C}" presName="Name37" presStyleLbl="parChTrans1D3" presStyleIdx="0" presStyleCnt="10"/>
      <dgm:spPr/>
    </dgm:pt>
    <dgm:pt modelId="{175C49B8-0C24-4F99-972C-78E9435AAB5F}" type="pres">
      <dgm:prSet presAssocID="{A716FC8C-69DB-4C50-B112-F9113D355B9A}" presName="hierRoot2" presStyleCnt="0">
        <dgm:presLayoutVars>
          <dgm:hierBranch val="init"/>
        </dgm:presLayoutVars>
      </dgm:prSet>
      <dgm:spPr/>
    </dgm:pt>
    <dgm:pt modelId="{1BCC18E2-15D0-4BE4-86B0-5E7B718A6744}" type="pres">
      <dgm:prSet presAssocID="{A716FC8C-69DB-4C50-B112-F9113D355B9A}" presName="rootComposite" presStyleCnt="0"/>
      <dgm:spPr/>
    </dgm:pt>
    <dgm:pt modelId="{B7CE635C-B51C-42EA-8FB4-0F09BE4D74B5}" type="pres">
      <dgm:prSet presAssocID="{A716FC8C-69DB-4C50-B112-F9113D355B9A}" presName="rootText" presStyleLbl="node3" presStyleIdx="0" presStyleCnt="10" custScaleX="209575" custLinFactNeighborX="-6189" custLinFactNeighborY="80241">
        <dgm:presLayoutVars>
          <dgm:chPref val="3"/>
        </dgm:presLayoutVars>
      </dgm:prSet>
      <dgm:spPr/>
    </dgm:pt>
    <dgm:pt modelId="{9F2DF722-7957-44D9-9550-BEC90AE620B4}" type="pres">
      <dgm:prSet presAssocID="{A716FC8C-69DB-4C50-B112-F9113D355B9A}" presName="rootConnector" presStyleLbl="node3" presStyleIdx="0" presStyleCnt="10"/>
      <dgm:spPr/>
    </dgm:pt>
    <dgm:pt modelId="{ACCA9F56-74B2-4C95-B0E3-D5E2884F2151}" type="pres">
      <dgm:prSet presAssocID="{A716FC8C-69DB-4C50-B112-F9113D355B9A}" presName="hierChild4" presStyleCnt="0"/>
      <dgm:spPr/>
    </dgm:pt>
    <dgm:pt modelId="{436EB63F-7643-4580-A620-2D739F3D92AD}" type="pres">
      <dgm:prSet presAssocID="{A716FC8C-69DB-4C50-B112-F9113D355B9A}" presName="hierChild5" presStyleCnt="0"/>
      <dgm:spPr/>
    </dgm:pt>
    <dgm:pt modelId="{9A7750D1-F1A3-44A3-AC1C-6CE735915740}" type="pres">
      <dgm:prSet presAssocID="{A68ED90C-DCC5-4CAF-85AA-AAA42A200901}" presName="Name37" presStyleLbl="parChTrans1D3" presStyleIdx="1" presStyleCnt="10"/>
      <dgm:spPr/>
    </dgm:pt>
    <dgm:pt modelId="{DA1EBC75-FE02-41AE-9602-C5577DE2931E}" type="pres">
      <dgm:prSet presAssocID="{9ACD6C92-854C-49C7-A17A-8F8BCAF78DE7}" presName="hierRoot2" presStyleCnt="0">
        <dgm:presLayoutVars>
          <dgm:hierBranch val="init"/>
        </dgm:presLayoutVars>
      </dgm:prSet>
      <dgm:spPr/>
    </dgm:pt>
    <dgm:pt modelId="{11B85BE2-53B2-4FE0-A70D-BA08C5A9F5A2}" type="pres">
      <dgm:prSet presAssocID="{9ACD6C92-854C-49C7-A17A-8F8BCAF78DE7}" presName="rootComposite" presStyleCnt="0"/>
      <dgm:spPr/>
    </dgm:pt>
    <dgm:pt modelId="{87F3AF56-8BAD-4A76-8D29-4A09A10FB715}" type="pres">
      <dgm:prSet presAssocID="{9ACD6C92-854C-49C7-A17A-8F8BCAF78DE7}" presName="rootText" presStyleLbl="node3" presStyleIdx="1" presStyleCnt="10" custScaleX="209575" custLinFactNeighborX="-6189" custLinFactNeighborY="80241">
        <dgm:presLayoutVars>
          <dgm:chPref val="3"/>
        </dgm:presLayoutVars>
      </dgm:prSet>
      <dgm:spPr/>
    </dgm:pt>
    <dgm:pt modelId="{44A0FBF9-09F5-4B94-BA70-FCF911F45D09}" type="pres">
      <dgm:prSet presAssocID="{9ACD6C92-854C-49C7-A17A-8F8BCAF78DE7}" presName="rootConnector" presStyleLbl="node3" presStyleIdx="1" presStyleCnt="10"/>
      <dgm:spPr/>
    </dgm:pt>
    <dgm:pt modelId="{8B5C499E-A303-4568-829E-F546CAEBC7BA}" type="pres">
      <dgm:prSet presAssocID="{9ACD6C92-854C-49C7-A17A-8F8BCAF78DE7}" presName="hierChild4" presStyleCnt="0"/>
      <dgm:spPr/>
    </dgm:pt>
    <dgm:pt modelId="{99269976-21DF-4DF0-9706-01F330C35089}" type="pres">
      <dgm:prSet presAssocID="{9ACD6C92-854C-49C7-A17A-8F8BCAF78DE7}" presName="hierChild5" presStyleCnt="0"/>
      <dgm:spPr/>
    </dgm:pt>
    <dgm:pt modelId="{FD14A6D8-C211-45BC-8DCD-1ABA1AD8413F}" type="pres">
      <dgm:prSet presAssocID="{329BDAD9-1EC2-45A2-9983-3FC6B1B6B446}" presName="Name37" presStyleLbl="parChTrans1D3" presStyleIdx="2" presStyleCnt="10"/>
      <dgm:spPr/>
    </dgm:pt>
    <dgm:pt modelId="{3AD94C4C-8CB2-4C25-920B-289ACAD05234}" type="pres">
      <dgm:prSet presAssocID="{0DC2A295-C355-4395-8CA8-F35E98B464B2}" presName="hierRoot2" presStyleCnt="0">
        <dgm:presLayoutVars>
          <dgm:hierBranch val="init"/>
        </dgm:presLayoutVars>
      </dgm:prSet>
      <dgm:spPr/>
    </dgm:pt>
    <dgm:pt modelId="{F73A511D-E7A3-434F-86BA-9B8321959710}" type="pres">
      <dgm:prSet presAssocID="{0DC2A295-C355-4395-8CA8-F35E98B464B2}" presName="rootComposite" presStyleCnt="0"/>
      <dgm:spPr/>
    </dgm:pt>
    <dgm:pt modelId="{87A56B86-FBA8-4FAD-B15B-B496A60C388F}" type="pres">
      <dgm:prSet presAssocID="{0DC2A295-C355-4395-8CA8-F35E98B464B2}" presName="rootText" presStyleLbl="node3" presStyleIdx="2" presStyleCnt="10" custScaleX="209575" custLinFactNeighborX="-6189" custLinFactNeighborY="80241">
        <dgm:presLayoutVars>
          <dgm:chPref val="3"/>
        </dgm:presLayoutVars>
      </dgm:prSet>
      <dgm:spPr/>
    </dgm:pt>
    <dgm:pt modelId="{5F900993-6463-4D6B-A2BC-A62FF66C2A74}" type="pres">
      <dgm:prSet presAssocID="{0DC2A295-C355-4395-8CA8-F35E98B464B2}" presName="rootConnector" presStyleLbl="node3" presStyleIdx="2" presStyleCnt="10"/>
      <dgm:spPr/>
    </dgm:pt>
    <dgm:pt modelId="{790224D1-C1AB-4F42-9F0E-D32195B6F036}" type="pres">
      <dgm:prSet presAssocID="{0DC2A295-C355-4395-8CA8-F35E98B464B2}" presName="hierChild4" presStyleCnt="0"/>
      <dgm:spPr/>
    </dgm:pt>
    <dgm:pt modelId="{4AB92B71-6C80-4A60-9748-F94510F0A1D9}" type="pres">
      <dgm:prSet presAssocID="{0DC2A295-C355-4395-8CA8-F35E98B464B2}" presName="hierChild5" presStyleCnt="0"/>
      <dgm:spPr/>
    </dgm:pt>
    <dgm:pt modelId="{C8BF5DD4-6658-497A-92A6-E3F5A32EA633}" type="pres">
      <dgm:prSet presAssocID="{851C55F1-EA99-4994-9353-59E22DB19C17}" presName="hierChild5" presStyleCnt="0"/>
      <dgm:spPr/>
    </dgm:pt>
    <dgm:pt modelId="{5BE7EEB6-DF9A-47BA-B49B-E56E9894CDE3}" type="pres">
      <dgm:prSet presAssocID="{6551D518-1A1B-44B6-B287-7A5F08B905A2}" presName="Name37" presStyleLbl="parChTrans1D2" presStyleIdx="1" presStyleCnt="5"/>
      <dgm:spPr/>
    </dgm:pt>
    <dgm:pt modelId="{699A67BC-FC2A-48D7-805F-12CA6ADC06AF}" type="pres">
      <dgm:prSet presAssocID="{B0884E6D-B1BB-46A7-BC98-989D5E577907}" presName="hierRoot2" presStyleCnt="0">
        <dgm:presLayoutVars>
          <dgm:hierBranch val="init"/>
        </dgm:presLayoutVars>
      </dgm:prSet>
      <dgm:spPr/>
    </dgm:pt>
    <dgm:pt modelId="{4DEC096A-F83D-4F43-89F0-43940DBEBEC1}" type="pres">
      <dgm:prSet presAssocID="{B0884E6D-B1BB-46A7-BC98-989D5E577907}" presName="rootComposite" presStyleCnt="0"/>
      <dgm:spPr/>
    </dgm:pt>
    <dgm:pt modelId="{13066A6E-4D7D-4BDD-B924-376614A45A2D}" type="pres">
      <dgm:prSet presAssocID="{B0884E6D-B1BB-46A7-BC98-989D5E577907}" presName="rootText" presStyleLbl="node2" presStyleIdx="1" presStyleCnt="4" custScaleX="228977" custLinFactNeighborX="24506" custLinFactNeighborY="12728">
        <dgm:presLayoutVars>
          <dgm:chPref val="3"/>
        </dgm:presLayoutVars>
      </dgm:prSet>
      <dgm:spPr/>
    </dgm:pt>
    <dgm:pt modelId="{4A445BD0-1C9B-420C-A4D5-EBFE8710A51D}" type="pres">
      <dgm:prSet presAssocID="{B0884E6D-B1BB-46A7-BC98-989D5E577907}" presName="rootConnector" presStyleLbl="node2" presStyleIdx="1" presStyleCnt="4"/>
      <dgm:spPr/>
    </dgm:pt>
    <dgm:pt modelId="{EE352257-04A7-49B9-B4D0-86CBBB08FB32}" type="pres">
      <dgm:prSet presAssocID="{B0884E6D-B1BB-46A7-BC98-989D5E577907}" presName="hierChild4" presStyleCnt="0"/>
      <dgm:spPr/>
    </dgm:pt>
    <dgm:pt modelId="{0E0A1891-F42E-4525-8402-07B6FB0E227A}" type="pres">
      <dgm:prSet presAssocID="{843071D0-5BFD-4F03-8CF7-ED59D5BF89CD}" presName="Name37" presStyleLbl="parChTrans1D3" presStyleIdx="3" presStyleCnt="10"/>
      <dgm:spPr/>
    </dgm:pt>
    <dgm:pt modelId="{59666B4E-3087-487E-BEFE-0A7F71689BA1}" type="pres">
      <dgm:prSet presAssocID="{ECED3C3C-2C01-4616-848A-E21987150298}" presName="hierRoot2" presStyleCnt="0">
        <dgm:presLayoutVars>
          <dgm:hierBranch val="init"/>
        </dgm:presLayoutVars>
      </dgm:prSet>
      <dgm:spPr/>
    </dgm:pt>
    <dgm:pt modelId="{55E2749A-8B93-4B1F-8449-060DFFF14D70}" type="pres">
      <dgm:prSet presAssocID="{ECED3C3C-2C01-4616-848A-E21987150298}" presName="rootComposite" presStyleCnt="0"/>
      <dgm:spPr/>
    </dgm:pt>
    <dgm:pt modelId="{CD18B57A-59EE-4459-8891-1C8E2B4D4529}" type="pres">
      <dgm:prSet presAssocID="{ECED3C3C-2C01-4616-848A-E21987150298}" presName="rootText" presStyleLbl="node3" presStyleIdx="3" presStyleCnt="10" custScaleX="209575" custLinFactNeighborX="65321" custLinFactNeighborY="29240">
        <dgm:presLayoutVars>
          <dgm:chPref val="3"/>
        </dgm:presLayoutVars>
      </dgm:prSet>
      <dgm:spPr/>
    </dgm:pt>
    <dgm:pt modelId="{7DCD8160-E802-4077-9AD2-857EEA35BA67}" type="pres">
      <dgm:prSet presAssocID="{ECED3C3C-2C01-4616-848A-E21987150298}" presName="rootConnector" presStyleLbl="node3" presStyleIdx="3" presStyleCnt="10"/>
      <dgm:spPr/>
    </dgm:pt>
    <dgm:pt modelId="{DB3F0CBD-3115-4DBA-B44C-7C1CA6D66579}" type="pres">
      <dgm:prSet presAssocID="{ECED3C3C-2C01-4616-848A-E21987150298}" presName="hierChild4" presStyleCnt="0"/>
      <dgm:spPr/>
    </dgm:pt>
    <dgm:pt modelId="{A6890261-E5F0-4D44-9057-516E8DB5A649}" type="pres">
      <dgm:prSet presAssocID="{ECED3C3C-2C01-4616-848A-E21987150298}" presName="hierChild5" presStyleCnt="0"/>
      <dgm:spPr/>
    </dgm:pt>
    <dgm:pt modelId="{629F9766-5686-4415-A1FC-A3686FACBCCC}" type="pres">
      <dgm:prSet presAssocID="{EC095D4F-2DF7-405D-9433-77633418C430}" presName="Name37" presStyleLbl="parChTrans1D3" presStyleIdx="4" presStyleCnt="10"/>
      <dgm:spPr/>
    </dgm:pt>
    <dgm:pt modelId="{A0A170B1-A547-4156-AEB2-49808DBDDC36}" type="pres">
      <dgm:prSet presAssocID="{4ABDD84A-884D-479E-A01A-894E3C52E36A}" presName="hierRoot2" presStyleCnt="0">
        <dgm:presLayoutVars>
          <dgm:hierBranch val="init"/>
        </dgm:presLayoutVars>
      </dgm:prSet>
      <dgm:spPr/>
    </dgm:pt>
    <dgm:pt modelId="{E0F6420F-B43E-4CF4-A9BA-C2837FB51735}" type="pres">
      <dgm:prSet presAssocID="{4ABDD84A-884D-479E-A01A-894E3C52E36A}" presName="rootComposite" presStyleCnt="0"/>
      <dgm:spPr/>
    </dgm:pt>
    <dgm:pt modelId="{DADE4E4E-F571-4DD1-95C9-ECE69DFC2BA7}" type="pres">
      <dgm:prSet presAssocID="{4ABDD84A-884D-479E-A01A-894E3C52E36A}" presName="rootText" presStyleLbl="node3" presStyleIdx="4" presStyleCnt="10" custScaleX="209575" custLinFactNeighborX="69365" custLinFactNeighborY="29240">
        <dgm:presLayoutVars>
          <dgm:chPref val="3"/>
        </dgm:presLayoutVars>
      </dgm:prSet>
      <dgm:spPr/>
    </dgm:pt>
    <dgm:pt modelId="{7456131D-A28E-40FA-B628-3C58B96EF362}" type="pres">
      <dgm:prSet presAssocID="{4ABDD84A-884D-479E-A01A-894E3C52E36A}" presName="rootConnector" presStyleLbl="node3" presStyleIdx="4" presStyleCnt="10"/>
      <dgm:spPr/>
    </dgm:pt>
    <dgm:pt modelId="{9365B91C-E603-4374-8421-56CBDA6903ED}" type="pres">
      <dgm:prSet presAssocID="{4ABDD84A-884D-479E-A01A-894E3C52E36A}" presName="hierChild4" presStyleCnt="0"/>
      <dgm:spPr/>
    </dgm:pt>
    <dgm:pt modelId="{215FD166-BA35-45FF-8CB1-4778CD3D2FAC}" type="pres">
      <dgm:prSet presAssocID="{4ABDD84A-884D-479E-A01A-894E3C52E36A}" presName="hierChild5" presStyleCnt="0"/>
      <dgm:spPr/>
    </dgm:pt>
    <dgm:pt modelId="{BF002089-9C3C-40B4-A5E6-8B26005DF456}" type="pres">
      <dgm:prSet presAssocID="{092C5F08-6CC9-4976-BF64-2F9D583B3EA5}" presName="Name37" presStyleLbl="parChTrans1D3" presStyleIdx="5" presStyleCnt="10"/>
      <dgm:spPr/>
    </dgm:pt>
    <dgm:pt modelId="{6F0F10F5-6C7C-459A-9866-223A1ED03D6F}" type="pres">
      <dgm:prSet presAssocID="{F3105E11-FF5B-4E83-A488-450CEDCEC31D}" presName="hierRoot2" presStyleCnt="0">
        <dgm:presLayoutVars>
          <dgm:hierBranch val="init"/>
        </dgm:presLayoutVars>
      </dgm:prSet>
      <dgm:spPr/>
    </dgm:pt>
    <dgm:pt modelId="{2DA977AC-13CC-4784-9C91-0FC82257280D}" type="pres">
      <dgm:prSet presAssocID="{F3105E11-FF5B-4E83-A488-450CEDCEC31D}" presName="rootComposite" presStyleCnt="0"/>
      <dgm:spPr/>
    </dgm:pt>
    <dgm:pt modelId="{9A4B49A3-7A11-420B-BD6B-545136FC06EA}" type="pres">
      <dgm:prSet presAssocID="{F3105E11-FF5B-4E83-A488-450CEDCEC31D}" presName="rootText" presStyleLbl="node3" presStyleIdx="5" presStyleCnt="10" custScaleX="209575" custLinFactNeighborX="68691" custLinFactNeighborY="15886">
        <dgm:presLayoutVars>
          <dgm:chPref val="3"/>
        </dgm:presLayoutVars>
      </dgm:prSet>
      <dgm:spPr/>
    </dgm:pt>
    <dgm:pt modelId="{22E13F19-DB54-425F-8088-70470AC68CFD}" type="pres">
      <dgm:prSet presAssocID="{F3105E11-FF5B-4E83-A488-450CEDCEC31D}" presName="rootConnector" presStyleLbl="node3" presStyleIdx="5" presStyleCnt="10"/>
      <dgm:spPr/>
    </dgm:pt>
    <dgm:pt modelId="{657CE07A-44BA-4550-9BDD-7D5E30DA9A5F}" type="pres">
      <dgm:prSet presAssocID="{F3105E11-FF5B-4E83-A488-450CEDCEC31D}" presName="hierChild4" presStyleCnt="0"/>
      <dgm:spPr/>
    </dgm:pt>
    <dgm:pt modelId="{472C3FD2-78D9-4A0B-8FD3-B58D050EC59C}" type="pres">
      <dgm:prSet presAssocID="{F3105E11-FF5B-4E83-A488-450CEDCEC31D}" presName="hierChild5" presStyleCnt="0"/>
      <dgm:spPr/>
    </dgm:pt>
    <dgm:pt modelId="{E2AEA27E-D20E-487B-A9E1-D0CA6A4D99FE}" type="pres">
      <dgm:prSet presAssocID="{B1CE1239-F0FE-4EBC-969B-4E06B1F4886A}" presName="Name37" presStyleLbl="parChTrans1D3" presStyleIdx="6" presStyleCnt="10"/>
      <dgm:spPr/>
    </dgm:pt>
    <dgm:pt modelId="{9D673D99-09D7-4290-943E-8FFA7C117C8D}" type="pres">
      <dgm:prSet presAssocID="{7E3573C2-34E7-4C0E-A888-28EE8DE82F13}" presName="hierRoot2" presStyleCnt="0">
        <dgm:presLayoutVars>
          <dgm:hierBranch val="init"/>
        </dgm:presLayoutVars>
      </dgm:prSet>
      <dgm:spPr/>
    </dgm:pt>
    <dgm:pt modelId="{5EEDDCF5-F5F5-4C23-8665-7BE2D55919EC}" type="pres">
      <dgm:prSet presAssocID="{7E3573C2-34E7-4C0E-A888-28EE8DE82F13}" presName="rootComposite" presStyleCnt="0"/>
      <dgm:spPr/>
    </dgm:pt>
    <dgm:pt modelId="{EC06B097-4DE9-43CA-A0E7-3BDA8343BE14}" type="pres">
      <dgm:prSet presAssocID="{7E3573C2-34E7-4C0E-A888-28EE8DE82F13}" presName="rootText" presStyleLbl="node3" presStyleIdx="6" presStyleCnt="10" custScaleX="209575" custLinFactNeighborX="69365" custLinFactNeighborY="-21280">
        <dgm:presLayoutVars>
          <dgm:chPref val="3"/>
        </dgm:presLayoutVars>
      </dgm:prSet>
      <dgm:spPr/>
    </dgm:pt>
    <dgm:pt modelId="{6859F1D3-1463-4CA5-BA06-F9E3FCA4DD78}" type="pres">
      <dgm:prSet presAssocID="{7E3573C2-34E7-4C0E-A888-28EE8DE82F13}" presName="rootConnector" presStyleLbl="node3" presStyleIdx="6" presStyleCnt="10"/>
      <dgm:spPr/>
    </dgm:pt>
    <dgm:pt modelId="{791C6D0B-23DB-48B2-9A56-F50755FF3AED}" type="pres">
      <dgm:prSet presAssocID="{7E3573C2-34E7-4C0E-A888-28EE8DE82F13}" presName="hierChild4" presStyleCnt="0"/>
      <dgm:spPr/>
    </dgm:pt>
    <dgm:pt modelId="{870D46A7-F0F3-4F65-A70B-39EB965C49EC}" type="pres">
      <dgm:prSet presAssocID="{7E3573C2-34E7-4C0E-A888-28EE8DE82F13}" presName="hierChild5" presStyleCnt="0"/>
      <dgm:spPr/>
    </dgm:pt>
    <dgm:pt modelId="{8CDF6F85-AABF-49BC-9A22-B1F8BCBE582E}" type="pres">
      <dgm:prSet presAssocID="{B0884E6D-B1BB-46A7-BC98-989D5E577907}" presName="hierChild5" presStyleCnt="0"/>
      <dgm:spPr/>
    </dgm:pt>
    <dgm:pt modelId="{5FFAC7BA-48B5-4952-8133-7660E6B296F4}" type="pres">
      <dgm:prSet presAssocID="{879E56CE-8C38-46DF-B368-ED1B5575EF58}" presName="Name37" presStyleLbl="parChTrans1D2" presStyleIdx="2" presStyleCnt="5"/>
      <dgm:spPr/>
    </dgm:pt>
    <dgm:pt modelId="{067CC770-80B2-4714-87D7-EE2AC0CBB24E}" type="pres">
      <dgm:prSet presAssocID="{0B6CFE56-E552-4FAC-A943-AD1118881EA7}" presName="hierRoot2" presStyleCnt="0">
        <dgm:presLayoutVars>
          <dgm:hierBranch val="init"/>
        </dgm:presLayoutVars>
      </dgm:prSet>
      <dgm:spPr/>
    </dgm:pt>
    <dgm:pt modelId="{987267A3-2920-489E-8BA0-0339F7B1034F}" type="pres">
      <dgm:prSet presAssocID="{0B6CFE56-E552-4FAC-A943-AD1118881EA7}" presName="rootComposite" presStyleCnt="0"/>
      <dgm:spPr/>
    </dgm:pt>
    <dgm:pt modelId="{2B6AE76A-0BA1-4D6E-9428-BAF0CDC9D75E}" type="pres">
      <dgm:prSet presAssocID="{0B6CFE56-E552-4FAC-A943-AD1118881EA7}" presName="rootText" presStyleLbl="node2" presStyleIdx="2" presStyleCnt="4" custScaleX="228977" custLinFactX="2049" custLinFactNeighborX="100000" custLinFactNeighborY="10005">
        <dgm:presLayoutVars>
          <dgm:chPref val="3"/>
        </dgm:presLayoutVars>
      </dgm:prSet>
      <dgm:spPr/>
    </dgm:pt>
    <dgm:pt modelId="{CC5F4DD6-0FA1-4C2D-A171-57FC587A3EA2}" type="pres">
      <dgm:prSet presAssocID="{0B6CFE56-E552-4FAC-A943-AD1118881EA7}" presName="rootConnector" presStyleLbl="node2" presStyleIdx="2" presStyleCnt="4"/>
      <dgm:spPr/>
    </dgm:pt>
    <dgm:pt modelId="{07EF26CF-8E0B-49E9-9F62-7E424F702BA9}" type="pres">
      <dgm:prSet presAssocID="{0B6CFE56-E552-4FAC-A943-AD1118881EA7}" presName="hierChild4" presStyleCnt="0"/>
      <dgm:spPr/>
    </dgm:pt>
    <dgm:pt modelId="{8FAAD01B-C6B5-4781-8409-125AFF230C04}" type="pres">
      <dgm:prSet presAssocID="{7F868F7E-0A0F-4AD5-B409-F96823FBB02C}" presName="Name37" presStyleLbl="parChTrans1D3" presStyleIdx="7" presStyleCnt="10"/>
      <dgm:spPr/>
    </dgm:pt>
    <dgm:pt modelId="{AC25AE03-78AF-4B08-ACB4-D4973D1EE4B0}" type="pres">
      <dgm:prSet presAssocID="{BD19F7A0-8B2D-4CF6-B0DE-4AEF81326D41}" presName="hierRoot2" presStyleCnt="0">
        <dgm:presLayoutVars>
          <dgm:hierBranch val="init"/>
        </dgm:presLayoutVars>
      </dgm:prSet>
      <dgm:spPr/>
    </dgm:pt>
    <dgm:pt modelId="{87462059-E7A1-41DD-AD89-B77718FFC9E5}" type="pres">
      <dgm:prSet presAssocID="{BD19F7A0-8B2D-4CF6-B0DE-4AEF81326D41}" presName="rootComposite" presStyleCnt="0"/>
      <dgm:spPr/>
    </dgm:pt>
    <dgm:pt modelId="{D035E316-2B16-4785-AAE6-84879B89595F}" type="pres">
      <dgm:prSet presAssocID="{BD19F7A0-8B2D-4CF6-B0DE-4AEF81326D41}" presName="rootText" presStyleLbl="node3" presStyleIdx="7" presStyleCnt="10" custScaleX="209575" custLinFactX="56159" custLinFactNeighborX="100000" custLinFactNeighborY="55821">
        <dgm:presLayoutVars>
          <dgm:chPref val="3"/>
        </dgm:presLayoutVars>
      </dgm:prSet>
      <dgm:spPr/>
    </dgm:pt>
    <dgm:pt modelId="{6634AA0B-9FC6-425B-881A-5409828DE8FC}" type="pres">
      <dgm:prSet presAssocID="{BD19F7A0-8B2D-4CF6-B0DE-4AEF81326D41}" presName="rootConnector" presStyleLbl="node3" presStyleIdx="7" presStyleCnt="10"/>
      <dgm:spPr/>
    </dgm:pt>
    <dgm:pt modelId="{06BE8C71-F030-4F83-9941-ED1A3B02A6F8}" type="pres">
      <dgm:prSet presAssocID="{BD19F7A0-8B2D-4CF6-B0DE-4AEF81326D41}" presName="hierChild4" presStyleCnt="0"/>
      <dgm:spPr/>
    </dgm:pt>
    <dgm:pt modelId="{C77D7B47-7696-4306-A3DA-24C08F225A37}" type="pres">
      <dgm:prSet presAssocID="{BD19F7A0-8B2D-4CF6-B0DE-4AEF81326D41}" presName="hierChild5" presStyleCnt="0"/>
      <dgm:spPr/>
    </dgm:pt>
    <dgm:pt modelId="{5392E2B7-7229-4153-86BC-B3768085AB9C}" type="pres">
      <dgm:prSet presAssocID="{7E140B10-4929-43A7-A184-0078419739BF}" presName="Name37" presStyleLbl="parChTrans1D3" presStyleIdx="8" presStyleCnt="10"/>
      <dgm:spPr/>
    </dgm:pt>
    <dgm:pt modelId="{0EFE309B-3408-404E-8735-03D19DE32469}" type="pres">
      <dgm:prSet presAssocID="{36F4DC87-E4C6-4F81-AB44-E13360C0E4C9}" presName="hierRoot2" presStyleCnt="0">
        <dgm:presLayoutVars>
          <dgm:hierBranch val="init"/>
        </dgm:presLayoutVars>
      </dgm:prSet>
      <dgm:spPr/>
    </dgm:pt>
    <dgm:pt modelId="{4671FF1E-FF29-4EC6-A464-F8B9C458CE4E}" type="pres">
      <dgm:prSet presAssocID="{36F4DC87-E4C6-4F81-AB44-E13360C0E4C9}" presName="rootComposite" presStyleCnt="0"/>
      <dgm:spPr/>
    </dgm:pt>
    <dgm:pt modelId="{35C25B73-7446-4194-8C1E-80F6996E1C6F}" type="pres">
      <dgm:prSet presAssocID="{36F4DC87-E4C6-4F81-AB44-E13360C0E4C9}" presName="rootText" presStyleLbl="node3" presStyleIdx="8" presStyleCnt="10" custScaleX="209575" custLinFactX="56159" custLinFactNeighborX="100000" custLinFactNeighborY="55821">
        <dgm:presLayoutVars>
          <dgm:chPref val="3"/>
        </dgm:presLayoutVars>
      </dgm:prSet>
      <dgm:spPr/>
    </dgm:pt>
    <dgm:pt modelId="{722CC375-B526-48E3-BDC1-17D9FE129F77}" type="pres">
      <dgm:prSet presAssocID="{36F4DC87-E4C6-4F81-AB44-E13360C0E4C9}" presName="rootConnector" presStyleLbl="node3" presStyleIdx="8" presStyleCnt="10"/>
      <dgm:spPr/>
    </dgm:pt>
    <dgm:pt modelId="{74185884-D015-4601-8118-1EBE3CE208A4}" type="pres">
      <dgm:prSet presAssocID="{36F4DC87-E4C6-4F81-AB44-E13360C0E4C9}" presName="hierChild4" presStyleCnt="0"/>
      <dgm:spPr/>
    </dgm:pt>
    <dgm:pt modelId="{685B2B7A-0701-4737-8DB8-D16EC06A5BCA}" type="pres">
      <dgm:prSet presAssocID="{36F4DC87-E4C6-4F81-AB44-E13360C0E4C9}" presName="hierChild5" presStyleCnt="0"/>
      <dgm:spPr/>
    </dgm:pt>
    <dgm:pt modelId="{A83667D0-11E0-45F7-9C77-A9F21F536ABD}" type="pres">
      <dgm:prSet presAssocID="{071437F2-5FFF-4FB6-BFB8-396CFDD7CA3A}" presName="Name37" presStyleLbl="parChTrans1D3" presStyleIdx="9" presStyleCnt="10"/>
      <dgm:spPr/>
    </dgm:pt>
    <dgm:pt modelId="{7C6A24AB-1E63-48CF-B425-A80EF638E802}" type="pres">
      <dgm:prSet presAssocID="{1598A24C-E31A-4958-9406-EF8A81A4F89B}" presName="hierRoot2" presStyleCnt="0">
        <dgm:presLayoutVars>
          <dgm:hierBranch val="init"/>
        </dgm:presLayoutVars>
      </dgm:prSet>
      <dgm:spPr/>
    </dgm:pt>
    <dgm:pt modelId="{77472749-E508-40E6-9B93-0AFA83B19264}" type="pres">
      <dgm:prSet presAssocID="{1598A24C-E31A-4958-9406-EF8A81A4F89B}" presName="rootComposite" presStyleCnt="0"/>
      <dgm:spPr/>
    </dgm:pt>
    <dgm:pt modelId="{2AF64794-26FD-4EFB-A94B-2646B34B964A}" type="pres">
      <dgm:prSet presAssocID="{1598A24C-E31A-4958-9406-EF8A81A4F89B}" presName="rootText" presStyleLbl="node3" presStyleIdx="9" presStyleCnt="10" custScaleX="209575" custLinFactX="56159" custLinFactNeighborX="100000" custLinFactNeighborY="55821">
        <dgm:presLayoutVars>
          <dgm:chPref val="3"/>
        </dgm:presLayoutVars>
      </dgm:prSet>
      <dgm:spPr/>
    </dgm:pt>
    <dgm:pt modelId="{B6FDAE25-B43C-49F4-8770-4B115983F385}" type="pres">
      <dgm:prSet presAssocID="{1598A24C-E31A-4958-9406-EF8A81A4F89B}" presName="rootConnector" presStyleLbl="node3" presStyleIdx="9" presStyleCnt="10"/>
      <dgm:spPr/>
    </dgm:pt>
    <dgm:pt modelId="{E8248E0B-FD43-4666-83EA-24F17CB36501}" type="pres">
      <dgm:prSet presAssocID="{1598A24C-E31A-4958-9406-EF8A81A4F89B}" presName="hierChild4" presStyleCnt="0"/>
      <dgm:spPr/>
    </dgm:pt>
    <dgm:pt modelId="{41C7C89C-784A-4309-B3D1-9345B62356A4}" type="pres">
      <dgm:prSet presAssocID="{1598A24C-E31A-4958-9406-EF8A81A4F89B}" presName="hierChild5" presStyleCnt="0"/>
      <dgm:spPr/>
    </dgm:pt>
    <dgm:pt modelId="{4AA9519C-9B4B-4918-A4CA-28569D9B793E}" type="pres">
      <dgm:prSet presAssocID="{0B6CFE56-E552-4FAC-A943-AD1118881EA7}" presName="hierChild5" presStyleCnt="0"/>
      <dgm:spPr/>
    </dgm:pt>
    <dgm:pt modelId="{CA1DE078-4694-443D-8454-42887DCA91CD}" type="pres">
      <dgm:prSet presAssocID="{150D2496-6B5E-4F4A-88FC-C26FB2962980}" presName="Name37" presStyleLbl="parChTrans1D2" presStyleIdx="3" presStyleCnt="5"/>
      <dgm:spPr/>
    </dgm:pt>
    <dgm:pt modelId="{8B3E822B-1F4B-4281-B7B3-EF24766EFB10}" type="pres">
      <dgm:prSet presAssocID="{9915ACDE-5F7A-4B1C-87D1-3621DCBFCCB8}" presName="hierRoot2" presStyleCnt="0">
        <dgm:presLayoutVars>
          <dgm:hierBranch val="init"/>
        </dgm:presLayoutVars>
      </dgm:prSet>
      <dgm:spPr/>
    </dgm:pt>
    <dgm:pt modelId="{F1B2E7A2-3579-413A-AC0A-FC010FD23713}" type="pres">
      <dgm:prSet presAssocID="{9915ACDE-5F7A-4B1C-87D1-3621DCBFCCB8}" presName="rootComposite" presStyleCnt="0"/>
      <dgm:spPr/>
    </dgm:pt>
    <dgm:pt modelId="{CF5FC7F8-CDC8-497A-B2E1-F0EBC8984A21}" type="pres">
      <dgm:prSet presAssocID="{9915ACDE-5F7A-4B1C-87D1-3621DCBFCCB8}" presName="rootText" presStyleLbl="node2" presStyleIdx="3" presStyleCnt="4" custScaleX="228977" custLinFactY="-41131" custLinFactNeighborX="-24709" custLinFactNeighborY="-100000">
        <dgm:presLayoutVars>
          <dgm:chPref val="3"/>
        </dgm:presLayoutVars>
      </dgm:prSet>
      <dgm:spPr/>
    </dgm:pt>
    <dgm:pt modelId="{7F5D6D9F-5580-4688-9FBA-FAFACA1058F5}" type="pres">
      <dgm:prSet presAssocID="{9915ACDE-5F7A-4B1C-87D1-3621DCBFCCB8}" presName="rootConnector" presStyleLbl="node2" presStyleIdx="3" presStyleCnt="4"/>
      <dgm:spPr/>
    </dgm:pt>
    <dgm:pt modelId="{470B9A4F-3515-4871-8430-39FB3A873493}" type="pres">
      <dgm:prSet presAssocID="{9915ACDE-5F7A-4B1C-87D1-3621DCBFCCB8}" presName="hierChild4" presStyleCnt="0"/>
      <dgm:spPr/>
    </dgm:pt>
    <dgm:pt modelId="{D40258D4-903E-4518-9965-39EEEFBB501A}" type="pres">
      <dgm:prSet presAssocID="{9915ACDE-5F7A-4B1C-87D1-3621DCBFCCB8}" presName="hierChild5" presStyleCnt="0"/>
      <dgm:spPr/>
    </dgm:pt>
    <dgm:pt modelId="{DB39889E-100E-4451-B06C-0EEF3EB2BA17}" type="pres">
      <dgm:prSet presAssocID="{149AEE62-935E-4865-82B4-894AFEB5DF81}" presName="hierChild3" presStyleCnt="0"/>
      <dgm:spPr/>
    </dgm:pt>
    <dgm:pt modelId="{95E57E03-ABC4-49AF-96E7-7740BF18C7EE}" type="pres">
      <dgm:prSet presAssocID="{55907392-5133-4145-814E-5418D2D23DD2}" presName="Name111" presStyleLbl="parChTrans1D2" presStyleIdx="4" presStyleCnt="5"/>
      <dgm:spPr/>
    </dgm:pt>
    <dgm:pt modelId="{98DEB25C-E52E-4A4A-82A1-000D1E3021CA}" type="pres">
      <dgm:prSet presAssocID="{A20EBA17-2C31-4A16-A844-5753EA0C7EA3}" presName="hierRoot3" presStyleCnt="0">
        <dgm:presLayoutVars>
          <dgm:hierBranch val="init"/>
        </dgm:presLayoutVars>
      </dgm:prSet>
      <dgm:spPr/>
    </dgm:pt>
    <dgm:pt modelId="{41E92825-3717-40FE-B68A-960740385371}" type="pres">
      <dgm:prSet presAssocID="{A20EBA17-2C31-4A16-A844-5753EA0C7EA3}" presName="rootComposite3" presStyleCnt="0"/>
      <dgm:spPr/>
    </dgm:pt>
    <dgm:pt modelId="{DA30080D-7050-4F15-95E1-6D7B34EF0699}" type="pres">
      <dgm:prSet presAssocID="{A20EBA17-2C31-4A16-A844-5753EA0C7EA3}" presName="rootText3" presStyleLbl="asst1" presStyleIdx="0" presStyleCnt="1" custScaleX="228977" custLinFactX="-100000" custLinFactNeighborX="-144717" custLinFactNeighborY="-53485">
        <dgm:presLayoutVars>
          <dgm:chPref val="3"/>
        </dgm:presLayoutVars>
      </dgm:prSet>
      <dgm:spPr/>
    </dgm:pt>
    <dgm:pt modelId="{15B61783-AA80-410F-9A5F-A61C59AFD2AF}" type="pres">
      <dgm:prSet presAssocID="{A20EBA17-2C31-4A16-A844-5753EA0C7EA3}" presName="rootConnector3" presStyleLbl="asst1" presStyleIdx="0" presStyleCnt="1"/>
      <dgm:spPr/>
    </dgm:pt>
    <dgm:pt modelId="{7FAB7CD0-BB79-4140-9737-95EECE4E2F10}" type="pres">
      <dgm:prSet presAssocID="{A20EBA17-2C31-4A16-A844-5753EA0C7EA3}" presName="hierChild6" presStyleCnt="0"/>
      <dgm:spPr/>
    </dgm:pt>
    <dgm:pt modelId="{C7A29068-84BD-4E76-A570-2D893DFE4277}" type="pres">
      <dgm:prSet presAssocID="{A20EBA17-2C31-4A16-A844-5753EA0C7EA3}" presName="hierChild7" presStyleCnt="0"/>
      <dgm:spPr/>
    </dgm:pt>
  </dgm:ptLst>
  <dgm:cxnLst>
    <dgm:cxn modelId="{86B24A09-D047-479C-9767-82CFCD8105F1}" type="presOf" srcId="{F3F0A799-81BE-4F10-B19B-8EA8053ACC4C}" destId="{57474387-574A-4D4E-B0D6-B99E882ACBF3}" srcOrd="0" destOrd="0" presId="urn:microsoft.com/office/officeart/2005/8/layout/orgChart1"/>
    <dgm:cxn modelId="{F40A8909-7C3B-47CE-A14F-FB39DD7BDC3B}" srcId="{B0884E6D-B1BB-46A7-BC98-989D5E577907}" destId="{4ABDD84A-884D-479E-A01A-894E3C52E36A}" srcOrd="1" destOrd="0" parTransId="{EC095D4F-2DF7-405D-9433-77633418C430}" sibTransId="{56DD61B0-E8F5-4F42-9040-E7AFE20E8763}"/>
    <dgm:cxn modelId="{9A605F16-7BFE-4B66-88BF-637EBD699498}" type="presOf" srcId="{1598A24C-E31A-4958-9406-EF8A81A4F89B}" destId="{B6FDAE25-B43C-49F4-8770-4B115983F385}" srcOrd="1" destOrd="0" presId="urn:microsoft.com/office/officeart/2005/8/layout/orgChart1"/>
    <dgm:cxn modelId="{1021541B-B192-4272-A506-940E516EAC33}" type="presOf" srcId="{BD19F7A0-8B2D-4CF6-B0DE-4AEF81326D41}" destId="{6634AA0B-9FC6-425B-881A-5409828DE8FC}" srcOrd="1" destOrd="0" presId="urn:microsoft.com/office/officeart/2005/8/layout/orgChart1"/>
    <dgm:cxn modelId="{72E7EB1D-7A05-4643-AC71-AFEBE1D6B64D}" type="presOf" srcId="{EC095D4F-2DF7-405D-9433-77633418C430}" destId="{629F9766-5686-4415-A1FC-A3686FACBCCC}" srcOrd="0" destOrd="0" presId="urn:microsoft.com/office/officeart/2005/8/layout/orgChart1"/>
    <dgm:cxn modelId="{1AFC161F-3156-4A77-B129-74321A7A1948}" type="presOf" srcId="{071437F2-5FFF-4FB6-BFB8-396CFDD7CA3A}" destId="{A83667D0-11E0-45F7-9C77-A9F21F536ABD}" srcOrd="0" destOrd="0" presId="urn:microsoft.com/office/officeart/2005/8/layout/orgChart1"/>
    <dgm:cxn modelId="{BBDD0F26-9AC5-44BA-8C6F-556DA47C818B}" type="presOf" srcId="{ECED3C3C-2C01-4616-848A-E21987150298}" destId="{CD18B57A-59EE-4459-8891-1C8E2B4D4529}" srcOrd="0" destOrd="0" presId="urn:microsoft.com/office/officeart/2005/8/layout/orgChart1"/>
    <dgm:cxn modelId="{41899C29-4440-4E34-8ACB-0F51D924CAB1}" type="presOf" srcId="{0B6CFE56-E552-4FAC-A943-AD1118881EA7}" destId="{2B6AE76A-0BA1-4D6E-9428-BAF0CDC9D75E}" srcOrd="0" destOrd="0" presId="urn:microsoft.com/office/officeart/2005/8/layout/orgChart1"/>
    <dgm:cxn modelId="{37E69234-E897-48DD-A544-D042B182F1A0}" type="presOf" srcId="{843071D0-5BFD-4F03-8CF7-ED59D5BF89CD}" destId="{0E0A1891-F42E-4525-8402-07B6FB0E227A}" srcOrd="0" destOrd="0" presId="urn:microsoft.com/office/officeart/2005/8/layout/orgChart1"/>
    <dgm:cxn modelId="{6552A034-BAEB-4B5D-90F3-2F5747C87817}" srcId="{851C55F1-EA99-4994-9353-59E22DB19C17}" destId="{0DC2A295-C355-4395-8CA8-F35E98B464B2}" srcOrd="2" destOrd="0" parTransId="{329BDAD9-1EC2-45A2-9983-3FC6B1B6B446}" sibTransId="{6C2FBA43-965D-414D-A6D3-958215AFDC7F}"/>
    <dgm:cxn modelId="{3B16BD36-04B5-4D32-8582-74AB4E56AE01}" type="presOf" srcId="{A20EBA17-2C31-4A16-A844-5753EA0C7EA3}" destId="{DA30080D-7050-4F15-95E1-6D7B34EF0699}" srcOrd="0" destOrd="0" presId="urn:microsoft.com/office/officeart/2005/8/layout/orgChart1"/>
    <dgm:cxn modelId="{32A4E538-CB4B-4AA8-9403-22F19EFE5B8C}" srcId="{149AEE62-935E-4865-82B4-894AFEB5DF81}" destId="{B0884E6D-B1BB-46A7-BC98-989D5E577907}" srcOrd="1" destOrd="0" parTransId="{6551D518-1A1B-44B6-B287-7A5F08B905A2}" sibTransId="{BC966F84-4E18-428E-A54A-92E75B8D7D98}"/>
    <dgm:cxn modelId="{0102193E-665E-4E46-A3D7-CCEBC43025F1}" srcId="{0B6CFE56-E552-4FAC-A943-AD1118881EA7}" destId="{BD19F7A0-8B2D-4CF6-B0DE-4AEF81326D41}" srcOrd="0" destOrd="0" parTransId="{7F868F7E-0A0F-4AD5-B409-F96823FBB02C}" sibTransId="{45C3A09A-B79F-4DE8-940A-D2AC803D1A4A}"/>
    <dgm:cxn modelId="{45D5AB5E-EB5D-41C4-9931-08E76890287E}" srcId="{851C55F1-EA99-4994-9353-59E22DB19C17}" destId="{9ACD6C92-854C-49C7-A17A-8F8BCAF78DE7}" srcOrd="1" destOrd="0" parTransId="{A68ED90C-DCC5-4CAF-85AA-AAA42A200901}" sibTransId="{792D6179-43F2-492E-84EF-778C56B5C446}"/>
    <dgm:cxn modelId="{A1783661-4CD2-445C-AB4C-3FBC98F12DD8}" type="presOf" srcId="{0DC2A295-C355-4395-8CA8-F35E98B464B2}" destId="{5F900993-6463-4D6B-A2BC-A62FF66C2A74}" srcOrd="1" destOrd="0" presId="urn:microsoft.com/office/officeart/2005/8/layout/orgChart1"/>
    <dgm:cxn modelId="{CD2B9861-8D0F-403D-8A8B-4B26DCCB59C4}" type="presOf" srcId="{F3105E11-FF5B-4E83-A488-450CEDCEC31D}" destId="{22E13F19-DB54-425F-8088-70470AC68CFD}" srcOrd="1" destOrd="0" presId="urn:microsoft.com/office/officeart/2005/8/layout/orgChart1"/>
    <dgm:cxn modelId="{07936044-C57F-40A8-B754-BD04B2539825}" type="presOf" srcId="{7E3573C2-34E7-4C0E-A888-28EE8DE82F13}" destId="{6859F1D3-1463-4CA5-BA06-F9E3FCA4DD78}" srcOrd="1" destOrd="0" presId="urn:microsoft.com/office/officeart/2005/8/layout/orgChart1"/>
    <dgm:cxn modelId="{6F78E144-1214-4E8A-B86D-01DF499E1C83}" type="presOf" srcId="{9ACD6C92-854C-49C7-A17A-8F8BCAF78DE7}" destId="{44A0FBF9-09F5-4B94-BA70-FCF911F45D09}" srcOrd="1" destOrd="0" presId="urn:microsoft.com/office/officeart/2005/8/layout/orgChart1"/>
    <dgm:cxn modelId="{F1D90F4A-BEEA-4105-BC83-7240AE2FC5AF}" srcId="{0B6CFE56-E552-4FAC-A943-AD1118881EA7}" destId="{1598A24C-E31A-4958-9406-EF8A81A4F89B}" srcOrd="2" destOrd="0" parTransId="{071437F2-5FFF-4FB6-BFB8-396CFDD7CA3A}" sibTransId="{E123A575-3988-41BD-A957-2787B2085A1D}"/>
    <dgm:cxn modelId="{46ADED6B-415A-4C68-8EDD-79502979B684}" type="presOf" srcId="{29F196E3-E115-406E-9D94-23CB13227E71}" destId="{ECD66FC1-8E75-426D-AF72-64716420BFD7}" srcOrd="0" destOrd="0" presId="urn:microsoft.com/office/officeart/2005/8/layout/orgChart1"/>
    <dgm:cxn modelId="{A3C63271-58CA-4091-B31E-E57E8BBDB6C0}" type="presOf" srcId="{851C55F1-EA99-4994-9353-59E22DB19C17}" destId="{5AA583E5-3E23-455E-83BE-5551D421A29A}" srcOrd="0" destOrd="0" presId="urn:microsoft.com/office/officeart/2005/8/layout/orgChart1"/>
    <dgm:cxn modelId="{F7714F76-0829-40E9-9EC9-448528055855}" srcId="{B0884E6D-B1BB-46A7-BC98-989D5E577907}" destId="{7E3573C2-34E7-4C0E-A888-28EE8DE82F13}" srcOrd="3" destOrd="0" parTransId="{B1CE1239-F0FE-4EBC-969B-4E06B1F4886A}" sibTransId="{611A36F2-B720-40BC-B62D-64C8B61FB4A1}"/>
    <dgm:cxn modelId="{1B63E756-C460-49FD-B46B-9C0C8D820406}" type="presOf" srcId="{B1CE1239-F0FE-4EBC-969B-4E06B1F4886A}" destId="{E2AEA27E-D20E-487B-A9E1-D0CA6A4D99FE}" srcOrd="0" destOrd="0" presId="urn:microsoft.com/office/officeart/2005/8/layout/orgChart1"/>
    <dgm:cxn modelId="{05F42777-D6C2-439E-9FAC-35C2B492AEC8}" type="presOf" srcId="{36F4DC87-E4C6-4F81-AB44-E13360C0E4C9}" destId="{35C25B73-7446-4194-8C1E-80F6996E1C6F}" srcOrd="0" destOrd="0" presId="urn:microsoft.com/office/officeart/2005/8/layout/orgChart1"/>
    <dgm:cxn modelId="{9DAF8657-8C6B-474C-A0B5-2D8037805CE3}" type="presOf" srcId="{149AEE62-935E-4865-82B4-894AFEB5DF81}" destId="{16E2D662-196B-46CC-8B7C-7F851F685534}" srcOrd="1" destOrd="0" presId="urn:microsoft.com/office/officeart/2005/8/layout/orgChart1"/>
    <dgm:cxn modelId="{70AC275A-5EB4-4021-80FC-D3BE3E5A8D07}" type="presOf" srcId="{B0884E6D-B1BB-46A7-BC98-989D5E577907}" destId="{4A445BD0-1C9B-420C-A4D5-EBFE8710A51D}" srcOrd="1" destOrd="0" presId="urn:microsoft.com/office/officeart/2005/8/layout/orgChart1"/>
    <dgm:cxn modelId="{95F73A85-A505-4FEC-A707-439F05711808}" type="presOf" srcId="{0B6CFE56-E552-4FAC-A943-AD1118881EA7}" destId="{CC5F4DD6-0FA1-4C2D-A171-57FC587A3EA2}" srcOrd="1" destOrd="0" presId="urn:microsoft.com/office/officeart/2005/8/layout/orgChart1"/>
    <dgm:cxn modelId="{84E52487-D775-4C32-8CDC-E0DB111211D3}" type="presOf" srcId="{092C5F08-6CC9-4976-BF64-2F9D583B3EA5}" destId="{BF002089-9C3C-40B4-A5E6-8B26005DF456}" srcOrd="0" destOrd="0" presId="urn:microsoft.com/office/officeart/2005/8/layout/orgChart1"/>
    <dgm:cxn modelId="{519A608A-1226-4B24-B090-7B498DD1D7A0}" type="presOf" srcId="{879E56CE-8C38-46DF-B368-ED1B5575EF58}" destId="{5FFAC7BA-48B5-4952-8133-7660E6B296F4}" srcOrd="0" destOrd="0" presId="urn:microsoft.com/office/officeart/2005/8/layout/orgChart1"/>
    <dgm:cxn modelId="{043E5A8C-1905-419B-8C21-0A724CD58002}" type="presOf" srcId="{55907392-5133-4145-814E-5418D2D23DD2}" destId="{95E57E03-ABC4-49AF-96E7-7740BF18C7EE}" srcOrd="0" destOrd="0" presId="urn:microsoft.com/office/officeart/2005/8/layout/orgChart1"/>
    <dgm:cxn modelId="{2CA18492-73B1-44AE-98B6-E4E387C27D02}" srcId="{149AEE62-935E-4865-82B4-894AFEB5DF81}" destId="{851C55F1-EA99-4994-9353-59E22DB19C17}" srcOrd="0" destOrd="0" parTransId="{29F196E3-E115-406E-9D94-23CB13227E71}" sibTransId="{B0081E47-C707-453D-98DB-72B2928DF886}"/>
    <dgm:cxn modelId="{54598996-E1FA-4235-B551-A64C4B92ECE3}" type="presOf" srcId="{7E140B10-4929-43A7-A184-0078419739BF}" destId="{5392E2B7-7229-4153-86BC-B3768085AB9C}" srcOrd="0" destOrd="0" presId="urn:microsoft.com/office/officeart/2005/8/layout/orgChart1"/>
    <dgm:cxn modelId="{B2A00E99-4CD3-46BD-AA22-06B34BEB167C}" type="presOf" srcId="{36F4DC87-E4C6-4F81-AB44-E13360C0E4C9}" destId="{722CC375-B526-48E3-BDC1-17D9FE129F77}" srcOrd="1" destOrd="0" presId="urn:microsoft.com/office/officeart/2005/8/layout/orgChart1"/>
    <dgm:cxn modelId="{895D1A9A-6275-4EAC-95CF-A0519A497A12}" type="presOf" srcId="{149AEE62-935E-4865-82B4-894AFEB5DF81}" destId="{3A1E7007-7709-4D67-921E-3D09EF1F3F61}" srcOrd="0" destOrd="0" presId="urn:microsoft.com/office/officeart/2005/8/layout/orgChart1"/>
    <dgm:cxn modelId="{78E0909E-5B47-42E2-91A3-0F04D27A7107}" type="presOf" srcId="{9ACD6C92-854C-49C7-A17A-8F8BCAF78DE7}" destId="{87F3AF56-8BAD-4A76-8D29-4A09A10FB715}" srcOrd="0" destOrd="0" presId="urn:microsoft.com/office/officeart/2005/8/layout/orgChart1"/>
    <dgm:cxn modelId="{97946C9F-A2AD-4E5D-B6AF-DFB4C8FC6AF0}" type="presOf" srcId="{4ABDD84A-884D-479E-A01A-894E3C52E36A}" destId="{7456131D-A28E-40FA-B628-3C58B96EF362}" srcOrd="1" destOrd="0" presId="urn:microsoft.com/office/officeart/2005/8/layout/orgChart1"/>
    <dgm:cxn modelId="{E55D76A2-25F0-446C-BF0C-3B6B8E4CDC86}" srcId="{B0884E6D-B1BB-46A7-BC98-989D5E577907}" destId="{F3105E11-FF5B-4E83-A488-450CEDCEC31D}" srcOrd="2" destOrd="0" parTransId="{092C5F08-6CC9-4976-BF64-2F9D583B3EA5}" sibTransId="{088CDD03-E4A2-4E87-BF11-FBAD76EBE93E}"/>
    <dgm:cxn modelId="{42154CA3-240E-4CE6-BEFA-630DFF3B44E0}" type="presOf" srcId="{A716FC8C-69DB-4C50-B112-F9113D355B9A}" destId="{B7CE635C-B51C-42EA-8FB4-0F09BE4D74B5}" srcOrd="0" destOrd="0" presId="urn:microsoft.com/office/officeart/2005/8/layout/orgChart1"/>
    <dgm:cxn modelId="{4F328AAB-7001-4903-A9A9-17E428141170}" type="presOf" srcId="{329BDAD9-1EC2-45A2-9983-3FC6B1B6B446}" destId="{FD14A6D8-C211-45BC-8DCD-1ABA1AD8413F}" srcOrd="0" destOrd="0" presId="urn:microsoft.com/office/officeart/2005/8/layout/orgChart1"/>
    <dgm:cxn modelId="{331320AD-D06B-4E4E-91FB-0C2482AB583F}" type="presOf" srcId="{6551D518-1A1B-44B6-B287-7A5F08B905A2}" destId="{5BE7EEB6-DF9A-47BA-B49B-E56E9894CDE3}" srcOrd="0" destOrd="0" presId="urn:microsoft.com/office/officeart/2005/8/layout/orgChart1"/>
    <dgm:cxn modelId="{BF9E50AD-332C-4CCA-9197-622067B60A1A}" type="presOf" srcId="{A20EBA17-2C31-4A16-A844-5753EA0C7EA3}" destId="{15B61783-AA80-410F-9A5F-A61C59AFD2AF}" srcOrd="1" destOrd="0" presId="urn:microsoft.com/office/officeart/2005/8/layout/orgChart1"/>
    <dgm:cxn modelId="{8F4AEAAE-7F69-4156-900A-754DAA17B391}" type="presOf" srcId="{9915ACDE-5F7A-4B1C-87D1-3621DCBFCCB8}" destId="{CF5FC7F8-CDC8-497A-B2E1-F0EBC8984A21}" srcOrd="0" destOrd="0" presId="urn:microsoft.com/office/officeart/2005/8/layout/orgChart1"/>
    <dgm:cxn modelId="{5B0E76B0-4FBD-4D7B-AE9B-750153828392}" type="presOf" srcId="{7E3573C2-34E7-4C0E-A888-28EE8DE82F13}" destId="{EC06B097-4DE9-43CA-A0E7-3BDA8343BE14}" srcOrd="0" destOrd="0" presId="urn:microsoft.com/office/officeart/2005/8/layout/orgChart1"/>
    <dgm:cxn modelId="{BFD22FB2-E2FF-4150-82A6-7037086A73F6}" type="presOf" srcId="{7F868F7E-0A0F-4AD5-B409-F96823FBB02C}" destId="{8FAAD01B-C6B5-4781-8409-125AFF230C04}" srcOrd="0" destOrd="0" presId="urn:microsoft.com/office/officeart/2005/8/layout/orgChart1"/>
    <dgm:cxn modelId="{19152EB3-CDAF-45A4-8ACE-AC78305EDF07}" type="presOf" srcId="{9915ACDE-5F7A-4B1C-87D1-3621DCBFCCB8}" destId="{7F5D6D9F-5580-4688-9FBA-FAFACA1058F5}" srcOrd="1" destOrd="0" presId="urn:microsoft.com/office/officeart/2005/8/layout/orgChart1"/>
    <dgm:cxn modelId="{0D18C0B3-49FC-47A8-BBAC-80FEB1D24FE3}" type="presOf" srcId="{A68ED90C-DCC5-4CAF-85AA-AAA42A200901}" destId="{9A7750D1-F1A3-44A3-AC1C-6CE735915740}" srcOrd="0" destOrd="0" presId="urn:microsoft.com/office/officeart/2005/8/layout/orgChart1"/>
    <dgm:cxn modelId="{21E365BB-3BFD-4611-B99E-0C16C86FA69B}" type="presOf" srcId="{F3105E11-FF5B-4E83-A488-450CEDCEC31D}" destId="{9A4B49A3-7A11-420B-BD6B-545136FC06EA}" srcOrd="0" destOrd="0" presId="urn:microsoft.com/office/officeart/2005/8/layout/orgChart1"/>
    <dgm:cxn modelId="{7ACAA9BE-CE4B-4A48-B60D-A75ED405C972}" type="presOf" srcId="{BD19F7A0-8B2D-4CF6-B0DE-4AEF81326D41}" destId="{D035E316-2B16-4785-AAE6-84879B89595F}" srcOrd="0" destOrd="0" presId="urn:microsoft.com/office/officeart/2005/8/layout/orgChart1"/>
    <dgm:cxn modelId="{54C7C6BE-EBBA-4588-A0CE-104036AC9A94}" type="presOf" srcId="{B0884E6D-B1BB-46A7-BC98-989D5E577907}" destId="{13066A6E-4D7D-4BDD-B924-376614A45A2D}" srcOrd="0" destOrd="0" presId="urn:microsoft.com/office/officeart/2005/8/layout/orgChart1"/>
    <dgm:cxn modelId="{E75ECFC7-BFD9-4DC1-9F28-1F5B04E87A31}" type="presOf" srcId="{ECED3C3C-2C01-4616-848A-E21987150298}" destId="{7DCD8160-E802-4077-9AD2-857EEA35BA67}" srcOrd="1" destOrd="0" presId="urn:microsoft.com/office/officeart/2005/8/layout/orgChart1"/>
    <dgm:cxn modelId="{C4B412C8-C19E-44BD-8053-B01946DC50A2}" type="presOf" srcId="{1598A24C-E31A-4958-9406-EF8A81A4F89B}" destId="{2AF64794-26FD-4EFB-A94B-2646B34B964A}" srcOrd="0" destOrd="0" presId="urn:microsoft.com/office/officeart/2005/8/layout/orgChart1"/>
    <dgm:cxn modelId="{9871E0D4-B9B9-4088-9C2F-8468481BDADF}" type="presOf" srcId="{150D2496-6B5E-4F4A-88FC-C26FB2962980}" destId="{CA1DE078-4694-443D-8454-42887DCA91CD}" srcOrd="0" destOrd="0" presId="urn:microsoft.com/office/officeart/2005/8/layout/orgChart1"/>
    <dgm:cxn modelId="{2FBD3DD5-4C23-419E-A963-4C58C28CF502}" srcId="{851C55F1-EA99-4994-9353-59E22DB19C17}" destId="{A716FC8C-69DB-4C50-B112-F9113D355B9A}" srcOrd="0" destOrd="0" parTransId="{F3F0A799-81BE-4F10-B19B-8EA8053ACC4C}" sibTransId="{22F4159B-4B7A-4714-92C9-881D43DE3171}"/>
    <dgm:cxn modelId="{2E5A2BD9-FBA3-4CB5-B3F6-6D0EFC6951B1}" srcId="{99077454-80AD-4D41-AECA-E18C9DE2B836}" destId="{149AEE62-935E-4865-82B4-894AFEB5DF81}" srcOrd="0" destOrd="0" parTransId="{52D3993C-A0FD-4564-BE68-20B55437F022}" sibTransId="{BB18137A-96AF-49FE-831B-BC4BB143BD71}"/>
    <dgm:cxn modelId="{9E3563D9-9B70-4B63-84FD-D1D00D067AFD}" type="presOf" srcId="{4ABDD84A-884D-479E-A01A-894E3C52E36A}" destId="{DADE4E4E-F571-4DD1-95C9-ECE69DFC2BA7}" srcOrd="0" destOrd="0" presId="urn:microsoft.com/office/officeart/2005/8/layout/orgChart1"/>
    <dgm:cxn modelId="{4F93F3D9-E561-44A4-AE97-25649DB76AC0}" srcId="{149AEE62-935E-4865-82B4-894AFEB5DF81}" destId="{A20EBA17-2C31-4A16-A844-5753EA0C7EA3}" srcOrd="4" destOrd="0" parTransId="{55907392-5133-4145-814E-5418D2D23DD2}" sibTransId="{D770D91D-EED0-4CEB-BEC0-43E25EEF8170}"/>
    <dgm:cxn modelId="{9A1BF1DA-0A10-45C9-96A8-5AA4B6479B14}" srcId="{149AEE62-935E-4865-82B4-894AFEB5DF81}" destId="{9915ACDE-5F7A-4B1C-87D1-3621DCBFCCB8}" srcOrd="3" destOrd="0" parTransId="{150D2496-6B5E-4F4A-88FC-C26FB2962980}" sibTransId="{C192E1B1-CFE0-426F-8038-DE36BB921D95}"/>
    <dgm:cxn modelId="{2066C9DB-3BF6-4E80-B7DA-6E12F87DA7F0}" srcId="{B0884E6D-B1BB-46A7-BC98-989D5E577907}" destId="{ECED3C3C-2C01-4616-848A-E21987150298}" srcOrd="0" destOrd="0" parTransId="{843071D0-5BFD-4F03-8CF7-ED59D5BF89CD}" sibTransId="{8BE70392-DADC-4B40-B281-0609F264788B}"/>
    <dgm:cxn modelId="{F6F588DE-C829-4162-ABBB-B2A59AE9306F}" type="presOf" srcId="{0DC2A295-C355-4395-8CA8-F35E98B464B2}" destId="{87A56B86-FBA8-4FAD-B15B-B496A60C388F}" srcOrd="0" destOrd="0" presId="urn:microsoft.com/office/officeart/2005/8/layout/orgChart1"/>
    <dgm:cxn modelId="{F3444EDF-691C-4881-B3BB-A3A681C5CB89}" srcId="{0B6CFE56-E552-4FAC-A943-AD1118881EA7}" destId="{36F4DC87-E4C6-4F81-AB44-E13360C0E4C9}" srcOrd="1" destOrd="0" parTransId="{7E140B10-4929-43A7-A184-0078419739BF}" sibTransId="{25BB74EC-79E3-46C2-955D-BDAC8DF6AE4F}"/>
    <dgm:cxn modelId="{372CC5DF-DA7A-43D8-8AAA-846C85D72DB4}" type="presOf" srcId="{851C55F1-EA99-4994-9353-59E22DB19C17}" destId="{9AF19E9A-C76C-4C40-A013-7DF617175F9A}" srcOrd="1" destOrd="0" presId="urn:microsoft.com/office/officeart/2005/8/layout/orgChart1"/>
    <dgm:cxn modelId="{1AD170E0-2409-47E7-BB7F-99940B4E62D4}" srcId="{149AEE62-935E-4865-82B4-894AFEB5DF81}" destId="{0B6CFE56-E552-4FAC-A943-AD1118881EA7}" srcOrd="2" destOrd="0" parTransId="{879E56CE-8C38-46DF-B368-ED1B5575EF58}" sibTransId="{EA092DD4-1FFF-4467-83BB-33CC4D577B61}"/>
    <dgm:cxn modelId="{231E61E4-9361-4A0A-AA2F-6D9974591346}" type="presOf" srcId="{99077454-80AD-4D41-AECA-E18C9DE2B836}" destId="{9191711E-BFB1-47B6-9583-3DA2CE44BF09}" srcOrd="0" destOrd="0" presId="urn:microsoft.com/office/officeart/2005/8/layout/orgChart1"/>
    <dgm:cxn modelId="{C4D7D2FF-95F0-4D77-982B-F76E984667FA}" type="presOf" srcId="{A716FC8C-69DB-4C50-B112-F9113D355B9A}" destId="{9F2DF722-7957-44D9-9550-BEC90AE620B4}" srcOrd="1" destOrd="0" presId="urn:microsoft.com/office/officeart/2005/8/layout/orgChart1"/>
    <dgm:cxn modelId="{0FAD62C3-4B08-49AE-B192-62CF9BE3F0B6}" type="presParOf" srcId="{9191711E-BFB1-47B6-9583-3DA2CE44BF09}" destId="{DCA396F1-B518-4CBE-A1E0-54E37D6E4504}" srcOrd="0" destOrd="0" presId="urn:microsoft.com/office/officeart/2005/8/layout/orgChart1"/>
    <dgm:cxn modelId="{6706C974-ABEA-40FC-973F-8F6F6388457F}" type="presParOf" srcId="{DCA396F1-B518-4CBE-A1E0-54E37D6E4504}" destId="{5A4A2053-ED02-438D-AB67-813A5B37E98F}" srcOrd="0" destOrd="0" presId="urn:microsoft.com/office/officeart/2005/8/layout/orgChart1"/>
    <dgm:cxn modelId="{87B685AB-23B5-4497-8A92-0AE3C9337C77}" type="presParOf" srcId="{5A4A2053-ED02-438D-AB67-813A5B37E98F}" destId="{3A1E7007-7709-4D67-921E-3D09EF1F3F61}" srcOrd="0" destOrd="0" presId="urn:microsoft.com/office/officeart/2005/8/layout/orgChart1"/>
    <dgm:cxn modelId="{DAC53DB3-D3F6-4A23-A133-BCBAEB686E7E}" type="presParOf" srcId="{5A4A2053-ED02-438D-AB67-813A5B37E98F}" destId="{16E2D662-196B-46CC-8B7C-7F851F685534}" srcOrd="1" destOrd="0" presId="urn:microsoft.com/office/officeart/2005/8/layout/orgChart1"/>
    <dgm:cxn modelId="{B2691FBF-19F7-443E-94B4-CD13F5F7EAEB}" type="presParOf" srcId="{DCA396F1-B518-4CBE-A1E0-54E37D6E4504}" destId="{74D771BD-F54B-41EC-9FF1-C224B4409CBA}" srcOrd="1" destOrd="0" presId="urn:microsoft.com/office/officeart/2005/8/layout/orgChart1"/>
    <dgm:cxn modelId="{2DF2D82C-F489-4E92-98A6-1EBF2DC59F7B}" type="presParOf" srcId="{74D771BD-F54B-41EC-9FF1-C224B4409CBA}" destId="{ECD66FC1-8E75-426D-AF72-64716420BFD7}" srcOrd="0" destOrd="0" presId="urn:microsoft.com/office/officeart/2005/8/layout/orgChart1"/>
    <dgm:cxn modelId="{C19704A7-61B5-4925-92A3-52F2B3B07F94}" type="presParOf" srcId="{74D771BD-F54B-41EC-9FF1-C224B4409CBA}" destId="{7223C8CC-1AAE-49D3-9CD3-4A77BD7A5D75}" srcOrd="1" destOrd="0" presId="urn:microsoft.com/office/officeart/2005/8/layout/orgChart1"/>
    <dgm:cxn modelId="{05CF45B8-8CA6-46EA-BB8E-9C9BD1DB89FB}" type="presParOf" srcId="{7223C8CC-1AAE-49D3-9CD3-4A77BD7A5D75}" destId="{F482D796-0954-4418-AA55-BC9A6DBFFA77}" srcOrd="0" destOrd="0" presId="urn:microsoft.com/office/officeart/2005/8/layout/orgChart1"/>
    <dgm:cxn modelId="{B7B9FEE2-6E4A-438E-9778-63085D2B0393}" type="presParOf" srcId="{F482D796-0954-4418-AA55-BC9A6DBFFA77}" destId="{5AA583E5-3E23-455E-83BE-5551D421A29A}" srcOrd="0" destOrd="0" presId="urn:microsoft.com/office/officeart/2005/8/layout/orgChart1"/>
    <dgm:cxn modelId="{7647E8B3-0938-4F49-9B28-31A2445634AB}" type="presParOf" srcId="{F482D796-0954-4418-AA55-BC9A6DBFFA77}" destId="{9AF19E9A-C76C-4C40-A013-7DF617175F9A}" srcOrd="1" destOrd="0" presId="urn:microsoft.com/office/officeart/2005/8/layout/orgChart1"/>
    <dgm:cxn modelId="{1D0F1E7C-B07B-414D-A1BB-4DA55556D953}" type="presParOf" srcId="{7223C8CC-1AAE-49D3-9CD3-4A77BD7A5D75}" destId="{91F7B855-DF9D-4CE3-860F-D9723344800A}" srcOrd="1" destOrd="0" presId="urn:microsoft.com/office/officeart/2005/8/layout/orgChart1"/>
    <dgm:cxn modelId="{CA7911BA-29FE-4187-938B-AA86598171C2}" type="presParOf" srcId="{91F7B855-DF9D-4CE3-860F-D9723344800A}" destId="{57474387-574A-4D4E-B0D6-B99E882ACBF3}" srcOrd="0" destOrd="0" presId="urn:microsoft.com/office/officeart/2005/8/layout/orgChart1"/>
    <dgm:cxn modelId="{B36F6990-1387-4BE9-97F4-80506FE4E51C}" type="presParOf" srcId="{91F7B855-DF9D-4CE3-860F-D9723344800A}" destId="{175C49B8-0C24-4F99-972C-78E9435AAB5F}" srcOrd="1" destOrd="0" presId="urn:microsoft.com/office/officeart/2005/8/layout/orgChart1"/>
    <dgm:cxn modelId="{A6AECDF9-B483-4D23-AD6F-09DB84FB615F}" type="presParOf" srcId="{175C49B8-0C24-4F99-972C-78E9435AAB5F}" destId="{1BCC18E2-15D0-4BE4-86B0-5E7B718A6744}" srcOrd="0" destOrd="0" presId="urn:microsoft.com/office/officeart/2005/8/layout/orgChart1"/>
    <dgm:cxn modelId="{D337CC09-BB58-423B-81DE-EFBA87BA6CCE}" type="presParOf" srcId="{1BCC18E2-15D0-4BE4-86B0-5E7B718A6744}" destId="{B7CE635C-B51C-42EA-8FB4-0F09BE4D74B5}" srcOrd="0" destOrd="0" presId="urn:microsoft.com/office/officeart/2005/8/layout/orgChart1"/>
    <dgm:cxn modelId="{4F30C9C2-8737-42E0-8E97-306D37A78DF3}" type="presParOf" srcId="{1BCC18E2-15D0-4BE4-86B0-5E7B718A6744}" destId="{9F2DF722-7957-44D9-9550-BEC90AE620B4}" srcOrd="1" destOrd="0" presId="urn:microsoft.com/office/officeart/2005/8/layout/orgChart1"/>
    <dgm:cxn modelId="{FFE72DE9-5557-44A8-B1DA-C623A84F7121}" type="presParOf" srcId="{175C49B8-0C24-4F99-972C-78E9435AAB5F}" destId="{ACCA9F56-74B2-4C95-B0E3-D5E2884F2151}" srcOrd="1" destOrd="0" presId="urn:microsoft.com/office/officeart/2005/8/layout/orgChart1"/>
    <dgm:cxn modelId="{D4AD57A9-59CA-40B5-B8DC-F5A0F05C7D06}" type="presParOf" srcId="{175C49B8-0C24-4F99-972C-78E9435AAB5F}" destId="{436EB63F-7643-4580-A620-2D739F3D92AD}" srcOrd="2" destOrd="0" presId="urn:microsoft.com/office/officeart/2005/8/layout/orgChart1"/>
    <dgm:cxn modelId="{1FC7B933-4796-4C8A-A95A-CC4D692A128B}" type="presParOf" srcId="{91F7B855-DF9D-4CE3-860F-D9723344800A}" destId="{9A7750D1-F1A3-44A3-AC1C-6CE735915740}" srcOrd="2" destOrd="0" presId="urn:microsoft.com/office/officeart/2005/8/layout/orgChart1"/>
    <dgm:cxn modelId="{4F7449B7-FB38-46BE-875B-58B13C1990C4}" type="presParOf" srcId="{91F7B855-DF9D-4CE3-860F-D9723344800A}" destId="{DA1EBC75-FE02-41AE-9602-C5577DE2931E}" srcOrd="3" destOrd="0" presId="urn:microsoft.com/office/officeart/2005/8/layout/orgChart1"/>
    <dgm:cxn modelId="{4569B08B-C71B-4195-83D8-4E5152A56F23}" type="presParOf" srcId="{DA1EBC75-FE02-41AE-9602-C5577DE2931E}" destId="{11B85BE2-53B2-4FE0-A70D-BA08C5A9F5A2}" srcOrd="0" destOrd="0" presId="urn:microsoft.com/office/officeart/2005/8/layout/orgChart1"/>
    <dgm:cxn modelId="{D175A134-CBF3-4EC6-878E-0D1BF4D1FA07}" type="presParOf" srcId="{11B85BE2-53B2-4FE0-A70D-BA08C5A9F5A2}" destId="{87F3AF56-8BAD-4A76-8D29-4A09A10FB715}" srcOrd="0" destOrd="0" presId="urn:microsoft.com/office/officeart/2005/8/layout/orgChart1"/>
    <dgm:cxn modelId="{65338E7B-2AC6-47B2-BD8B-EB18ED04F483}" type="presParOf" srcId="{11B85BE2-53B2-4FE0-A70D-BA08C5A9F5A2}" destId="{44A0FBF9-09F5-4B94-BA70-FCF911F45D09}" srcOrd="1" destOrd="0" presId="urn:microsoft.com/office/officeart/2005/8/layout/orgChart1"/>
    <dgm:cxn modelId="{A5D66E53-68B2-4D59-8123-C0DC1B3D2EDC}" type="presParOf" srcId="{DA1EBC75-FE02-41AE-9602-C5577DE2931E}" destId="{8B5C499E-A303-4568-829E-F546CAEBC7BA}" srcOrd="1" destOrd="0" presId="urn:microsoft.com/office/officeart/2005/8/layout/orgChart1"/>
    <dgm:cxn modelId="{8A5C4565-2012-470C-839B-C30216335270}" type="presParOf" srcId="{DA1EBC75-FE02-41AE-9602-C5577DE2931E}" destId="{99269976-21DF-4DF0-9706-01F330C35089}" srcOrd="2" destOrd="0" presId="urn:microsoft.com/office/officeart/2005/8/layout/orgChart1"/>
    <dgm:cxn modelId="{A90FFE81-33D8-4ABE-A133-82BFFE7197AC}" type="presParOf" srcId="{91F7B855-DF9D-4CE3-860F-D9723344800A}" destId="{FD14A6D8-C211-45BC-8DCD-1ABA1AD8413F}" srcOrd="4" destOrd="0" presId="urn:microsoft.com/office/officeart/2005/8/layout/orgChart1"/>
    <dgm:cxn modelId="{122F5B2D-1802-46D5-904D-0282677F525D}" type="presParOf" srcId="{91F7B855-DF9D-4CE3-860F-D9723344800A}" destId="{3AD94C4C-8CB2-4C25-920B-289ACAD05234}" srcOrd="5" destOrd="0" presId="urn:microsoft.com/office/officeart/2005/8/layout/orgChart1"/>
    <dgm:cxn modelId="{7D7054BA-583E-400E-9C76-046B3C6D9C1B}" type="presParOf" srcId="{3AD94C4C-8CB2-4C25-920B-289ACAD05234}" destId="{F73A511D-E7A3-434F-86BA-9B8321959710}" srcOrd="0" destOrd="0" presId="urn:microsoft.com/office/officeart/2005/8/layout/orgChart1"/>
    <dgm:cxn modelId="{3F7749FA-7D11-45D5-AF44-27A277BF489F}" type="presParOf" srcId="{F73A511D-E7A3-434F-86BA-9B8321959710}" destId="{87A56B86-FBA8-4FAD-B15B-B496A60C388F}" srcOrd="0" destOrd="0" presId="urn:microsoft.com/office/officeart/2005/8/layout/orgChart1"/>
    <dgm:cxn modelId="{988FC84A-6010-4245-AC37-52AB6B605106}" type="presParOf" srcId="{F73A511D-E7A3-434F-86BA-9B8321959710}" destId="{5F900993-6463-4D6B-A2BC-A62FF66C2A74}" srcOrd="1" destOrd="0" presId="urn:microsoft.com/office/officeart/2005/8/layout/orgChart1"/>
    <dgm:cxn modelId="{1CF7C128-27B5-4733-8705-CA3EFEB70C2A}" type="presParOf" srcId="{3AD94C4C-8CB2-4C25-920B-289ACAD05234}" destId="{790224D1-C1AB-4F42-9F0E-D32195B6F036}" srcOrd="1" destOrd="0" presId="urn:microsoft.com/office/officeart/2005/8/layout/orgChart1"/>
    <dgm:cxn modelId="{F3F5C9E5-F3F3-4421-9953-0F362E73F938}" type="presParOf" srcId="{3AD94C4C-8CB2-4C25-920B-289ACAD05234}" destId="{4AB92B71-6C80-4A60-9748-F94510F0A1D9}" srcOrd="2" destOrd="0" presId="urn:microsoft.com/office/officeart/2005/8/layout/orgChart1"/>
    <dgm:cxn modelId="{77186FC1-EB24-4E5F-9F31-6426304252BD}" type="presParOf" srcId="{7223C8CC-1AAE-49D3-9CD3-4A77BD7A5D75}" destId="{C8BF5DD4-6658-497A-92A6-E3F5A32EA633}" srcOrd="2" destOrd="0" presId="urn:microsoft.com/office/officeart/2005/8/layout/orgChart1"/>
    <dgm:cxn modelId="{135AFC48-317D-4593-91AE-1D7C8596054A}" type="presParOf" srcId="{74D771BD-F54B-41EC-9FF1-C224B4409CBA}" destId="{5BE7EEB6-DF9A-47BA-B49B-E56E9894CDE3}" srcOrd="2" destOrd="0" presId="urn:microsoft.com/office/officeart/2005/8/layout/orgChart1"/>
    <dgm:cxn modelId="{1DA72228-6240-4458-B8B9-B62E35CD07A2}" type="presParOf" srcId="{74D771BD-F54B-41EC-9FF1-C224B4409CBA}" destId="{699A67BC-FC2A-48D7-805F-12CA6ADC06AF}" srcOrd="3" destOrd="0" presId="urn:microsoft.com/office/officeart/2005/8/layout/orgChart1"/>
    <dgm:cxn modelId="{23A528D4-726C-4E4D-8512-E1C8B3D73B79}" type="presParOf" srcId="{699A67BC-FC2A-48D7-805F-12CA6ADC06AF}" destId="{4DEC096A-F83D-4F43-89F0-43940DBEBEC1}" srcOrd="0" destOrd="0" presId="urn:microsoft.com/office/officeart/2005/8/layout/orgChart1"/>
    <dgm:cxn modelId="{0166DBB1-D1FF-4036-AAF9-8DE8AF16782B}" type="presParOf" srcId="{4DEC096A-F83D-4F43-89F0-43940DBEBEC1}" destId="{13066A6E-4D7D-4BDD-B924-376614A45A2D}" srcOrd="0" destOrd="0" presId="urn:microsoft.com/office/officeart/2005/8/layout/orgChart1"/>
    <dgm:cxn modelId="{EAAB47DA-BBE3-423B-989C-346BC48DCC31}" type="presParOf" srcId="{4DEC096A-F83D-4F43-89F0-43940DBEBEC1}" destId="{4A445BD0-1C9B-420C-A4D5-EBFE8710A51D}" srcOrd="1" destOrd="0" presId="urn:microsoft.com/office/officeart/2005/8/layout/orgChart1"/>
    <dgm:cxn modelId="{821ED995-EE8A-4A2E-901D-6B11285DCC0E}" type="presParOf" srcId="{699A67BC-FC2A-48D7-805F-12CA6ADC06AF}" destId="{EE352257-04A7-49B9-B4D0-86CBBB08FB32}" srcOrd="1" destOrd="0" presId="urn:microsoft.com/office/officeart/2005/8/layout/orgChart1"/>
    <dgm:cxn modelId="{F06E6D4D-CE6D-49E6-BB75-2688D445E37B}" type="presParOf" srcId="{EE352257-04A7-49B9-B4D0-86CBBB08FB32}" destId="{0E0A1891-F42E-4525-8402-07B6FB0E227A}" srcOrd="0" destOrd="0" presId="urn:microsoft.com/office/officeart/2005/8/layout/orgChart1"/>
    <dgm:cxn modelId="{BD2CD747-8498-48EA-B0E3-6E8493089200}" type="presParOf" srcId="{EE352257-04A7-49B9-B4D0-86CBBB08FB32}" destId="{59666B4E-3087-487E-BEFE-0A7F71689BA1}" srcOrd="1" destOrd="0" presId="urn:microsoft.com/office/officeart/2005/8/layout/orgChart1"/>
    <dgm:cxn modelId="{30A49E43-6997-4DA4-B904-55D74BEAB834}" type="presParOf" srcId="{59666B4E-3087-487E-BEFE-0A7F71689BA1}" destId="{55E2749A-8B93-4B1F-8449-060DFFF14D70}" srcOrd="0" destOrd="0" presId="urn:microsoft.com/office/officeart/2005/8/layout/orgChart1"/>
    <dgm:cxn modelId="{F77C65F3-EC41-4CDD-BEEC-B4A1FD6A51C3}" type="presParOf" srcId="{55E2749A-8B93-4B1F-8449-060DFFF14D70}" destId="{CD18B57A-59EE-4459-8891-1C8E2B4D4529}" srcOrd="0" destOrd="0" presId="urn:microsoft.com/office/officeart/2005/8/layout/orgChart1"/>
    <dgm:cxn modelId="{B5708955-83CB-465F-A3AC-AC0BA55212ED}" type="presParOf" srcId="{55E2749A-8B93-4B1F-8449-060DFFF14D70}" destId="{7DCD8160-E802-4077-9AD2-857EEA35BA67}" srcOrd="1" destOrd="0" presId="urn:microsoft.com/office/officeart/2005/8/layout/orgChart1"/>
    <dgm:cxn modelId="{020406D6-08C2-4378-8B88-B96ADDDA9FC9}" type="presParOf" srcId="{59666B4E-3087-487E-BEFE-0A7F71689BA1}" destId="{DB3F0CBD-3115-4DBA-B44C-7C1CA6D66579}" srcOrd="1" destOrd="0" presId="urn:microsoft.com/office/officeart/2005/8/layout/orgChart1"/>
    <dgm:cxn modelId="{DF81F2FB-D4DB-4DAF-A504-640971557EA0}" type="presParOf" srcId="{59666B4E-3087-487E-BEFE-0A7F71689BA1}" destId="{A6890261-E5F0-4D44-9057-516E8DB5A649}" srcOrd="2" destOrd="0" presId="urn:microsoft.com/office/officeart/2005/8/layout/orgChart1"/>
    <dgm:cxn modelId="{2F21BEA2-6CA1-40EA-901F-A44A1B5B247F}" type="presParOf" srcId="{EE352257-04A7-49B9-B4D0-86CBBB08FB32}" destId="{629F9766-5686-4415-A1FC-A3686FACBCCC}" srcOrd="2" destOrd="0" presId="urn:microsoft.com/office/officeart/2005/8/layout/orgChart1"/>
    <dgm:cxn modelId="{40D07A7B-2CBB-4219-8D85-8521EC6C8777}" type="presParOf" srcId="{EE352257-04A7-49B9-B4D0-86CBBB08FB32}" destId="{A0A170B1-A547-4156-AEB2-49808DBDDC36}" srcOrd="3" destOrd="0" presId="urn:microsoft.com/office/officeart/2005/8/layout/orgChart1"/>
    <dgm:cxn modelId="{27569429-7D3C-4749-A161-32C53E8B88F2}" type="presParOf" srcId="{A0A170B1-A547-4156-AEB2-49808DBDDC36}" destId="{E0F6420F-B43E-4CF4-A9BA-C2837FB51735}" srcOrd="0" destOrd="0" presId="urn:microsoft.com/office/officeart/2005/8/layout/orgChart1"/>
    <dgm:cxn modelId="{CA8A818E-A49B-48AC-ADA8-69392522A6E9}" type="presParOf" srcId="{E0F6420F-B43E-4CF4-A9BA-C2837FB51735}" destId="{DADE4E4E-F571-4DD1-95C9-ECE69DFC2BA7}" srcOrd="0" destOrd="0" presId="urn:microsoft.com/office/officeart/2005/8/layout/orgChart1"/>
    <dgm:cxn modelId="{AF379CED-0CC9-4F87-8A00-E24F5840CA3D}" type="presParOf" srcId="{E0F6420F-B43E-4CF4-A9BA-C2837FB51735}" destId="{7456131D-A28E-40FA-B628-3C58B96EF362}" srcOrd="1" destOrd="0" presId="urn:microsoft.com/office/officeart/2005/8/layout/orgChart1"/>
    <dgm:cxn modelId="{EDC65D55-9242-4A38-8CE1-B7356CAF804C}" type="presParOf" srcId="{A0A170B1-A547-4156-AEB2-49808DBDDC36}" destId="{9365B91C-E603-4374-8421-56CBDA6903ED}" srcOrd="1" destOrd="0" presId="urn:microsoft.com/office/officeart/2005/8/layout/orgChart1"/>
    <dgm:cxn modelId="{6B24A0C7-53B3-46ED-968F-F255BB17B092}" type="presParOf" srcId="{A0A170B1-A547-4156-AEB2-49808DBDDC36}" destId="{215FD166-BA35-45FF-8CB1-4778CD3D2FAC}" srcOrd="2" destOrd="0" presId="urn:microsoft.com/office/officeart/2005/8/layout/orgChart1"/>
    <dgm:cxn modelId="{844A25D6-608A-427E-B216-C2046BC6B0D4}" type="presParOf" srcId="{EE352257-04A7-49B9-B4D0-86CBBB08FB32}" destId="{BF002089-9C3C-40B4-A5E6-8B26005DF456}" srcOrd="4" destOrd="0" presId="urn:microsoft.com/office/officeart/2005/8/layout/orgChart1"/>
    <dgm:cxn modelId="{C600E1DC-51EF-4509-839F-3AE3923ED01D}" type="presParOf" srcId="{EE352257-04A7-49B9-B4D0-86CBBB08FB32}" destId="{6F0F10F5-6C7C-459A-9866-223A1ED03D6F}" srcOrd="5" destOrd="0" presId="urn:microsoft.com/office/officeart/2005/8/layout/orgChart1"/>
    <dgm:cxn modelId="{42F7EE6D-4BF0-4156-BD4D-BC4F44B4D848}" type="presParOf" srcId="{6F0F10F5-6C7C-459A-9866-223A1ED03D6F}" destId="{2DA977AC-13CC-4784-9C91-0FC82257280D}" srcOrd="0" destOrd="0" presId="urn:microsoft.com/office/officeart/2005/8/layout/orgChart1"/>
    <dgm:cxn modelId="{69FC388E-2B72-462F-87ED-0CC3E926C7D9}" type="presParOf" srcId="{2DA977AC-13CC-4784-9C91-0FC82257280D}" destId="{9A4B49A3-7A11-420B-BD6B-545136FC06EA}" srcOrd="0" destOrd="0" presId="urn:microsoft.com/office/officeart/2005/8/layout/orgChart1"/>
    <dgm:cxn modelId="{CA9092B7-05F7-42DE-A463-B00206F2C053}" type="presParOf" srcId="{2DA977AC-13CC-4784-9C91-0FC82257280D}" destId="{22E13F19-DB54-425F-8088-70470AC68CFD}" srcOrd="1" destOrd="0" presId="urn:microsoft.com/office/officeart/2005/8/layout/orgChart1"/>
    <dgm:cxn modelId="{FD5E70C6-A115-4871-8271-FF92D65258C9}" type="presParOf" srcId="{6F0F10F5-6C7C-459A-9866-223A1ED03D6F}" destId="{657CE07A-44BA-4550-9BDD-7D5E30DA9A5F}" srcOrd="1" destOrd="0" presId="urn:microsoft.com/office/officeart/2005/8/layout/orgChart1"/>
    <dgm:cxn modelId="{C4A69EC0-2735-4BE5-BAD1-30CB04F973AA}" type="presParOf" srcId="{6F0F10F5-6C7C-459A-9866-223A1ED03D6F}" destId="{472C3FD2-78D9-4A0B-8FD3-B58D050EC59C}" srcOrd="2" destOrd="0" presId="urn:microsoft.com/office/officeart/2005/8/layout/orgChart1"/>
    <dgm:cxn modelId="{645C7427-F212-40E4-867B-41D147305E4A}" type="presParOf" srcId="{EE352257-04A7-49B9-B4D0-86CBBB08FB32}" destId="{E2AEA27E-D20E-487B-A9E1-D0CA6A4D99FE}" srcOrd="6" destOrd="0" presId="urn:microsoft.com/office/officeart/2005/8/layout/orgChart1"/>
    <dgm:cxn modelId="{5CA059BB-253E-414E-AA4B-CFB24D6E5997}" type="presParOf" srcId="{EE352257-04A7-49B9-B4D0-86CBBB08FB32}" destId="{9D673D99-09D7-4290-943E-8FFA7C117C8D}" srcOrd="7" destOrd="0" presId="urn:microsoft.com/office/officeart/2005/8/layout/orgChart1"/>
    <dgm:cxn modelId="{13F3B762-A3A9-4A36-B08C-C5D0CB3038FB}" type="presParOf" srcId="{9D673D99-09D7-4290-943E-8FFA7C117C8D}" destId="{5EEDDCF5-F5F5-4C23-8665-7BE2D55919EC}" srcOrd="0" destOrd="0" presId="urn:microsoft.com/office/officeart/2005/8/layout/orgChart1"/>
    <dgm:cxn modelId="{5BA6D69D-C11A-4F19-9FF5-FED7B21A9C00}" type="presParOf" srcId="{5EEDDCF5-F5F5-4C23-8665-7BE2D55919EC}" destId="{EC06B097-4DE9-43CA-A0E7-3BDA8343BE14}" srcOrd="0" destOrd="0" presId="urn:microsoft.com/office/officeart/2005/8/layout/orgChart1"/>
    <dgm:cxn modelId="{F7617F25-56C8-4C80-AA31-2003BD98F9FC}" type="presParOf" srcId="{5EEDDCF5-F5F5-4C23-8665-7BE2D55919EC}" destId="{6859F1D3-1463-4CA5-BA06-F9E3FCA4DD78}" srcOrd="1" destOrd="0" presId="urn:microsoft.com/office/officeart/2005/8/layout/orgChart1"/>
    <dgm:cxn modelId="{1892EC1B-1717-4D63-AD36-22B1A465D673}" type="presParOf" srcId="{9D673D99-09D7-4290-943E-8FFA7C117C8D}" destId="{791C6D0B-23DB-48B2-9A56-F50755FF3AED}" srcOrd="1" destOrd="0" presId="urn:microsoft.com/office/officeart/2005/8/layout/orgChart1"/>
    <dgm:cxn modelId="{9516DEA3-C54D-43F3-B561-A77E7A9C416A}" type="presParOf" srcId="{9D673D99-09D7-4290-943E-8FFA7C117C8D}" destId="{870D46A7-F0F3-4F65-A70B-39EB965C49EC}" srcOrd="2" destOrd="0" presId="urn:microsoft.com/office/officeart/2005/8/layout/orgChart1"/>
    <dgm:cxn modelId="{0E56CB3F-FD19-4B2A-869C-4421574B0B03}" type="presParOf" srcId="{699A67BC-FC2A-48D7-805F-12CA6ADC06AF}" destId="{8CDF6F85-AABF-49BC-9A22-B1F8BCBE582E}" srcOrd="2" destOrd="0" presId="urn:microsoft.com/office/officeart/2005/8/layout/orgChart1"/>
    <dgm:cxn modelId="{F0B1DEBB-385B-45C6-9E79-2961684A43D3}" type="presParOf" srcId="{74D771BD-F54B-41EC-9FF1-C224B4409CBA}" destId="{5FFAC7BA-48B5-4952-8133-7660E6B296F4}" srcOrd="4" destOrd="0" presId="urn:microsoft.com/office/officeart/2005/8/layout/orgChart1"/>
    <dgm:cxn modelId="{26CD2918-6B92-4BF0-AA44-BADAFF349145}" type="presParOf" srcId="{74D771BD-F54B-41EC-9FF1-C224B4409CBA}" destId="{067CC770-80B2-4714-87D7-EE2AC0CBB24E}" srcOrd="5" destOrd="0" presId="urn:microsoft.com/office/officeart/2005/8/layout/orgChart1"/>
    <dgm:cxn modelId="{1EF016C7-F6A9-458A-BF91-B39F98C369E6}" type="presParOf" srcId="{067CC770-80B2-4714-87D7-EE2AC0CBB24E}" destId="{987267A3-2920-489E-8BA0-0339F7B1034F}" srcOrd="0" destOrd="0" presId="urn:microsoft.com/office/officeart/2005/8/layout/orgChart1"/>
    <dgm:cxn modelId="{8697BE8F-85CF-4D18-9FCD-8B4E70947B09}" type="presParOf" srcId="{987267A3-2920-489E-8BA0-0339F7B1034F}" destId="{2B6AE76A-0BA1-4D6E-9428-BAF0CDC9D75E}" srcOrd="0" destOrd="0" presId="urn:microsoft.com/office/officeart/2005/8/layout/orgChart1"/>
    <dgm:cxn modelId="{1ED17290-6AA5-4F32-972D-4707B9790F86}" type="presParOf" srcId="{987267A3-2920-489E-8BA0-0339F7B1034F}" destId="{CC5F4DD6-0FA1-4C2D-A171-57FC587A3EA2}" srcOrd="1" destOrd="0" presId="urn:microsoft.com/office/officeart/2005/8/layout/orgChart1"/>
    <dgm:cxn modelId="{A79F344A-0C2F-454F-86B0-74F4856B5C61}" type="presParOf" srcId="{067CC770-80B2-4714-87D7-EE2AC0CBB24E}" destId="{07EF26CF-8E0B-49E9-9F62-7E424F702BA9}" srcOrd="1" destOrd="0" presId="urn:microsoft.com/office/officeart/2005/8/layout/orgChart1"/>
    <dgm:cxn modelId="{E041DA07-F520-4EA7-A165-67431651AA3A}" type="presParOf" srcId="{07EF26CF-8E0B-49E9-9F62-7E424F702BA9}" destId="{8FAAD01B-C6B5-4781-8409-125AFF230C04}" srcOrd="0" destOrd="0" presId="urn:microsoft.com/office/officeart/2005/8/layout/orgChart1"/>
    <dgm:cxn modelId="{820C031B-E284-4D74-981B-A17C85632F11}" type="presParOf" srcId="{07EF26CF-8E0B-49E9-9F62-7E424F702BA9}" destId="{AC25AE03-78AF-4B08-ACB4-D4973D1EE4B0}" srcOrd="1" destOrd="0" presId="urn:microsoft.com/office/officeart/2005/8/layout/orgChart1"/>
    <dgm:cxn modelId="{F6833153-E0FF-4DAF-B28B-5CD08ABB5862}" type="presParOf" srcId="{AC25AE03-78AF-4B08-ACB4-D4973D1EE4B0}" destId="{87462059-E7A1-41DD-AD89-B77718FFC9E5}" srcOrd="0" destOrd="0" presId="urn:microsoft.com/office/officeart/2005/8/layout/orgChart1"/>
    <dgm:cxn modelId="{8875CDBE-70D7-4EAB-803D-B9D1606914D6}" type="presParOf" srcId="{87462059-E7A1-41DD-AD89-B77718FFC9E5}" destId="{D035E316-2B16-4785-AAE6-84879B89595F}" srcOrd="0" destOrd="0" presId="urn:microsoft.com/office/officeart/2005/8/layout/orgChart1"/>
    <dgm:cxn modelId="{E28D508E-89D8-4EB3-80E6-520E437536C8}" type="presParOf" srcId="{87462059-E7A1-41DD-AD89-B77718FFC9E5}" destId="{6634AA0B-9FC6-425B-881A-5409828DE8FC}" srcOrd="1" destOrd="0" presId="urn:microsoft.com/office/officeart/2005/8/layout/orgChart1"/>
    <dgm:cxn modelId="{013114FC-7DFE-4894-9FC3-F518140BC86B}" type="presParOf" srcId="{AC25AE03-78AF-4B08-ACB4-D4973D1EE4B0}" destId="{06BE8C71-F030-4F83-9941-ED1A3B02A6F8}" srcOrd="1" destOrd="0" presId="urn:microsoft.com/office/officeart/2005/8/layout/orgChart1"/>
    <dgm:cxn modelId="{9975A777-4FF7-430D-88BF-1DF1CCA73B91}" type="presParOf" srcId="{AC25AE03-78AF-4B08-ACB4-D4973D1EE4B0}" destId="{C77D7B47-7696-4306-A3DA-24C08F225A37}" srcOrd="2" destOrd="0" presId="urn:microsoft.com/office/officeart/2005/8/layout/orgChart1"/>
    <dgm:cxn modelId="{E921FAA8-22DD-4F5F-9A10-C77E7EB6FAC4}" type="presParOf" srcId="{07EF26CF-8E0B-49E9-9F62-7E424F702BA9}" destId="{5392E2B7-7229-4153-86BC-B3768085AB9C}" srcOrd="2" destOrd="0" presId="urn:microsoft.com/office/officeart/2005/8/layout/orgChart1"/>
    <dgm:cxn modelId="{1873A618-B8DC-4947-9BE8-0C348940CAAD}" type="presParOf" srcId="{07EF26CF-8E0B-49E9-9F62-7E424F702BA9}" destId="{0EFE309B-3408-404E-8735-03D19DE32469}" srcOrd="3" destOrd="0" presId="urn:microsoft.com/office/officeart/2005/8/layout/orgChart1"/>
    <dgm:cxn modelId="{657845D8-632A-4D91-9F32-AADCA2842E75}" type="presParOf" srcId="{0EFE309B-3408-404E-8735-03D19DE32469}" destId="{4671FF1E-FF29-4EC6-A464-F8B9C458CE4E}" srcOrd="0" destOrd="0" presId="urn:microsoft.com/office/officeart/2005/8/layout/orgChart1"/>
    <dgm:cxn modelId="{96776ED3-760F-4681-BA7D-BF574984414E}" type="presParOf" srcId="{4671FF1E-FF29-4EC6-A464-F8B9C458CE4E}" destId="{35C25B73-7446-4194-8C1E-80F6996E1C6F}" srcOrd="0" destOrd="0" presId="urn:microsoft.com/office/officeart/2005/8/layout/orgChart1"/>
    <dgm:cxn modelId="{C19E9A4E-68BD-4BA0-A68C-21C12BCA66C8}" type="presParOf" srcId="{4671FF1E-FF29-4EC6-A464-F8B9C458CE4E}" destId="{722CC375-B526-48E3-BDC1-17D9FE129F77}" srcOrd="1" destOrd="0" presId="urn:microsoft.com/office/officeart/2005/8/layout/orgChart1"/>
    <dgm:cxn modelId="{0986873B-CC63-4D4B-A1D3-941182A532F6}" type="presParOf" srcId="{0EFE309B-3408-404E-8735-03D19DE32469}" destId="{74185884-D015-4601-8118-1EBE3CE208A4}" srcOrd="1" destOrd="0" presId="urn:microsoft.com/office/officeart/2005/8/layout/orgChart1"/>
    <dgm:cxn modelId="{85404297-3D3D-4F83-A5B0-E2F1C1EC5C48}" type="presParOf" srcId="{0EFE309B-3408-404E-8735-03D19DE32469}" destId="{685B2B7A-0701-4737-8DB8-D16EC06A5BCA}" srcOrd="2" destOrd="0" presId="urn:microsoft.com/office/officeart/2005/8/layout/orgChart1"/>
    <dgm:cxn modelId="{76333006-9C21-473D-8891-E5389E4C3485}" type="presParOf" srcId="{07EF26CF-8E0B-49E9-9F62-7E424F702BA9}" destId="{A83667D0-11E0-45F7-9C77-A9F21F536ABD}" srcOrd="4" destOrd="0" presId="urn:microsoft.com/office/officeart/2005/8/layout/orgChart1"/>
    <dgm:cxn modelId="{56D72050-FDC7-4AD8-8263-D800B5FD032B}" type="presParOf" srcId="{07EF26CF-8E0B-49E9-9F62-7E424F702BA9}" destId="{7C6A24AB-1E63-48CF-B425-A80EF638E802}" srcOrd="5" destOrd="0" presId="urn:microsoft.com/office/officeart/2005/8/layout/orgChart1"/>
    <dgm:cxn modelId="{70D97B31-83EB-4A66-B14B-94382CD6DA6C}" type="presParOf" srcId="{7C6A24AB-1E63-48CF-B425-A80EF638E802}" destId="{77472749-E508-40E6-9B93-0AFA83B19264}" srcOrd="0" destOrd="0" presId="urn:microsoft.com/office/officeart/2005/8/layout/orgChart1"/>
    <dgm:cxn modelId="{B2DE3323-CD9D-4E8A-8F1A-F63CCD486B26}" type="presParOf" srcId="{77472749-E508-40E6-9B93-0AFA83B19264}" destId="{2AF64794-26FD-4EFB-A94B-2646B34B964A}" srcOrd="0" destOrd="0" presId="urn:microsoft.com/office/officeart/2005/8/layout/orgChart1"/>
    <dgm:cxn modelId="{55AF8964-2001-44E8-A866-A143C16FEA4B}" type="presParOf" srcId="{77472749-E508-40E6-9B93-0AFA83B19264}" destId="{B6FDAE25-B43C-49F4-8770-4B115983F385}" srcOrd="1" destOrd="0" presId="urn:microsoft.com/office/officeart/2005/8/layout/orgChart1"/>
    <dgm:cxn modelId="{8D1491B6-83F4-484B-8CAF-8943E09F8EA4}" type="presParOf" srcId="{7C6A24AB-1E63-48CF-B425-A80EF638E802}" destId="{E8248E0B-FD43-4666-83EA-24F17CB36501}" srcOrd="1" destOrd="0" presId="urn:microsoft.com/office/officeart/2005/8/layout/orgChart1"/>
    <dgm:cxn modelId="{6941FFC4-119D-4B91-88AA-36CB729DC838}" type="presParOf" srcId="{7C6A24AB-1E63-48CF-B425-A80EF638E802}" destId="{41C7C89C-784A-4309-B3D1-9345B62356A4}" srcOrd="2" destOrd="0" presId="urn:microsoft.com/office/officeart/2005/8/layout/orgChart1"/>
    <dgm:cxn modelId="{4182B7F7-75B8-4A4D-BE54-D5578D3066BF}" type="presParOf" srcId="{067CC770-80B2-4714-87D7-EE2AC0CBB24E}" destId="{4AA9519C-9B4B-4918-A4CA-28569D9B793E}" srcOrd="2" destOrd="0" presId="urn:microsoft.com/office/officeart/2005/8/layout/orgChart1"/>
    <dgm:cxn modelId="{8453A02D-1E4F-461B-96E9-8FC4CA2680A2}" type="presParOf" srcId="{74D771BD-F54B-41EC-9FF1-C224B4409CBA}" destId="{CA1DE078-4694-443D-8454-42887DCA91CD}" srcOrd="6" destOrd="0" presId="urn:microsoft.com/office/officeart/2005/8/layout/orgChart1"/>
    <dgm:cxn modelId="{FD5A88BC-210E-4137-BFD2-1BB070DFCE38}" type="presParOf" srcId="{74D771BD-F54B-41EC-9FF1-C224B4409CBA}" destId="{8B3E822B-1F4B-4281-B7B3-EF24766EFB10}" srcOrd="7" destOrd="0" presId="urn:microsoft.com/office/officeart/2005/8/layout/orgChart1"/>
    <dgm:cxn modelId="{0AB1D27D-C097-4754-8C00-FBD25739D005}" type="presParOf" srcId="{8B3E822B-1F4B-4281-B7B3-EF24766EFB10}" destId="{F1B2E7A2-3579-413A-AC0A-FC010FD23713}" srcOrd="0" destOrd="0" presId="urn:microsoft.com/office/officeart/2005/8/layout/orgChart1"/>
    <dgm:cxn modelId="{F6AC3B6B-DB0A-4FC7-848A-D61EF556BF56}" type="presParOf" srcId="{F1B2E7A2-3579-413A-AC0A-FC010FD23713}" destId="{CF5FC7F8-CDC8-497A-B2E1-F0EBC8984A21}" srcOrd="0" destOrd="0" presId="urn:microsoft.com/office/officeart/2005/8/layout/orgChart1"/>
    <dgm:cxn modelId="{101F7156-BEA5-42A2-B036-A50C8ADE3ABE}" type="presParOf" srcId="{F1B2E7A2-3579-413A-AC0A-FC010FD23713}" destId="{7F5D6D9F-5580-4688-9FBA-FAFACA1058F5}" srcOrd="1" destOrd="0" presId="urn:microsoft.com/office/officeart/2005/8/layout/orgChart1"/>
    <dgm:cxn modelId="{E3BE6843-807D-4602-A68E-A75FF168D9E1}" type="presParOf" srcId="{8B3E822B-1F4B-4281-B7B3-EF24766EFB10}" destId="{470B9A4F-3515-4871-8430-39FB3A873493}" srcOrd="1" destOrd="0" presId="urn:microsoft.com/office/officeart/2005/8/layout/orgChart1"/>
    <dgm:cxn modelId="{887CFEE9-130B-47F1-B05E-FF2EE2BBE197}" type="presParOf" srcId="{8B3E822B-1F4B-4281-B7B3-EF24766EFB10}" destId="{D40258D4-903E-4518-9965-39EEEFBB501A}" srcOrd="2" destOrd="0" presId="urn:microsoft.com/office/officeart/2005/8/layout/orgChart1"/>
    <dgm:cxn modelId="{A8DAAA40-5FB5-4C58-B818-38B8FE6260C7}" type="presParOf" srcId="{DCA396F1-B518-4CBE-A1E0-54E37D6E4504}" destId="{DB39889E-100E-4451-B06C-0EEF3EB2BA17}" srcOrd="2" destOrd="0" presId="urn:microsoft.com/office/officeart/2005/8/layout/orgChart1"/>
    <dgm:cxn modelId="{1D1E2A78-FEAC-4F0A-8B94-80B349992389}" type="presParOf" srcId="{DB39889E-100E-4451-B06C-0EEF3EB2BA17}" destId="{95E57E03-ABC4-49AF-96E7-7740BF18C7EE}" srcOrd="0" destOrd="0" presId="urn:microsoft.com/office/officeart/2005/8/layout/orgChart1"/>
    <dgm:cxn modelId="{85643C8D-6F51-4B8F-BB3F-04343E6D4758}" type="presParOf" srcId="{DB39889E-100E-4451-B06C-0EEF3EB2BA17}" destId="{98DEB25C-E52E-4A4A-82A1-000D1E3021CA}" srcOrd="1" destOrd="0" presId="urn:microsoft.com/office/officeart/2005/8/layout/orgChart1"/>
    <dgm:cxn modelId="{9E10A77F-3E17-446F-BCEF-3FAE60B1C988}" type="presParOf" srcId="{98DEB25C-E52E-4A4A-82A1-000D1E3021CA}" destId="{41E92825-3717-40FE-B68A-960740385371}" srcOrd="0" destOrd="0" presId="urn:microsoft.com/office/officeart/2005/8/layout/orgChart1"/>
    <dgm:cxn modelId="{FCB0BAB6-ABAB-4479-9106-8338CA1B821D}" type="presParOf" srcId="{41E92825-3717-40FE-B68A-960740385371}" destId="{DA30080D-7050-4F15-95E1-6D7B34EF0699}" srcOrd="0" destOrd="0" presId="urn:microsoft.com/office/officeart/2005/8/layout/orgChart1"/>
    <dgm:cxn modelId="{D61DDC86-4CAD-4E8E-A942-23A055AC1B52}" type="presParOf" srcId="{41E92825-3717-40FE-B68A-960740385371}" destId="{15B61783-AA80-410F-9A5F-A61C59AFD2AF}" srcOrd="1" destOrd="0" presId="urn:microsoft.com/office/officeart/2005/8/layout/orgChart1"/>
    <dgm:cxn modelId="{5D4C2011-BE11-4B96-B4AD-1727E3547790}" type="presParOf" srcId="{98DEB25C-E52E-4A4A-82A1-000D1E3021CA}" destId="{7FAB7CD0-BB79-4140-9737-95EECE4E2F10}" srcOrd="1" destOrd="0" presId="urn:microsoft.com/office/officeart/2005/8/layout/orgChart1"/>
    <dgm:cxn modelId="{4F2E99C3-FD5E-41C7-94D3-B8118C290CC6}" type="presParOf" srcId="{98DEB25C-E52E-4A4A-82A1-000D1E3021CA}" destId="{C7A29068-84BD-4E76-A570-2D893DFE4277}" srcOrd="2" destOrd="0" presId="urn:microsoft.com/office/officeart/2005/8/layout/orgChart1"/>
  </dgm:cxnLst>
  <dgm:bg/>
  <dgm:whole/>
  <dgm:extLst>
    <a:ext uri="http://schemas.microsoft.com/office/drawing/2008/diagram">
      <dsp:dataModelExt xmlns:dsp="http://schemas.microsoft.com/office/drawing/2008/diagram" relId="rId8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2B1A57-99A8-4D86-B40E-9265CE20D56F}">
      <dsp:nvSpPr>
        <dsp:cNvPr id="0" name=""/>
        <dsp:cNvSpPr/>
      </dsp:nvSpPr>
      <dsp:spPr>
        <a:xfrm>
          <a:off x="3041650" y="779958"/>
          <a:ext cx="2520388" cy="218711"/>
        </a:xfrm>
        <a:custGeom>
          <a:avLst/>
          <a:gdLst/>
          <a:ahLst/>
          <a:cxnLst/>
          <a:rect l="0" t="0" r="0" b="0"/>
          <a:pathLst>
            <a:path>
              <a:moveTo>
                <a:pt x="0" y="0"/>
              </a:moveTo>
              <a:lnTo>
                <a:pt x="0" y="109355"/>
              </a:lnTo>
              <a:lnTo>
                <a:pt x="2520388" y="109355"/>
              </a:lnTo>
              <a:lnTo>
                <a:pt x="2520388" y="2187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6B870C-B3B8-4C5F-BFB1-26882D0EAE98}">
      <dsp:nvSpPr>
        <dsp:cNvPr id="0" name=""/>
        <dsp:cNvSpPr/>
      </dsp:nvSpPr>
      <dsp:spPr>
        <a:xfrm>
          <a:off x="3041650" y="779958"/>
          <a:ext cx="1260194" cy="218711"/>
        </a:xfrm>
        <a:custGeom>
          <a:avLst/>
          <a:gdLst/>
          <a:ahLst/>
          <a:cxnLst/>
          <a:rect l="0" t="0" r="0" b="0"/>
          <a:pathLst>
            <a:path>
              <a:moveTo>
                <a:pt x="0" y="0"/>
              </a:moveTo>
              <a:lnTo>
                <a:pt x="0" y="109355"/>
              </a:lnTo>
              <a:lnTo>
                <a:pt x="1260194" y="109355"/>
              </a:lnTo>
              <a:lnTo>
                <a:pt x="1260194" y="2187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E03503-361F-4692-AE00-3C738AD6C063}">
      <dsp:nvSpPr>
        <dsp:cNvPr id="0" name=""/>
        <dsp:cNvSpPr/>
      </dsp:nvSpPr>
      <dsp:spPr>
        <a:xfrm>
          <a:off x="2995930" y="779958"/>
          <a:ext cx="91440" cy="218711"/>
        </a:xfrm>
        <a:custGeom>
          <a:avLst/>
          <a:gdLst/>
          <a:ahLst/>
          <a:cxnLst/>
          <a:rect l="0" t="0" r="0" b="0"/>
          <a:pathLst>
            <a:path>
              <a:moveTo>
                <a:pt x="45720" y="0"/>
              </a:moveTo>
              <a:lnTo>
                <a:pt x="45720" y="2187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E6A158-64D4-451E-9CA7-55B8BE3C0977}">
      <dsp:nvSpPr>
        <dsp:cNvPr id="0" name=""/>
        <dsp:cNvSpPr/>
      </dsp:nvSpPr>
      <dsp:spPr>
        <a:xfrm>
          <a:off x="1781455" y="779958"/>
          <a:ext cx="1260194" cy="218711"/>
        </a:xfrm>
        <a:custGeom>
          <a:avLst/>
          <a:gdLst/>
          <a:ahLst/>
          <a:cxnLst/>
          <a:rect l="0" t="0" r="0" b="0"/>
          <a:pathLst>
            <a:path>
              <a:moveTo>
                <a:pt x="1260194" y="0"/>
              </a:moveTo>
              <a:lnTo>
                <a:pt x="1260194" y="109355"/>
              </a:lnTo>
              <a:lnTo>
                <a:pt x="0" y="109355"/>
              </a:lnTo>
              <a:lnTo>
                <a:pt x="0" y="2187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C9B6D4-A3F2-45F2-844D-C2F021869D4A}">
      <dsp:nvSpPr>
        <dsp:cNvPr id="0" name=""/>
        <dsp:cNvSpPr/>
      </dsp:nvSpPr>
      <dsp:spPr>
        <a:xfrm>
          <a:off x="521261" y="779958"/>
          <a:ext cx="2520388" cy="218711"/>
        </a:xfrm>
        <a:custGeom>
          <a:avLst/>
          <a:gdLst/>
          <a:ahLst/>
          <a:cxnLst/>
          <a:rect l="0" t="0" r="0" b="0"/>
          <a:pathLst>
            <a:path>
              <a:moveTo>
                <a:pt x="2520388" y="0"/>
              </a:moveTo>
              <a:lnTo>
                <a:pt x="2520388" y="109355"/>
              </a:lnTo>
              <a:lnTo>
                <a:pt x="0" y="109355"/>
              </a:lnTo>
              <a:lnTo>
                <a:pt x="0" y="21871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201F1A-9A8A-4C35-86CE-E8E133769E86}">
      <dsp:nvSpPr>
        <dsp:cNvPr id="0" name=""/>
        <dsp:cNvSpPr/>
      </dsp:nvSpPr>
      <dsp:spPr>
        <a:xfrm>
          <a:off x="2520908" y="352914"/>
          <a:ext cx="1041482" cy="42704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solidFill>
            </a:rPr>
            <a:t>Manager*</a:t>
          </a:r>
        </a:p>
      </dsp:txBody>
      <dsp:txXfrm>
        <a:off x="2520908" y="352914"/>
        <a:ext cx="1041482" cy="427044"/>
      </dsp:txXfrm>
    </dsp:sp>
    <dsp:sp modelId="{DF3D4FA1-3F16-4912-B363-60E34EC03D07}">
      <dsp:nvSpPr>
        <dsp:cNvPr id="0" name=""/>
        <dsp:cNvSpPr/>
      </dsp:nvSpPr>
      <dsp:spPr>
        <a:xfrm>
          <a:off x="519" y="998670"/>
          <a:ext cx="1041482" cy="532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solidFill>
            </a:rPr>
            <a:t>Project Coordinator</a:t>
          </a:r>
        </a:p>
      </dsp:txBody>
      <dsp:txXfrm>
        <a:off x="519" y="998670"/>
        <a:ext cx="1041482" cy="532874"/>
      </dsp:txXfrm>
    </dsp:sp>
    <dsp:sp modelId="{77AE5D1B-71C7-46AE-BF0D-38EE12B3D5A8}">
      <dsp:nvSpPr>
        <dsp:cNvPr id="0" name=""/>
        <dsp:cNvSpPr/>
      </dsp:nvSpPr>
      <dsp:spPr>
        <a:xfrm>
          <a:off x="1260714" y="998670"/>
          <a:ext cx="1041482" cy="532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solidFill>
            </a:rPr>
            <a:t>Senior Project Officer &amp; Content Developer</a:t>
          </a:r>
        </a:p>
      </dsp:txBody>
      <dsp:txXfrm>
        <a:off x="1260714" y="998670"/>
        <a:ext cx="1041482" cy="532874"/>
      </dsp:txXfrm>
    </dsp:sp>
    <dsp:sp modelId="{8B3B5688-6E55-4568-B721-97B17D5F44E8}">
      <dsp:nvSpPr>
        <dsp:cNvPr id="0" name=""/>
        <dsp:cNvSpPr/>
      </dsp:nvSpPr>
      <dsp:spPr>
        <a:xfrm>
          <a:off x="2520908" y="998670"/>
          <a:ext cx="1041482" cy="532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solidFill>
            </a:rPr>
            <a:t>National Assistive Technology Project Officer*</a:t>
          </a:r>
        </a:p>
      </dsp:txBody>
      <dsp:txXfrm>
        <a:off x="2520908" y="998670"/>
        <a:ext cx="1041482" cy="532874"/>
      </dsp:txXfrm>
    </dsp:sp>
    <dsp:sp modelId="{73432112-C21B-4320-82CA-2FE287170F73}">
      <dsp:nvSpPr>
        <dsp:cNvPr id="0" name=""/>
        <dsp:cNvSpPr/>
      </dsp:nvSpPr>
      <dsp:spPr>
        <a:xfrm>
          <a:off x="3781102" y="998670"/>
          <a:ext cx="1041482" cy="532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solidFill>
            </a:rPr>
            <a:t>Marketing &amp; Communications</a:t>
          </a:r>
          <a:br>
            <a:rPr lang="en-AU" sz="800" b="1" kern="1200">
              <a:solidFill>
                <a:sysClr val="windowText" lastClr="000000"/>
              </a:solidFill>
            </a:rPr>
          </a:br>
          <a:r>
            <a:rPr lang="en-AU" sz="800" b="1" kern="1200">
              <a:solidFill>
                <a:sysClr val="windowText" lastClr="000000"/>
              </a:solidFill>
            </a:rPr>
            <a:t>Officer^</a:t>
          </a:r>
        </a:p>
      </dsp:txBody>
      <dsp:txXfrm>
        <a:off x="3781102" y="998670"/>
        <a:ext cx="1041482" cy="532874"/>
      </dsp:txXfrm>
    </dsp:sp>
    <dsp:sp modelId="{00D9D829-F624-48A6-B5D8-FF5D90B8ABC8}">
      <dsp:nvSpPr>
        <dsp:cNvPr id="0" name=""/>
        <dsp:cNvSpPr/>
      </dsp:nvSpPr>
      <dsp:spPr>
        <a:xfrm>
          <a:off x="5041297" y="998670"/>
          <a:ext cx="1041482" cy="53287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a:solidFill>
                <a:sysClr val="windowText" lastClr="000000"/>
              </a:solidFill>
            </a:rPr>
            <a:t>Administrative Support Officer*^</a:t>
          </a:r>
        </a:p>
      </dsp:txBody>
      <dsp:txXfrm>
        <a:off x="5041297" y="998670"/>
        <a:ext cx="1041482" cy="5328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57E03-ABC4-49AF-96E7-7740BF18C7EE}">
      <dsp:nvSpPr>
        <dsp:cNvPr id="0" name=""/>
        <dsp:cNvSpPr/>
      </dsp:nvSpPr>
      <dsp:spPr>
        <a:xfrm>
          <a:off x="1626333" y="292018"/>
          <a:ext cx="1482690" cy="113939"/>
        </a:xfrm>
        <a:custGeom>
          <a:avLst/>
          <a:gdLst/>
          <a:ahLst/>
          <a:cxnLst/>
          <a:rect l="0" t="0" r="0" b="0"/>
          <a:pathLst>
            <a:path>
              <a:moveTo>
                <a:pt x="1482690" y="0"/>
              </a:moveTo>
              <a:lnTo>
                <a:pt x="1482690" y="113939"/>
              </a:lnTo>
              <a:lnTo>
                <a:pt x="0" y="113939"/>
              </a:lnTo>
            </a:path>
          </a:pathLst>
        </a:custGeom>
        <a:noFill/>
        <a:ln w="9525" cap="flat" cmpd="sng" algn="ctr">
          <a:solidFill>
            <a:schemeClr val="accent6"/>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CA1DE078-4694-443D-8454-42887DCA91CD}">
      <dsp:nvSpPr>
        <dsp:cNvPr id="0" name=""/>
        <dsp:cNvSpPr/>
      </dsp:nvSpPr>
      <dsp:spPr>
        <a:xfrm>
          <a:off x="3109024" y="292018"/>
          <a:ext cx="2053503" cy="126654"/>
        </a:xfrm>
        <a:custGeom>
          <a:avLst/>
          <a:gdLst/>
          <a:ahLst/>
          <a:cxnLst/>
          <a:rect l="0" t="0" r="0" b="0"/>
          <a:pathLst>
            <a:path>
              <a:moveTo>
                <a:pt x="0" y="0"/>
              </a:moveTo>
              <a:lnTo>
                <a:pt x="0" y="65330"/>
              </a:lnTo>
              <a:lnTo>
                <a:pt x="2053503" y="65330"/>
              </a:lnTo>
              <a:lnTo>
                <a:pt x="2053503" y="12665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3667D0-11E0-45F7-9C77-A9F21F536ABD}">
      <dsp:nvSpPr>
        <dsp:cNvPr id="0" name=""/>
        <dsp:cNvSpPr/>
      </dsp:nvSpPr>
      <dsp:spPr>
        <a:xfrm>
          <a:off x="3907957" y="1152037"/>
          <a:ext cx="516619" cy="1231782"/>
        </a:xfrm>
        <a:custGeom>
          <a:avLst/>
          <a:gdLst/>
          <a:ahLst/>
          <a:cxnLst/>
          <a:rect l="0" t="0" r="0" b="0"/>
          <a:pathLst>
            <a:path>
              <a:moveTo>
                <a:pt x="0" y="0"/>
              </a:moveTo>
              <a:lnTo>
                <a:pt x="0" y="1231782"/>
              </a:lnTo>
              <a:lnTo>
                <a:pt x="516619" y="12317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92E2B7-7229-4153-86BC-B3768085AB9C}">
      <dsp:nvSpPr>
        <dsp:cNvPr id="0" name=""/>
        <dsp:cNvSpPr/>
      </dsp:nvSpPr>
      <dsp:spPr>
        <a:xfrm>
          <a:off x="3907957" y="1152037"/>
          <a:ext cx="516619" cy="817115"/>
        </a:xfrm>
        <a:custGeom>
          <a:avLst/>
          <a:gdLst/>
          <a:ahLst/>
          <a:cxnLst/>
          <a:rect l="0" t="0" r="0" b="0"/>
          <a:pathLst>
            <a:path>
              <a:moveTo>
                <a:pt x="0" y="0"/>
              </a:moveTo>
              <a:lnTo>
                <a:pt x="0" y="817115"/>
              </a:lnTo>
              <a:lnTo>
                <a:pt x="516619" y="8171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AAD01B-C6B5-4781-8409-125AFF230C04}">
      <dsp:nvSpPr>
        <dsp:cNvPr id="0" name=""/>
        <dsp:cNvSpPr/>
      </dsp:nvSpPr>
      <dsp:spPr>
        <a:xfrm>
          <a:off x="3907957" y="1152037"/>
          <a:ext cx="516619" cy="402448"/>
        </a:xfrm>
        <a:custGeom>
          <a:avLst/>
          <a:gdLst/>
          <a:ahLst/>
          <a:cxnLst/>
          <a:rect l="0" t="0" r="0" b="0"/>
          <a:pathLst>
            <a:path>
              <a:moveTo>
                <a:pt x="0" y="0"/>
              </a:moveTo>
              <a:lnTo>
                <a:pt x="0" y="402448"/>
              </a:lnTo>
              <a:lnTo>
                <a:pt x="516619" y="4024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FAC7BA-48B5-4952-8133-7660E6B296F4}">
      <dsp:nvSpPr>
        <dsp:cNvPr id="0" name=""/>
        <dsp:cNvSpPr/>
      </dsp:nvSpPr>
      <dsp:spPr>
        <a:xfrm>
          <a:off x="3109024" y="292018"/>
          <a:ext cx="1333857" cy="567999"/>
        </a:xfrm>
        <a:custGeom>
          <a:avLst/>
          <a:gdLst/>
          <a:ahLst/>
          <a:cxnLst/>
          <a:rect l="0" t="0" r="0" b="0"/>
          <a:pathLst>
            <a:path>
              <a:moveTo>
                <a:pt x="0" y="0"/>
              </a:moveTo>
              <a:lnTo>
                <a:pt x="0" y="506675"/>
              </a:lnTo>
              <a:lnTo>
                <a:pt x="1333857" y="506675"/>
              </a:lnTo>
              <a:lnTo>
                <a:pt x="1333857" y="56799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AEA27E-D20E-487B-A9E1-D0CA6A4D99FE}">
      <dsp:nvSpPr>
        <dsp:cNvPr id="0" name=""/>
        <dsp:cNvSpPr/>
      </dsp:nvSpPr>
      <dsp:spPr>
        <a:xfrm>
          <a:off x="1995116" y="1159989"/>
          <a:ext cx="462590" cy="1413348"/>
        </a:xfrm>
        <a:custGeom>
          <a:avLst/>
          <a:gdLst/>
          <a:ahLst/>
          <a:cxnLst/>
          <a:rect l="0" t="0" r="0" b="0"/>
          <a:pathLst>
            <a:path>
              <a:moveTo>
                <a:pt x="0" y="0"/>
              </a:moveTo>
              <a:lnTo>
                <a:pt x="0" y="1413348"/>
              </a:lnTo>
              <a:lnTo>
                <a:pt x="462590" y="14133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002089-9C3C-40B4-A5E6-8B26005DF456}">
      <dsp:nvSpPr>
        <dsp:cNvPr id="0" name=""/>
        <dsp:cNvSpPr/>
      </dsp:nvSpPr>
      <dsp:spPr>
        <a:xfrm>
          <a:off x="1995116" y="1159989"/>
          <a:ext cx="458653" cy="1107213"/>
        </a:xfrm>
        <a:custGeom>
          <a:avLst/>
          <a:gdLst/>
          <a:ahLst/>
          <a:cxnLst/>
          <a:rect l="0" t="0" r="0" b="0"/>
          <a:pathLst>
            <a:path>
              <a:moveTo>
                <a:pt x="0" y="0"/>
              </a:moveTo>
              <a:lnTo>
                <a:pt x="0" y="1107213"/>
              </a:lnTo>
              <a:lnTo>
                <a:pt x="458653" y="110721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F9766-5686-4415-A1FC-A3686FACBCCC}">
      <dsp:nvSpPr>
        <dsp:cNvPr id="0" name=""/>
        <dsp:cNvSpPr/>
      </dsp:nvSpPr>
      <dsp:spPr>
        <a:xfrm>
          <a:off x="1995116" y="1159989"/>
          <a:ext cx="462590" cy="731542"/>
        </a:xfrm>
        <a:custGeom>
          <a:avLst/>
          <a:gdLst/>
          <a:ahLst/>
          <a:cxnLst/>
          <a:rect l="0" t="0" r="0" b="0"/>
          <a:pathLst>
            <a:path>
              <a:moveTo>
                <a:pt x="0" y="0"/>
              </a:moveTo>
              <a:lnTo>
                <a:pt x="0" y="731542"/>
              </a:lnTo>
              <a:lnTo>
                <a:pt x="462590" y="73154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0A1891-F42E-4525-8402-07B6FB0E227A}">
      <dsp:nvSpPr>
        <dsp:cNvPr id="0" name=""/>
        <dsp:cNvSpPr/>
      </dsp:nvSpPr>
      <dsp:spPr>
        <a:xfrm>
          <a:off x="1995116" y="1159989"/>
          <a:ext cx="438971" cy="316875"/>
        </a:xfrm>
        <a:custGeom>
          <a:avLst/>
          <a:gdLst/>
          <a:ahLst/>
          <a:cxnLst/>
          <a:rect l="0" t="0" r="0" b="0"/>
          <a:pathLst>
            <a:path>
              <a:moveTo>
                <a:pt x="0" y="0"/>
              </a:moveTo>
              <a:lnTo>
                <a:pt x="0" y="316875"/>
              </a:lnTo>
              <a:lnTo>
                <a:pt x="438971" y="31687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E7EEB6-DF9A-47BA-B49B-E56E9894CDE3}">
      <dsp:nvSpPr>
        <dsp:cNvPr id="0" name=""/>
        <dsp:cNvSpPr/>
      </dsp:nvSpPr>
      <dsp:spPr>
        <a:xfrm>
          <a:off x="2530041" y="292018"/>
          <a:ext cx="578982" cy="575951"/>
        </a:xfrm>
        <a:custGeom>
          <a:avLst/>
          <a:gdLst/>
          <a:ahLst/>
          <a:cxnLst/>
          <a:rect l="0" t="0" r="0" b="0"/>
          <a:pathLst>
            <a:path>
              <a:moveTo>
                <a:pt x="578982" y="0"/>
              </a:moveTo>
              <a:lnTo>
                <a:pt x="578982" y="514627"/>
              </a:lnTo>
              <a:lnTo>
                <a:pt x="0" y="514627"/>
              </a:lnTo>
              <a:lnTo>
                <a:pt x="0" y="57595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14A6D8-C211-45BC-8DCD-1ABA1AD8413F}">
      <dsp:nvSpPr>
        <dsp:cNvPr id="0" name=""/>
        <dsp:cNvSpPr/>
      </dsp:nvSpPr>
      <dsp:spPr>
        <a:xfrm>
          <a:off x="133731" y="1152037"/>
          <a:ext cx="422751" cy="1303093"/>
        </a:xfrm>
        <a:custGeom>
          <a:avLst/>
          <a:gdLst/>
          <a:ahLst/>
          <a:cxnLst/>
          <a:rect l="0" t="0" r="0" b="0"/>
          <a:pathLst>
            <a:path>
              <a:moveTo>
                <a:pt x="0" y="0"/>
              </a:moveTo>
              <a:lnTo>
                <a:pt x="0" y="1303093"/>
              </a:lnTo>
              <a:lnTo>
                <a:pt x="422751" y="130309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7750D1-F1A3-44A3-AC1C-6CE735915740}">
      <dsp:nvSpPr>
        <dsp:cNvPr id="0" name=""/>
        <dsp:cNvSpPr/>
      </dsp:nvSpPr>
      <dsp:spPr>
        <a:xfrm>
          <a:off x="133731" y="1152037"/>
          <a:ext cx="422751" cy="888426"/>
        </a:xfrm>
        <a:custGeom>
          <a:avLst/>
          <a:gdLst/>
          <a:ahLst/>
          <a:cxnLst/>
          <a:rect l="0" t="0" r="0" b="0"/>
          <a:pathLst>
            <a:path>
              <a:moveTo>
                <a:pt x="0" y="0"/>
              </a:moveTo>
              <a:lnTo>
                <a:pt x="0" y="888426"/>
              </a:lnTo>
              <a:lnTo>
                <a:pt x="422751" y="88842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474387-574A-4D4E-B0D6-B99E882ACBF3}">
      <dsp:nvSpPr>
        <dsp:cNvPr id="0" name=""/>
        <dsp:cNvSpPr/>
      </dsp:nvSpPr>
      <dsp:spPr>
        <a:xfrm>
          <a:off x="133731" y="1152037"/>
          <a:ext cx="422751" cy="473759"/>
        </a:xfrm>
        <a:custGeom>
          <a:avLst/>
          <a:gdLst/>
          <a:ahLst/>
          <a:cxnLst/>
          <a:rect l="0" t="0" r="0" b="0"/>
          <a:pathLst>
            <a:path>
              <a:moveTo>
                <a:pt x="0" y="0"/>
              </a:moveTo>
              <a:lnTo>
                <a:pt x="0" y="473759"/>
              </a:lnTo>
              <a:lnTo>
                <a:pt x="422751" y="47375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D66FC1-8E75-426D-AF72-64716420BFD7}">
      <dsp:nvSpPr>
        <dsp:cNvPr id="0" name=""/>
        <dsp:cNvSpPr/>
      </dsp:nvSpPr>
      <dsp:spPr>
        <a:xfrm>
          <a:off x="668656" y="292018"/>
          <a:ext cx="2440368" cy="567999"/>
        </a:xfrm>
        <a:custGeom>
          <a:avLst/>
          <a:gdLst/>
          <a:ahLst/>
          <a:cxnLst/>
          <a:rect l="0" t="0" r="0" b="0"/>
          <a:pathLst>
            <a:path>
              <a:moveTo>
                <a:pt x="2440368" y="0"/>
              </a:moveTo>
              <a:lnTo>
                <a:pt x="2440368" y="506675"/>
              </a:lnTo>
              <a:lnTo>
                <a:pt x="0" y="506675"/>
              </a:lnTo>
              <a:lnTo>
                <a:pt x="0" y="567999"/>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1E7007-7709-4D67-921E-3D09EF1F3F61}">
      <dsp:nvSpPr>
        <dsp:cNvPr id="0" name=""/>
        <dsp:cNvSpPr/>
      </dsp:nvSpPr>
      <dsp:spPr>
        <a:xfrm>
          <a:off x="2440368" y="0"/>
          <a:ext cx="1337312" cy="29201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Director</a:t>
          </a:r>
        </a:p>
      </dsp:txBody>
      <dsp:txXfrm>
        <a:off x="2440368" y="0"/>
        <a:ext cx="1337312" cy="292018"/>
      </dsp:txXfrm>
    </dsp:sp>
    <dsp:sp modelId="{5AA583E5-3E23-455E-83BE-5551D421A29A}">
      <dsp:nvSpPr>
        <dsp:cNvPr id="0" name=""/>
        <dsp:cNvSpPr/>
      </dsp:nvSpPr>
      <dsp:spPr>
        <a:xfrm>
          <a:off x="0" y="860018"/>
          <a:ext cx="1337312" cy="29201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Education &amp; Training Portfolio</a:t>
          </a:r>
        </a:p>
      </dsp:txBody>
      <dsp:txXfrm>
        <a:off x="0" y="860018"/>
        <a:ext cx="1337312" cy="292018"/>
      </dsp:txXfrm>
    </dsp:sp>
    <dsp:sp modelId="{B7CE635C-B51C-42EA-8FB4-0F09BE4D74B5}">
      <dsp:nvSpPr>
        <dsp:cNvPr id="0" name=""/>
        <dsp:cNvSpPr/>
      </dsp:nvSpPr>
      <dsp:spPr>
        <a:xfrm>
          <a:off x="556483" y="1479787"/>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Training &amp; Awareness</a:t>
          </a:r>
        </a:p>
      </dsp:txBody>
      <dsp:txXfrm>
        <a:off x="556483" y="1479787"/>
        <a:ext cx="1223997" cy="292018"/>
      </dsp:txXfrm>
    </dsp:sp>
    <dsp:sp modelId="{87F3AF56-8BAD-4A76-8D29-4A09A10FB715}">
      <dsp:nvSpPr>
        <dsp:cNvPr id="0" name=""/>
        <dsp:cNvSpPr/>
      </dsp:nvSpPr>
      <dsp:spPr>
        <a:xfrm>
          <a:off x="556483" y="1894454"/>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Universal Design</a:t>
          </a:r>
        </a:p>
      </dsp:txBody>
      <dsp:txXfrm>
        <a:off x="556483" y="1894454"/>
        <a:ext cx="1223997" cy="292018"/>
      </dsp:txXfrm>
    </dsp:sp>
    <dsp:sp modelId="{87A56B86-FBA8-4FAD-B15B-B496A60C388F}">
      <dsp:nvSpPr>
        <dsp:cNvPr id="0" name=""/>
        <dsp:cNvSpPr/>
      </dsp:nvSpPr>
      <dsp:spPr>
        <a:xfrm>
          <a:off x="556483" y="2309121"/>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Content Management</a:t>
          </a:r>
        </a:p>
      </dsp:txBody>
      <dsp:txXfrm>
        <a:off x="556483" y="2309121"/>
        <a:ext cx="1223997" cy="292018"/>
      </dsp:txXfrm>
    </dsp:sp>
    <dsp:sp modelId="{13066A6E-4D7D-4BDD-B924-376614A45A2D}">
      <dsp:nvSpPr>
        <dsp:cNvPr id="0" name=""/>
        <dsp:cNvSpPr/>
      </dsp:nvSpPr>
      <dsp:spPr>
        <a:xfrm>
          <a:off x="1861385" y="867970"/>
          <a:ext cx="1337312" cy="29201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Policy &amp; Evaluation Portfolio</a:t>
          </a:r>
        </a:p>
      </dsp:txBody>
      <dsp:txXfrm>
        <a:off x="1861385" y="867970"/>
        <a:ext cx="1337312" cy="292018"/>
      </dsp:txXfrm>
    </dsp:sp>
    <dsp:sp modelId="{CD18B57A-59EE-4459-8891-1C8E2B4D4529}">
      <dsp:nvSpPr>
        <dsp:cNvPr id="0" name=""/>
        <dsp:cNvSpPr/>
      </dsp:nvSpPr>
      <dsp:spPr>
        <a:xfrm>
          <a:off x="2434088" y="1330855"/>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Data and Evaluation</a:t>
          </a:r>
        </a:p>
      </dsp:txBody>
      <dsp:txXfrm>
        <a:off x="2434088" y="1330855"/>
        <a:ext cx="1223997" cy="292018"/>
      </dsp:txXfrm>
    </dsp:sp>
    <dsp:sp modelId="{DADE4E4E-F571-4DD1-95C9-ECE69DFC2BA7}">
      <dsp:nvSpPr>
        <dsp:cNvPr id="0" name=""/>
        <dsp:cNvSpPr/>
      </dsp:nvSpPr>
      <dsp:spPr>
        <a:xfrm>
          <a:off x="2457707" y="1745522"/>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Policy and Advocacy</a:t>
          </a:r>
        </a:p>
      </dsp:txBody>
      <dsp:txXfrm>
        <a:off x="2457707" y="1745522"/>
        <a:ext cx="1223997" cy="292018"/>
      </dsp:txXfrm>
    </dsp:sp>
    <dsp:sp modelId="{9A4B49A3-7A11-420B-BD6B-545136FC06EA}">
      <dsp:nvSpPr>
        <dsp:cNvPr id="0" name=""/>
        <dsp:cNvSpPr/>
      </dsp:nvSpPr>
      <dsp:spPr>
        <a:xfrm>
          <a:off x="2453770" y="2121192"/>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Research</a:t>
          </a:r>
        </a:p>
      </dsp:txBody>
      <dsp:txXfrm>
        <a:off x="2453770" y="2121192"/>
        <a:ext cx="1223997" cy="292018"/>
      </dsp:txXfrm>
    </dsp:sp>
    <dsp:sp modelId="{EC06B097-4DE9-43CA-A0E7-3BDA8343BE14}">
      <dsp:nvSpPr>
        <dsp:cNvPr id="0" name=""/>
        <dsp:cNvSpPr/>
      </dsp:nvSpPr>
      <dsp:spPr>
        <a:xfrm>
          <a:off x="2457707" y="2427327"/>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Legal</a:t>
          </a:r>
        </a:p>
      </dsp:txBody>
      <dsp:txXfrm>
        <a:off x="2457707" y="2427327"/>
        <a:ext cx="1223997" cy="292018"/>
      </dsp:txXfrm>
    </dsp:sp>
    <dsp:sp modelId="{2B6AE76A-0BA1-4D6E-9428-BAF0CDC9D75E}">
      <dsp:nvSpPr>
        <dsp:cNvPr id="0" name=""/>
        <dsp:cNvSpPr/>
      </dsp:nvSpPr>
      <dsp:spPr>
        <a:xfrm>
          <a:off x="3774226" y="860018"/>
          <a:ext cx="1337312" cy="29201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Projects Portfolio</a:t>
          </a:r>
        </a:p>
      </dsp:txBody>
      <dsp:txXfrm>
        <a:off x="3774226" y="860018"/>
        <a:ext cx="1337312" cy="292018"/>
      </dsp:txXfrm>
    </dsp:sp>
    <dsp:sp modelId="{D035E316-2B16-4785-AAE6-84879B89595F}">
      <dsp:nvSpPr>
        <dsp:cNvPr id="0" name=""/>
        <dsp:cNvSpPr/>
      </dsp:nvSpPr>
      <dsp:spPr>
        <a:xfrm>
          <a:off x="4424577" y="1408476"/>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Transitions Projects</a:t>
          </a:r>
        </a:p>
      </dsp:txBody>
      <dsp:txXfrm>
        <a:off x="4424577" y="1408476"/>
        <a:ext cx="1223997" cy="292018"/>
      </dsp:txXfrm>
    </dsp:sp>
    <dsp:sp modelId="{35C25B73-7446-4194-8C1E-80F6996E1C6F}">
      <dsp:nvSpPr>
        <dsp:cNvPr id="0" name=""/>
        <dsp:cNvSpPr/>
      </dsp:nvSpPr>
      <dsp:spPr>
        <a:xfrm>
          <a:off x="4424577" y="1823143"/>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Participation</a:t>
          </a:r>
        </a:p>
      </dsp:txBody>
      <dsp:txXfrm>
        <a:off x="4424577" y="1823143"/>
        <a:ext cx="1223997" cy="292018"/>
      </dsp:txXfrm>
    </dsp:sp>
    <dsp:sp modelId="{2AF64794-26FD-4EFB-A94B-2646B34B964A}">
      <dsp:nvSpPr>
        <dsp:cNvPr id="0" name=""/>
        <dsp:cNvSpPr/>
      </dsp:nvSpPr>
      <dsp:spPr>
        <a:xfrm>
          <a:off x="4424577" y="2237810"/>
          <a:ext cx="1223997" cy="29201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Graduate Employment</a:t>
          </a:r>
        </a:p>
      </dsp:txBody>
      <dsp:txXfrm>
        <a:off x="4424577" y="2237810"/>
        <a:ext cx="1223997" cy="292018"/>
      </dsp:txXfrm>
    </dsp:sp>
    <dsp:sp modelId="{CF5FC7F8-CDC8-497A-B2E1-F0EBC8984A21}">
      <dsp:nvSpPr>
        <dsp:cNvPr id="0" name=""/>
        <dsp:cNvSpPr/>
      </dsp:nvSpPr>
      <dsp:spPr>
        <a:xfrm>
          <a:off x="4493871" y="418673"/>
          <a:ext cx="1337312" cy="29201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Business Services</a:t>
          </a:r>
        </a:p>
      </dsp:txBody>
      <dsp:txXfrm>
        <a:off x="4493871" y="418673"/>
        <a:ext cx="1337312" cy="292018"/>
      </dsp:txXfrm>
    </dsp:sp>
    <dsp:sp modelId="{DA30080D-7050-4F15-95E1-6D7B34EF0699}">
      <dsp:nvSpPr>
        <dsp:cNvPr id="0" name=""/>
        <dsp:cNvSpPr/>
      </dsp:nvSpPr>
      <dsp:spPr>
        <a:xfrm>
          <a:off x="289021" y="259949"/>
          <a:ext cx="1337312" cy="292018"/>
        </a:xfrm>
        <a:prstGeom prst="rect">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Text" lastClr="000000"/>
              </a:solidFill>
              <a:latin typeface="Arial" panose="020B0604020202020204" pitchFamily="34" charset="0"/>
              <a:cs typeface="Arial" panose="020B0604020202020204" pitchFamily="34" charset="0"/>
            </a:rPr>
            <a:t>Advisory Group</a:t>
          </a:r>
        </a:p>
      </dsp:txBody>
      <dsp:txXfrm>
        <a:off x="289021" y="259949"/>
        <a:ext cx="1337312" cy="2920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5" ma:contentTypeDescription="Create a new document." ma:contentTypeScope="" ma:versionID="7538ded6fda24eb2f915478361b93c1a">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29479798de7c302b700c1d215ddf139e"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9913F-32D4-496A-B083-A82D1F81B8DD}">
  <ds:schemaRefs>
    <ds:schemaRef ds:uri="http://schemas.microsoft.com/sharepoint/v3/contenttype/forms"/>
  </ds:schemaRefs>
</ds:datastoreItem>
</file>

<file path=customXml/itemProps2.xml><?xml version="1.0" encoding="utf-8"?>
<ds:datastoreItem xmlns:ds="http://schemas.openxmlformats.org/officeDocument/2006/customXml" ds:itemID="{C619FB04-20B5-4F27-915A-68577AFA9C2A}">
  <ds:schemaRefs>
    <ds:schemaRef ds:uri="http://schemas.openxmlformats.org/officeDocument/2006/bibliography"/>
  </ds:schemaRefs>
</ds:datastoreItem>
</file>

<file path=customXml/itemProps3.xml><?xml version="1.0" encoding="utf-8"?>
<ds:datastoreItem xmlns:ds="http://schemas.openxmlformats.org/officeDocument/2006/customXml" ds:itemID="{D4A936F8-E8CB-4732-ADF3-7B4D7E3D0EDD}">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4.xml><?xml version="1.0" encoding="utf-8"?>
<ds:datastoreItem xmlns:ds="http://schemas.openxmlformats.org/officeDocument/2006/customXml" ds:itemID="{0A861FA4-3845-4130-83E8-65C94858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37</Pages>
  <Words>12311</Words>
  <Characters>70173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82320</CharactersWithSpaces>
  <SharedDoc>false</SharedDoc>
  <HLinks>
    <vt:vector size="720" baseType="variant">
      <vt:variant>
        <vt:i4>6946873</vt:i4>
      </vt:variant>
      <vt:variant>
        <vt:i4>396</vt:i4>
      </vt:variant>
      <vt:variant>
        <vt:i4>0</vt:i4>
      </vt:variant>
      <vt:variant>
        <vt:i4>5</vt:i4>
      </vt:variant>
      <vt:variant>
        <vt:lpwstr>https://www.dese.gov.au/heppp/resources/student-equity-higher-education-evaluation-framework-seheef-guidance-manual</vt:lpwstr>
      </vt:variant>
      <vt:variant>
        <vt:lpwstr/>
      </vt:variant>
      <vt:variant>
        <vt:i4>1048616</vt:i4>
      </vt:variant>
      <vt:variant>
        <vt:i4>393</vt:i4>
      </vt:variant>
      <vt:variant>
        <vt:i4>0</vt:i4>
      </vt:variant>
      <vt:variant>
        <vt:i4>5</vt:i4>
      </vt:variant>
      <vt:variant>
        <vt:lpwstr/>
      </vt:variant>
      <vt:variant>
        <vt:lpwstr>_Appendix_3:_Budget</vt:lpwstr>
      </vt:variant>
      <vt:variant>
        <vt:i4>3801121</vt:i4>
      </vt:variant>
      <vt:variant>
        <vt:i4>387</vt:i4>
      </vt:variant>
      <vt:variant>
        <vt:i4>0</vt:i4>
      </vt:variant>
      <vt:variant>
        <vt:i4>5</vt:i4>
      </vt:variant>
      <vt:variant>
        <vt:lpwstr>https://www.adcet.edu.au/students-with-disability/planning-for-post-secondary-education</vt:lpwstr>
      </vt:variant>
      <vt:variant>
        <vt:lpwstr/>
      </vt:variant>
      <vt:variant>
        <vt:i4>8061038</vt:i4>
      </vt:variant>
      <vt:variant>
        <vt:i4>384</vt:i4>
      </vt:variant>
      <vt:variant>
        <vt:i4>0</vt:i4>
      </vt:variant>
      <vt:variant>
        <vt:i4>5</vt:i4>
      </vt:variant>
      <vt:variant>
        <vt:lpwstr>https://www.adcet.edu.au/resource/10475/guidelines-supporting-deaf-and-hard-of-hearing-students-online</vt:lpwstr>
      </vt:variant>
      <vt:variant>
        <vt:lpwstr/>
      </vt:variant>
      <vt:variant>
        <vt:i4>983123</vt:i4>
      </vt:variant>
      <vt:variant>
        <vt:i4>381</vt:i4>
      </vt:variant>
      <vt:variant>
        <vt:i4>0</vt:i4>
      </vt:variant>
      <vt:variant>
        <vt:i4>5</vt:i4>
      </vt:variant>
      <vt:variant>
        <vt:lpwstr>https://www.adcet.edu.au/our-work/guidelines</vt:lpwstr>
      </vt:variant>
      <vt:variant>
        <vt:lpwstr/>
      </vt:variant>
      <vt:variant>
        <vt:i4>2556013</vt:i4>
      </vt:variant>
      <vt:variant>
        <vt:i4>378</vt:i4>
      </vt:variant>
      <vt:variant>
        <vt:i4>0</vt:i4>
      </vt:variant>
      <vt:variant>
        <vt:i4>5</vt:i4>
      </vt:variant>
      <vt:variant>
        <vt:lpwstr>https://www.adcet.edu.au/covid-19-faqs</vt:lpwstr>
      </vt:variant>
      <vt:variant>
        <vt:lpwstr/>
      </vt:variant>
      <vt:variant>
        <vt:i4>7995425</vt:i4>
      </vt:variant>
      <vt:variant>
        <vt:i4>375</vt:i4>
      </vt:variant>
      <vt:variant>
        <vt:i4>0</vt:i4>
      </vt:variant>
      <vt:variant>
        <vt:i4>5</vt:i4>
      </vt:variant>
      <vt:variant>
        <vt:lpwstr>https://www.adcet.edu.au/resource/10926/procuring-with-everybody-in-mind-supporting-universities-to-adopt-as-en-301-549</vt:lpwstr>
      </vt:variant>
      <vt:variant>
        <vt:lpwstr/>
      </vt:variant>
      <vt:variant>
        <vt:i4>7143532</vt:i4>
      </vt:variant>
      <vt:variant>
        <vt:i4>372</vt:i4>
      </vt:variant>
      <vt:variant>
        <vt:i4>0</vt:i4>
      </vt:variant>
      <vt:variant>
        <vt:i4>5</vt:i4>
      </vt:variant>
      <vt:variant>
        <vt:lpwstr>https://www.adcet.edu.au/our-work/disability-awareness</vt:lpwstr>
      </vt:variant>
      <vt:variant>
        <vt:lpwstr/>
      </vt:variant>
      <vt:variant>
        <vt:i4>3670061</vt:i4>
      </vt:variant>
      <vt:variant>
        <vt:i4>369</vt:i4>
      </vt:variant>
      <vt:variant>
        <vt:i4>0</vt:i4>
      </vt:variant>
      <vt:variant>
        <vt:i4>5</vt:i4>
      </vt:variant>
      <vt:variant>
        <vt:lpwstr>https://www.adcet.edu.au/inclusive-teaching</vt:lpwstr>
      </vt:variant>
      <vt:variant>
        <vt:lpwstr/>
      </vt:variant>
      <vt:variant>
        <vt:i4>6750302</vt:i4>
      </vt:variant>
      <vt:variant>
        <vt:i4>366</vt:i4>
      </vt:variant>
      <vt:variant>
        <vt:i4>0</vt:i4>
      </vt:variant>
      <vt:variant>
        <vt:i4>5</vt:i4>
      </vt:variant>
      <vt:variant>
        <vt:lpwstr/>
      </vt:variant>
      <vt:variant>
        <vt:lpwstr>_Appendix_1:_National</vt:lpwstr>
      </vt:variant>
      <vt:variant>
        <vt:i4>1376258</vt:i4>
      </vt:variant>
      <vt:variant>
        <vt:i4>363</vt:i4>
      </vt:variant>
      <vt:variant>
        <vt:i4>0</vt:i4>
      </vt:variant>
      <vt:variant>
        <vt:i4>5</vt:i4>
      </vt:variant>
      <vt:variant>
        <vt:lpwstr>https://www.adcet.edu.au/disability-practitioner</vt:lpwstr>
      </vt:variant>
      <vt:variant>
        <vt:lpwstr/>
      </vt:variant>
      <vt:variant>
        <vt:i4>917571</vt:i4>
      </vt:variant>
      <vt:variant>
        <vt:i4>360</vt:i4>
      </vt:variant>
      <vt:variant>
        <vt:i4>0</vt:i4>
      </vt:variant>
      <vt:variant>
        <vt:i4>5</vt:i4>
      </vt:variant>
      <vt:variant>
        <vt:lpwstr>https://www.adcet.edu.au/students-with-disability</vt:lpwstr>
      </vt:variant>
      <vt:variant>
        <vt:lpwstr/>
      </vt:variant>
      <vt:variant>
        <vt:i4>1703954</vt:i4>
      </vt:variant>
      <vt:variant>
        <vt:i4>357</vt:i4>
      </vt:variant>
      <vt:variant>
        <vt:i4>0</vt:i4>
      </vt:variant>
      <vt:variant>
        <vt:i4>5</vt:i4>
      </vt:variant>
      <vt:variant>
        <vt:lpwstr>https://www.adcet.edu.au/students-with-disability/employment/employment-services-and-programs</vt:lpwstr>
      </vt:variant>
      <vt:variant>
        <vt:lpwstr/>
      </vt:variant>
      <vt:variant>
        <vt:i4>1900638</vt:i4>
      </vt:variant>
      <vt:variant>
        <vt:i4>354</vt:i4>
      </vt:variant>
      <vt:variant>
        <vt:i4>0</vt:i4>
      </vt:variant>
      <vt:variant>
        <vt:i4>5</vt:i4>
      </vt:variant>
      <vt:variant>
        <vt:lpwstr>https://www.adcet.edu.au/inclusive-technology/darren's-update</vt:lpwstr>
      </vt:variant>
      <vt:variant>
        <vt:lpwstr/>
      </vt:variant>
      <vt:variant>
        <vt:i4>2818102</vt:i4>
      </vt:variant>
      <vt:variant>
        <vt:i4>351</vt:i4>
      </vt:variant>
      <vt:variant>
        <vt:i4>0</vt:i4>
      </vt:variant>
      <vt:variant>
        <vt:i4>5</vt:i4>
      </vt:variant>
      <vt:variant>
        <vt:lpwstr>https://www.adcet.edu.au/our-work/udl-elearning</vt:lpwstr>
      </vt:variant>
      <vt:variant>
        <vt:lpwstr/>
      </vt:variant>
      <vt:variant>
        <vt:i4>6422577</vt:i4>
      </vt:variant>
      <vt:variant>
        <vt:i4>348</vt:i4>
      </vt:variant>
      <vt:variant>
        <vt:i4>0</vt:i4>
      </vt:variant>
      <vt:variant>
        <vt:i4>5</vt:i4>
      </vt:variant>
      <vt:variant>
        <vt:lpwstr>https://disabilityawareness.com.au/</vt:lpwstr>
      </vt:variant>
      <vt:variant>
        <vt:lpwstr/>
      </vt:variant>
      <vt:variant>
        <vt:i4>589893</vt:i4>
      </vt:variant>
      <vt:variant>
        <vt:i4>345</vt:i4>
      </vt:variant>
      <vt:variant>
        <vt:i4>0</vt:i4>
      </vt:variant>
      <vt:variant>
        <vt:i4>5</vt:i4>
      </vt:variant>
      <vt:variant>
        <vt:lpwstr>https://www.adcet.edu.au/resource/9146/austed-email-list</vt:lpwstr>
      </vt:variant>
      <vt:variant>
        <vt:lpwstr/>
      </vt:variant>
      <vt:variant>
        <vt:i4>5570572</vt:i4>
      </vt:variant>
      <vt:variant>
        <vt:i4>339</vt:i4>
      </vt:variant>
      <vt:variant>
        <vt:i4>0</vt:i4>
      </vt:variant>
      <vt:variant>
        <vt:i4>5</vt:i4>
      </vt:variant>
      <vt:variant>
        <vt:lpwstr>https://www.adcet.edu.au/ndco</vt:lpwstr>
      </vt:variant>
      <vt:variant>
        <vt:lpwstr/>
      </vt:variant>
      <vt:variant>
        <vt:i4>2228351</vt:i4>
      </vt:variant>
      <vt:variant>
        <vt:i4>336</vt:i4>
      </vt:variant>
      <vt:variant>
        <vt:i4>0</vt:i4>
      </vt:variant>
      <vt:variant>
        <vt:i4>5</vt:i4>
      </vt:variant>
      <vt:variant>
        <vt:lpwstr>https://www.adcet.edu.au/about</vt:lpwstr>
      </vt:variant>
      <vt:variant>
        <vt:lpwstr/>
      </vt:variant>
      <vt:variant>
        <vt:i4>1572882</vt:i4>
      </vt:variant>
      <vt:variant>
        <vt:i4>333</vt:i4>
      </vt:variant>
      <vt:variant>
        <vt:i4>0</vt:i4>
      </vt:variant>
      <vt:variant>
        <vt:i4>5</vt:i4>
      </vt:variant>
      <vt:variant>
        <vt:lpwstr>https://wiseemployment.com.au/gradwise-graduate-jobs/</vt:lpwstr>
      </vt:variant>
      <vt:variant>
        <vt:lpwstr/>
      </vt:variant>
      <vt:variant>
        <vt:i4>720970</vt:i4>
      </vt:variant>
      <vt:variant>
        <vt:i4>330</vt:i4>
      </vt:variant>
      <vt:variant>
        <vt:i4>0</vt:i4>
      </vt:variant>
      <vt:variant>
        <vt:i4>5</vt:i4>
      </vt:variant>
      <vt:variant>
        <vt:lpwstr>https://www.usep.com.au/</vt:lpwstr>
      </vt:variant>
      <vt:variant>
        <vt:lpwstr/>
      </vt:variant>
      <vt:variant>
        <vt:i4>6553636</vt:i4>
      </vt:variant>
      <vt:variant>
        <vt:i4>327</vt:i4>
      </vt:variant>
      <vt:variant>
        <vt:i4>0</vt:i4>
      </vt:variant>
      <vt:variant>
        <vt:i4>5</vt:i4>
      </vt:variant>
      <vt:variant>
        <vt:lpwstr>https://www.qilt.edu.au/surveys/graduate-outcomes-survey-(gos)</vt:lpwstr>
      </vt:variant>
      <vt:variant>
        <vt:lpwstr/>
      </vt:variant>
      <vt:variant>
        <vt:i4>5767179</vt:i4>
      </vt:variant>
      <vt:variant>
        <vt:i4>324</vt:i4>
      </vt:variant>
      <vt:variant>
        <vt:i4>0</vt:i4>
      </vt:variant>
      <vt:variant>
        <vt:i4>5</vt:i4>
      </vt:variant>
      <vt:variant>
        <vt:lpwstr>https://www.dese.gov.au/higher-education-statistics/student-data/selected-higher-education-statistics-2020-student-data-0</vt:lpwstr>
      </vt:variant>
      <vt:variant>
        <vt:lpwstr/>
      </vt:variant>
      <vt:variant>
        <vt:i4>1572949</vt:i4>
      </vt:variant>
      <vt:variant>
        <vt:i4>321</vt:i4>
      </vt:variant>
      <vt:variant>
        <vt:i4>0</vt:i4>
      </vt:variant>
      <vt:variant>
        <vt:i4>5</vt:i4>
      </vt:variant>
      <vt:variant>
        <vt:lpwstr>https://www.abs.gov.au/statistics/health/disability/disability-ageing-and-carers-australia-summary-findings/2018</vt:lpwstr>
      </vt:variant>
      <vt:variant>
        <vt:lpwstr/>
      </vt:variant>
      <vt:variant>
        <vt:i4>3145854</vt:i4>
      </vt:variant>
      <vt:variant>
        <vt:i4>318</vt:i4>
      </vt:variant>
      <vt:variant>
        <vt:i4>0</vt:i4>
      </vt:variant>
      <vt:variant>
        <vt:i4>5</vt:i4>
      </vt:variant>
      <vt:variant>
        <vt:lpwstr>https://www.aihw.gov.au/reports/dis/72/people-with-disability-in-australia/contents/education-and-skills/educational-attainment</vt:lpwstr>
      </vt:variant>
      <vt:variant>
        <vt:lpwstr>Highest%20level%20of%20education</vt:lpwstr>
      </vt:variant>
      <vt:variant>
        <vt:i4>5767179</vt:i4>
      </vt:variant>
      <vt:variant>
        <vt:i4>315</vt:i4>
      </vt:variant>
      <vt:variant>
        <vt:i4>0</vt:i4>
      </vt:variant>
      <vt:variant>
        <vt:i4>5</vt:i4>
      </vt:variant>
      <vt:variant>
        <vt:lpwstr>https://www.dese.gov.au/higher-education-statistics/student-data/selected-higher-education-statistics-2020-student-data-0</vt:lpwstr>
      </vt:variant>
      <vt:variant>
        <vt:lpwstr/>
      </vt:variant>
      <vt:variant>
        <vt:i4>8257663</vt:i4>
      </vt:variant>
      <vt:variant>
        <vt:i4>312</vt:i4>
      </vt:variant>
      <vt:variant>
        <vt:i4>0</vt:i4>
      </vt:variant>
      <vt:variant>
        <vt:i4>5</vt:i4>
      </vt:variant>
      <vt:variant>
        <vt:lpwstr/>
      </vt:variant>
      <vt:variant>
        <vt:lpwstr>_Key_statistics</vt:lpwstr>
      </vt:variant>
      <vt:variant>
        <vt:i4>4456532</vt:i4>
      </vt:variant>
      <vt:variant>
        <vt:i4>309</vt:i4>
      </vt:variant>
      <vt:variant>
        <vt:i4>0</vt:i4>
      </vt:variant>
      <vt:variant>
        <vt:i4>5</vt:i4>
      </vt:variant>
      <vt:variant>
        <vt:lpwstr>https://www.teqsa.gov.au/</vt:lpwstr>
      </vt:variant>
      <vt:variant>
        <vt:lpwstr/>
      </vt:variant>
      <vt:variant>
        <vt:i4>327754</vt:i4>
      </vt:variant>
      <vt:variant>
        <vt:i4>306</vt:i4>
      </vt:variant>
      <vt:variant>
        <vt:i4>0</vt:i4>
      </vt:variant>
      <vt:variant>
        <vt:i4>5</vt:i4>
      </vt:variant>
      <vt:variant>
        <vt:lpwstr>https://www.asqa.gov.au/</vt:lpwstr>
      </vt:variant>
      <vt:variant>
        <vt:lpwstr/>
      </vt:variant>
      <vt:variant>
        <vt:i4>1310739</vt:i4>
      </vt:variant>
      <vt:variant>
        <vt:i4>303</vt:i4>
      </vt:variant>
      <vt:variant>
        <vt:i4>0</vt:i4>
      </vt:variant>
      <vt:variant>
        <vt:i4>5</vt:i4>
      </vt:variant>
      <vt:variant>
        <vt:lpwstr>https://www.education.gov.au/higher-education-funding/performancebased-funding-commonwealth-grant-scheme</vt:lpwstr>
      </vt:variant>
      <vt:variant>
        <vt:lpwstr/>
      </vt:variant>
      <vt:variant>
        <vt:i4>2883626</vt:i4>
      </vt:variant>
      <vt:variant>
        <vt:i4>300</vt:i4>
      </vt:variant>
      <vt:variant>
        <vt:i4>0</vt:i4>
      </vt:variant>
      <vt:variant>
        <vt:i4>5</vt:i4>
      </vt:variant>
      <vt:variant>
        <vt:lpwstr>https://www.education.gov.au/job-ready</vt:lpwstr>
      </vt:variant>
      <vt:variant>
        <vt:lpwstr/>
      </vt:variant>
      <vt:variant>
        <vt:i4>5308418</vt:i4>
      </vt:variant>
      <vt:variant>
        <vt:i4>297</vt:i4>
      </vt:variant>
      <vt:variant>
        <vt:i4>0</vt:i4>
      </vt:variant>
      <vt:variant>
        <vt:i4>5</vt:i4>
      </vt:variant>
      <vt:variant>
        <vt:lpwstr>https://www.education.gov.au/higher-education-disability-support-program</vt:lpwstr>
      </vt:variant>
      <vt:variant>
        <vt:lpwstr/>
      </vt:variant>
      <vt:variant>
        <vt:i4>5963851</vt:i4>
      </vt:variant>
      <vt:variant>
        <vt:i4>294</vt:i4>
      </vt:variant>
      <vt:variant>
        <vt:i4>0</vt:i4>
      </vt:variant>
      <vt:variant>
        <vt:i4>5</vt:i4>
      </vt:variant>
      <vt:variant>
        <vt:lpwstr>https://www.dewr.gov.au/expert-review-australias-vet-system/resources/vocational-education-and-training-vet-reform-roadmap-draft</vt:lpwstr>
      </vt:variant>
      <vt:variant>
        <vt:lpwstr/>
      </vt:variant>
      <vt:variant>
        <vt:i4>3997810</vt:i4>
      </vt:variant>
      <vt:variant>
        <vt:i4>291</vt:i4>
      </vt:variant>
      <vt:variant>
        <vt:i4>0</vt:i4>
      </vt:variant>
      <vt:variant>
        <vt:i4>5</vt:i4>
      </vt:variant>
      <vt:variant>
        <vt:lpwstr>https://www.dss.gov.au/disability-and-australias-disability-strategy-2021-2031</vt:lpwstr>
      </vt:variant>
      <vt:variant>
        <vt:lpwstr/>
      </vt:variant>
      <vt:variant>
        <vt:i4>7536686</vt:i4>
      </vt:variant>
      <vt:variant>
        <vt:i4>288</vt:i4>
      </vt:variant>
      <vt:variant>
        <vt:i4>0</vt:i4>
      </vt:variant>
      <vt:variant>
        <vt:i4>5</vt:i4>
      </vt:variant>
      <vt:variant>
        <vt:lpwstr>https://www.legislation.gov.au/Details/F2022L00347</vt:lpwstr>
      </vt:variant>
      <vt:variant>
        <vt:lpwstr/>
      </vt:variant>
      <vt:variant>
        <vt:i4>7143527</vt:i4>
      </vt:variant>
      <vt:variant>
        <vt:i4>285</vt:i4>
      </vt:variant>
      <vt:variant>
        <vt:i4>0</vt:i4>
      </vt:variant>
      <vt:variant>
        <vt:i4>5</vt:i4>
      </vt:variant>
      <vt:variant>
        <vt:lpwstr>https://www.adcet.edu.au/20-years-with-adcet/our-impact</vt:lpwstr>
      </vt:variant>
      <vt:variant>
        <vt:lpwstr/>
      </vt:variant>
      <vt:variant>
        <vt:i4>1376310</vt:i4>
      </vt:variant>
      <vt:variant>
        <vt:i4>278</vt:i4>
      </vt:variant>
      <vt:variant>
        <vt:i4>0</vt:i4>
      </vt:variant>
      <vt:variant>
        <vt:i4>5</vt:i4>
      </vt:variant>
      <vt:variant>
        <vt:lpwstr/>
      </vt:variant>
      <vt:variant>
        <vt:lpwstr>_Toc132100505</vt:lpwstr>
      </vt:variant>
      <vt:variant>
        <vt:i4>1376310</vt:i4>
      </vt:variant>
      <vt:variant>
        <vt:i4>272</vt:i4>
      </vt:variant>
      <vt:variant>
        <vt:i4>0</vt:i4>
      </vt:variant>
      <vt:variant>
        <vt:i4>5</vt:i4>
      </vt:variant>
      <vt:variant>
        <vt:lpwstr/>
      </vt:variant>
      <vt:variant>
        <vt:lpwstr>_Toc132100504</vt:lpwstr>
      </vt:variant>
      <vt:variant>
        <vt:i4>1376310</vt:i4>
      </vt:variant>
      <vt:variant>
        <vt:i4>266</vt:i4>
      </vt:variant>
      <vt:variant>
        <vt:i4>0</vt:i4>
      </vt:variant>
      <vt:variant>
        <vt:i4>5</vt:i4>
      </vt:variant>
      <vt:variant>
        <vt:lpwstr/>
      </vt:variant>
      <vt:variant>
        <vt:lpwstr>_Toc132100503</vt:lpwstr>
      </vt:variant>
      <vt:variant>
        <vt:i4>1376310</vt:i4>
      </vt:variant>
      <vt:variant>
        <vt:i4>260</vt:i4>
      </vt:variant>
      <vt:variant>
        <vt:i4>0</vt:i4>
      </vt:variant>
      <vt:variant>
        <vt:i4>5</vt:i4>
      </vt:variant>
      <vt:variant>
        <vt:lpwstr/>
      </vt:variant>
      <vt:variant>
        <vt:lpwstr>_Toc132100502</vt:lpwstr>
      </vt:variant>
      <vt:variant>
        <vt:i4>1376310</vt:i4>
      </vt:variant>
      <vt:variant>
        <vt:i4>254</vt:i4>
      </vt:variant>
      <vt:variant>
        <vt:i4>0</vt:i4>
      </vt:variant>
      <vt:variant>
        <vt:i4>5</vt:i4>
      </vt:variant>
      <vt:variant>
        <vt:lpwstr/>
      </vt:variant>
      <vt:variant>
        <vt:lpwstr>_Toc132100501</vt:lpwstr>
      </vt:variant>
      <vt:variant>
        <vt:i4>1376310</vt:i4>
      </vt:variant>
      <vt:variant>
        <vt:i4>248</vt:i4>
      </vt:variant>
      <vt:variant>
        <vt:i4>0</vt:i4>
      </vt:variant>
      <vt:variant>
        <vt:i4>5</vt:i4>
      </vt:variant>
      <vt:variant>
        <vt:lpwstr/>
      </vt:variant>
      <vt:variant>
        <vt:lpwstr>_Toc132100500</vt:lpwstr>
      </vt:variant>
      <vt:variant>
        <vt:i4>1835063</vt:i4>
      </vt:variant>
      <vt:variant>
        <vt:i4>242</vt:i4>
      </vt:variant>
      <vt:variant>
        <vt:i4>0</vt:i4>
      </vt:variant>
      <vt:variant>
        <vt:i4>5</vt:i4>
      </vt:variant>
      <vt:variant>
        <vt:lpwstr/>
      </vt:variant>
      <vt:variant>
        <vt:lpwstr>_Toc132100499</vt:lpwstr>
      </vt:variant>
      <vt:variant>
        <vt:i4>1835063</vt:i4>
      </vt:variant>
      <vt:variant>
        <vt:i4>236</vt:i4>
      </vt:variant>
      <vt:variant>
        <vt:i4>0</vt:i4>
      </vt:variant>
      <vt:variant>
        <vt:i4>5</vt:i4>
      </vt:variant>
      <vt:variant>
        <vt:lpwstr/>
      </vt:variant>
      <vt:variant>
        <vt:lpwstr>_Toc132100498</vt:lpwstr>
      </vt:variant>
      <vt:variant>
        <vt:i4>1835063</vt:i4>
      </vt:variant>
      <vt:variant>
        <vt:i4>230</vt:i4>
      </vt:variant>
      <vt:variant>
        <vt:i4>0</vt:i4>
      </vt:variant>
      <vt:variant>
        <vt:i4>5</vt:i4>
      </vt:variant>
      <vt:variant>
        <vt:lpwstr/>
      </vt:variant>
      <vt:variant>
        <vt:lpwstr>_Toc132100497</vt:lpwstr>
      </vt:variant>
      <vt:variant>
        <vt:i4>1835063</vt:i4>
      </vt:variant>
      <vt:variant>
        <vt:i4>224</vt:i4>
      </vt:variant>
      <vt:variant>
        <vt:i4>0</vt:i4>
      </vt:variant>
      <vt:variant>
        <vt:i4>5</vt:i4>
      </vt:variant>
      <vt:variant>
        <vt:lpwstr/>
      </vt:variant>
      <vt:variant>
        <vt:lpwstr>_Toc132100496</vt:lpwstr>
      </vt:variant>
      <vt:variant>
        <vt:i4>1835063</vt:i4>
      </vt:variant>
      <vt:variant>
        <vt:i4>218</vt:i4>
      </vt:variant>
      <vt:variant>
        <vt:i4>0</vt:i4>
      </vt:variant>
      <vt:variant>
        <vt:i4>5</vt:i4>
      </vt:variant>
      <vt:variant>
        <vt:lpwstr/>
      </vt:variant>
      <vt:variant>
        <vt:lpwstr>_Toc132100495</vt:lpwstr>
      </vt:variant>
      <vt:variant>
        <vt:i4>1835063</vt:i4>
      </vt:variant>
      <vt:variant>
        <vt:i4>212</vt:i4>
      </vt:variant>
      <vt:variant>
        <vt:i4>0</vt:i4>
      </vt:variant>
      <vt:variant>
        <vt:i4>5</vt:i4>
      </vt:variant>
      <vt:variant>
        <vt:lpwstr/>
      </vt:variant>
      <vt:variant>
        <vt:lpwstr>_Toc132100494</vt:lpwstr>
      </vt:variant>
      <vt:variant>
        <vt:i4>6553636</vt:i4>
      </vt:variant>
      <vt:variant>
        <vt:i4>207</vt:i4>
      </vt:variant>
      <vt:variant>
        <vt:i4>0</vt:i4>
      </vt:variant>
      <vt:variant>
        <vt:i4>5</vt:i4>
      </vt:variant>
      <vt:variant>
        <vt:lpwstr>https://www.qilt.edu.au/surveys/graduate-outcomes-survey-(gos)</vt:lpwstr>
      </vt:variant>
      <vt:variant>
        <vt:lpwstr/>
      </vt:variant>
      <vt:variant>
        <vt:i4>2556020</vt:i4>
      </vt:variant>
      <vt:variant>
        <vt:i4>204</vt:i4>
      </vt:variant>
      <vt:variant>
        <vt:i4>0</vt:i4>
      </vt:variant>
      <vt:variant>
        <vt:i4>5</vt:i4>
      </vt:variant>
      <vt:variant>
        <vt:lpwstr>https://www.nationalskillscommission.gov.au/insights/projecting-employment-2026</vt:lpwstr>
      </vt:variant>
      <vt:variant>
        <vt:lpwstr/>
      </vt:variant>
      <vt:variant>
        <vt:i4>7405623</vt:i4>
      </vt:variant>
      <vt:variant>
        <vt:i4>201</vt:i4>
      </vt:variant>
      <vt:variant>
        <vt:i4>0</vt:i4>
      </vt:variant>
      <vt:variant>
        <vt:i4>5</vt:i4>
      </vt:variant>
      <vt:variant>
        <vt:lpwstr>https://www.dese.gov.au/higher-education-statistics/resources/2020-section-11-equity-groups</vt:lpwstr>
      </vt:variant>
      <vt:variant>
        <vt:lpwstr/>
      </vt:variant>
      <vt:variant>
        <vt:i4>5570572</vt:i4>
      </vt:variant>
      <vt:variant>
        <vt:i4>198</vt:i4>
      </vt:variant>
      <vt:variant>
        <vt:i4>0</vt:i4>
      </vt:variant>
      <vt:variant>
        <vt:i4>5</vt:i4>
      </vt:variant>
      <vt:variant>
        <vt:lpwstr>https://www.cast.org/</vt:lpwstr>
      </vt:variant>
      <vt:variant>
        <vt:lpwstr/>
      </vt:variant>
      <vt:variant>
        <vt:i4>4390991</vt:i4>
      </vt:variant>
      <vt:variant>
        <vt:i4>195</vt:i4>
      </vt:variant>
      <vt:variant>
        <vt:i4>0</vt:i4>
      </vt:variant>
      <vt:variant>
        <vt:i4>5</vt:i4>
      </vt:variant>
      <vt:variant>
        <vt:lpwstr>https://includeability.gov.au/resources-employers/economic-and-business-benefits-employing-people-disability</vt:lpwstr>
      </vt:variant>
      <vt:variant>
        <vt:lpwstr/>
      </vt:variant>
      <vt:variant>
        <vt:i4>131143</vt:i4>
      </vt:variant>
      <vt:variant>
        <vt:i4>192</vt:i4>
      </vt:variant>
      <vt:variant>
        <vt:i4>0</vt:i4>
      </vt:variant>
      <vt:variant>
        <vt:i4>5</vt:i4>
      </vt:variant>
      <vt:variant>
        <vt:lpwstr>https://www.humanrights.gov.au/our-work/publications</vt:lpwstr>
      </vt:variant>
      <vt:variant>
        <vt:lpwstr/>
      </vt:variant>
      <vt:variant>
        <vt:i4>4980739</vt:i4>
      </vt:variant>
      <vt:variant>
        <vt:i4>189</vt:i4>
      </vt:variant>
      <vt:variant>
        <vt:i4>0</vt:i4>
      </vt:variant>
      <vt:variant>
        <vt:i4>5</vt:i4>
      </vt:variant>
      <vt:variant>
        <vt:lpwstr>http://www.acola.org/</vt:lpwstr>
      </vt:variant>
      <vt:variant>
        <vt:lpwstr/>
      </vt:variant>
      <vt:variant>
        <vt:i4>2490422</vt:i4>
      </vt:variant>
      <vt:variant>
        <vt:i4>186</vt:i4>
      </vt:variant>
      <vt:variant>
        <vt:i4>0</vt:i4>
      </vt:variant>
      <vt:variant>
        <vt:i4>5</vt:i4>
      </vt:variant>
      <vt:variant>
        <vt:lpwstr>https://www.ndis.gov.au/about-us/strategies/participant-employment-strategy</vt:lpwstr>
      </vt:variant>
      <vt:variant>
        <vt:lpwstr>strategy</vt:lpwstr>
      </vt:variant>
      <vt:variant>
        <vt:i4>2490422</vt:i4>
      </vt:variant>
      <vt:variant>
        <vt:i4>183</vt:i4>
      </vt:variant>
      <vt:variant>
        <vt:i4>0</vt:i4>
      </vt:variant>
      <vt:variant>
        <vt:i4>5</vt:i4>
      </vt:variant>
      <vt:variant>
        <vt:lpwstr>https://www.ndis.gov.au/about-us/strategies/participant-employment-strategy</vt:lpwstr>
      </vt:variant>
      <vt:variant>
        <vt:lpwstr>strategy</vt:lpwstr>
      </vt:variant>
      <vt:variant>
        <vt:i4>7143532</vt:i4>
      </vt:variant>
      <vt:variant>
        <vt:i4>180</vt:i4>
      </vt:variant>
      <vt:variant>
        <vt:i4>0</vt:i4>
      </vt:variant>
      <vt:variant>
        <vt:i4>5</vt:i4>
      </vt:variant>
      <vt:variant>
        <vt:lpwstr>https://www.adcet.edu.au/our-work/disability-awareness</vt:lpwstr>
      </vt:variant>
      <vt:variant>
        <vt:lpwstr/>
      </vt:variant>
      <vt:variant>
        <vt:i4>3801121</vt:i4>
      </vt:variant>
      <vt:variant>
        <vt:i4>177</vt:i4>
      </vt:variant>
      <vt:variant>
        <vt:i4>0</vt:i4>
      </vt:variant>
      <vt:variant>
        <vt:i4>5</vt:i4>
      </vt:variant>
      <vt:variant>
        <vt:lpwstr>https://www.adcet.edu.au/students-with-disability/planning-for-post-secondary-education</vt:lpwstr>
      </vt:variant>
      <vt:variant>
        <vt:lpwstr/>
      </vt:variant>
      <vt:variant>
        <vt:i4>4718659</vt:i4>
      </vt:variant>
      <vt:variant>
        <vt:i4>174</vt:i4>
      </vt:variant>
      <vt:variant>
        <vt:i4>0</vt:i4>
      </vt:variant>
      <vt:variant>
        <vt:i4>5</vt:i4>
      </vt:variant>
      <vt:variant>
        <vt:lpwstr>https://www.adcet.edu.au/students-with-disability/employment</vt:lpwstr>
      </vt:variant>
      <vt:variant>
        <vt:lpwstr/>
      </vt:variant>
      <vt:variant>
        <vt:i4>1572882</vt:i4>
      </vt:variant>
      <vt:variant>
        <vt:i4>171</vt:i4>
      </vt:variant>
      <vt:variant>
        <vt:i4>0</vt:i4>
      </vt:variant>
      <vt:variant>
        <vt:i4>5</vt:i4>
      </vt:variant>
      <vt:variant>
        <vt:lpwstr>https://wiseemployment.com.au/gradwise-graduate-jobs/</vt:lpwstr>
      </vt:variant>
      <vt:variant>
        <vt:lpwstr/>
      </vt:variant>
      <vt:variant>
        <vt:i4>1441809</vt:i4>
      </vt:variant>
      <vt:variant>
        <vt:i4>168</vt:i4>
      </vt:variant>
      <vt:variant>
        <vt:i4>0</vt:i4>
      </vt:variant>
      <vt:variant>
        <vt:i4>5</vt:i4>
      </vt:variant>
      <vt:variant>
        <vt:lpwstr>https://www.adcet.edu.au/resources/usep-and-tsep/usep-toolkit</vt:lpwstr>
      </vt:variant>
      <vt:variant>
        <vt:lpwstr/>
      </vt:variant>
      <vt:variant>
        <vt:i4>4521997</vt:i4>
      </vt:variant>
      <vt:variant>
        <vt:i4>165</vt:i4>
      </vt:variant>
      <vt:variant>
        <vt:i4>0</vt:i4>
      </vt:variant>
      <vt:variant>
        <vt:i4>5</vt:i4>
      </vt:variant>
      <vt:variant>
        <vt:lpwstr>https://www.studyassist.gov.au/help-loans-commonwealth-supported-places-csps/low-completion-rate</vt:lpwstr>
      </vt:variant>
      <vt:variant>
        <vt:lpwstr/>
      </vt:variant>
      <vt:variant>
        <vt:i4>5308443</vt:i4>
      </vt:variant>
      <vt:variant>
        <vt:i4>162</vt:i4>
      </vt:variant>
      <vt:variant>
        <vt:i4>0</vt:i4>
      </vt:variant>
      <vt:variant>
        <vt:i4>5</vt:i4>
      </vt:variant>
      <vt:variant>
        <vt:lpwstr>https://www.studyassist.gov.au/help-loans-commonwealth-supported-places-csps/student-learning-entitlement</vt:lpwstr>
      </vt:variant>
      <vt:variant>
        <vt:lpwstr/>
      </vt:variant>
      <vt:variant>
        <vt:i4>7143532</vt:i4>
      </vt:variant>
      <vt:variant>
        <vt:i4>159</vt:i4>
      </vt:variant>
      <vt:variant>
        <vt:i4>0</vt:i4>
      </vt:variant>
      <vt:variant>
        <vt:i4>5</vt:i4>
      </vt:variant>
      <vt:variant>
        <vt:lpwstr>https://www.adcet.edu.au/our-work/disability-awareness</vt:lpwstr>
      </vt:variant>
      <vt:variant>
        <vt:lpwstr/>
      </vt:variant>
      <vt:variant>
        <vt:i4>7864357</vt:i4>
      </vt:variant>
      <vt:variant>
        <vt:i4>156</vt:i4>
      </vt:variant>
      <vt:variant>
        <vt:i4>0</vt:i4>
      </vt:variant>
      <vt:variant>
        <vt:i4>5</vt:i4>
      </vt:variant>
      <vt:variant>
        <vt:lpwstr>https://www.adcet.edu.au/disability-practitioner/your-role/disability-action-plans</vt:lpwstr>
      </vt:variant>
      <vt:variant>
        <vt:lpwstr/>
      </vt:variant>
      <vt:variant>
        <vt:i4>6029389</vt:i4>
      </vt:variant>
      <vt:variant>
        <vt:i4>153</vt:i4>
      </vt:variant>
      <vt:variant>
        <vt:i4>0</vt:i4>
      </vt:variant>
      <vt:variant>
        <vt:i4>5</vt:i4>
      </vt:variant>
      <vt:variant>
        <vt:lpwstr>https://www.adcet.edu.au/resource/11321/a-request-for-support-for-adcet-in-universities-accord-submission</vt:lpwstr>
      </vt:variant>
      <vt:variant>
        <vt:lpwstr>ref4</vt:lpwstr>
      </vt:variant>
      <vt:variant>
        <vt:i4>5963853</vt:i4>
      </vt:variant>
      <vt:variant>
        <vt:i4>150</vt:i4>
      </vt:variant>
      <vt:variant>
        <vt:i4>0</vt:i4>
      </vt:variant>
      <vt:variant>
        <vt:i4>5</vt:i4>
      </vt:variant>
      <vt:variant>
        <vt:lpwstr>https://www.adcet.edu.au/resource/11321/a-request-for-support-for-adcet-in-universities-accord-submission</vt:lpwstr>
      </vt:variant>
      <vt:variant>
        <vt:lpwstr>ref3</vt:lpwstr>
      </vt:variant>
      <vt:variant>
        <vt:i4>7536686</vt:i4>
      </vt:variant>
      <vt:variant>
        <vt:i4>147</vt:i4>
      </vt:variant>
      <vt:variant>
        <vt:i4>0</vt:i4>
      </vt:variant>
      <vt:variant>
        <vt:i4>5</vt:i4>
      </vt:variant>
      <vt:variant>
        <vt:lpwstr>https://www.legislation.gov.au/Details/F2022L00347</vt:lpwstr>
      </vt:variant>
      <vt:variant>
        <vt:lpwstr/>
      </vt:variant>
      <vt:variant>
        <vt:i4>4784214</vt:i4>
      </vt:variant>
      <vt:variant>
        <vt:i4>144</vt:i4>
      </vt:variant>
      <vt:variant>
        <vt:i4>0</vt:i4>
      </vt:variant>
      <vt:variant>
        <vt:i4>5</vt:i4>
      </vt:variant>
      <vt:variant>
        <vt:lpwstr/>
      </vt:variant>
      <vt:variant>
        <vt:lpwstr>_Appendix_1</vt:lpwstr>
      </vt:variant>
      <vt:variant>
        <vt:i4>7143532</vt:i4>
      </vt:variant>
      <vt:variant>
        <vt:i4>141</vt:i4>
      </vt:variant>
      <vt:variant>
        <vt:i4>0</vt:i4>
      </vt:variant>
      <vt:variant>
        <vt:i4>5</vt:i4>
      </vt:variant>
      <vt:variant>
        <vt:lpwstr>https://www.adcet.edu.au/our-work/disability-awareness</vt:lpwstr>
      </vt:variant>
      <vt:variant>
        <vt:lpwstr/>
      </vt:variant>
      <vt:variant>
        <vt:i4>5505098</vt:i4>
      </vt:variant>
      <vt:variant>
        <vt:i4>138</vt:i4>
      </vt:variant>
      <vt:variant>
        <vt:i4>0</vt:i4>
      </vt:variant>
      <vt:variant>
        <vt:i4>5</vt:i4>
      </vt:variant>
      <vt:variant>
        <vt:lpwstr>https://www.adcet.edu.au/resource/11182/accessible-it-procurement-in-higher-education-caudit</vt:lpwstr>
      </vt:variant>
      <vt:variant>
        <vt:lpwstr/>
      </vt:variant>
      <vt:variant>
        <vt:i4>4849741</vt:i4>
      </vt:variant>
      <vt:variant>
        <vt:i4>135</vt:i4>
      </vt:variant>
      <vt:variant>
        <vt:i4>0</vt:i4>
      </vt:variant>
      <vt:variant>
        <vt:i4>5</vt:i4>
      </vt:variant>
      <vt:variant>
        <vt:lpwstr>https://www.adcet.edu.au/inclusive-teaching/universal-design-for-learning</vt:lpwstr>
      </vt:variant>
      <vt:variant>
        <vt:lpwstr/>
      </vt:variant>
      <vt:variant>
        <vt:i4>4456532</vt:i4>
      </vt:variant>
      <vt:variant>
        <vt:i4>132</vt:i4>
      </vt:variant>
      <vt:variant>
        <vt:i4>0</vt:i4>
      </vt:variant>
      <vt:variant>
        <vt:i4>5</vt:i4>
      </vt:variant>
      <vt:variant>
        <vt:lpwstr>https://www.teqsa.gov.au/</vt:lpwstr>
      </vt:variant>
      <vt:variant>
        <vt:lpwstr/>
      </vt:variant>
      <vt:variant>
        <vt:i4>327754</vt:i4>
      </vt:variant>
      <vt:variant>
        <vt:i4>129</vt:i4>
      </vt:variant>
      <vt:variant>
        <vt:i4>0</vt:i4>
      </vt:variant>
      <vt:variant>
        <vt:i4>5</vt:i4>
      </vt:variant>
      <vt:variant>
        <vt:lpwstr>https://www.asqa.gov.au/</vt:lpwstr>
      </vt:variant>
      <vt:variant>
        <vt:lpwstr/>
      </vt:variant>
      <vt:variant>
        <vt:i4>4456532</vt:i4>
      </vt:variant>
      <vt:variant>
        <vt:i4>126</vt:i4>
      </vt:variant>
      <vt:variant>
        <vt:i4>0</vt:i4>
      </vt:variant>
      <vt:variant>
        <vt:i4>5</vt:i4>
      </vt:variant>
      <vt:variant>
        <vt:lpwstr>https://www.teqsa.gov.au/</vt:lpwstr>
      </vt:variant>
      <vt:variant>
        <vt:lpwstr/>
      </vt:variant>
      <vt:variant>
        <vt:i4>327754</vt:i4>
      </vt:variant>
      <vt:variant>
        <vt:i4>123</vt:i4>
      </vt:variant>
      <vt:variant>
        <vt:i4>0</vt:i4>
      </vt:variant>
      <vt:variant>
        <vt:i4>5</vt:i4>
      </vt:variant>
      <vt:variant>
        <vt:lpwstr>https://www.asqa.gov.au/</vt:lpwstr>
      </vt:variant>
      <vt:variant>
        <vt:lpwstr/>
      </vt:variant>
      <vt:variant>
        <vt:i4>1310739</vt:i4>
      </vt:variant>
      <vt:variant>
        <vt:i4>120</vt:i4>
      </vt:variant>
      <vt:variant>
        <vt:i4>0</vt:i4>
      </vt:variant>
      <vt:variant>
        <vt:i4>5</vt:i4>
      </vt:variant>
      <vt:variant>
        <vt:lpwstr>https://www.education.gov.au/higher-education-funding/performancebased-funding-commonwealth-grant-scheme</vt:lpwstr>
      </vt:variant>
      <vt:variant>
        <vt:lpwstr/>
      </vt:variant>
      <vt:variant>
        <vt:i4>2883626</vt:i4>
      </vt:variant>
      <vt:variant>
        <vt:i4>117</vt:i4>
      </vt:variant>
      <vt:variant>
        <vt:i4>0</vt:i4>
      </vt:variant>
      <vt:variant>
        <vt:i4>5</vt:i4>
      </vt:variant>
      <vt:variant>
        <vt:lpwstr>https://www.education.gov.au/job-ready</vt:lpwstr>
      </vt:variant>
      <vt:variant>
        <vt:lpwstr/>
      </vt:variant>
      <vt:variant>
        <vt:i4>5308418</vt:i4>
      </vt:variant>
      <vt:variant>
        <vt:i4>114</vt:i4>
      </vt:variant>
      <vt:variant>
        <vt:i4>0</vt:i4>
      </vt:variant>
      <vt:variant>
        <vt:i4>5</vt:i4>
      </vt:variant>
      <vt:variant>
        <vt:lpwstr>https://www.education.gov.au/higher-education-disability-support-program</vt:lpwstr>
      </vt:variant>
      <vt:variant>
        <vt:lpwstr/>
      </vt:variant>
      <vt:variant>
        <vt:i4>3997810</vt:i4>
      </vt:variant>
      <vt:variant>
        <vt:i4>111</vt:i4>
      </vt:variant>
      <vt:variant>
        <vt:i4>0</vt:i4>
      </vt:variant>
      <vt:variant>
        <vt:i4>5</vt:i4>
      </vt:variant>
      <vt:variant>
        <vt:lpwstr>https://www.dss.gov.au/disability-and-australias-disability-strategy-2021-2031</vt:lpwstr>
      </vt:variant>
      <vt:variant>
        <vt:lpwstr/>
      </vt:variant>
      <vt:variant>
        <vt:i4>7536686</vt:i4>
      </vt:variant>
      <vt:variant>
        <vt:i4>108</vt:i4>
      </vt:variant>
      <vt:variant>
        <vt:i4>0</vt:i4>
      </vt:variant>
      <vt:variant>
        <vt:i4>5</vt:i4>
      </vt:variant>
      <vt:variant>
        <vt:lpwstr>https://www.legislation.gov.au/Details/F2022L00347</vt:lpwstr>
      </vt:variant>
      <vt:variant>
        <vt:lpwstr/>
      </vt:variant>
      <vt:variant>
        <vt:i4>7143527</vt:i4>
      </vt:variant>
      <vt:variant>
        <vt:i4>105</vt:i4>
      </vt:variant>
      <vt:variant>
        <vt:i4>0</vt:i4>
      </vt:variant>
      <vt:variant>
        <vt:i4>5</vt:i4>
      </vt:variant>
      <vt:variant>
        <vt:lpwstr>https://www.adcet.edu.au/20-years-with-adcet/our-impact</vt:lpwstr>
      </vt:variant>
      <vt:variant>
        <vt:lpwstr/>
      </vt:variant>
      <vt:variant>
        <vt:i4>6357021</vt:i4>
      </vt:variant>
      <vt:variant>
        <vt:i4>102</vt:i4>
      </vt:variant>
      <vt:variant>
        <vt:i4>0</vt:i4>
      </vt:variant>
      <vt:variant>
        <vt:i4>5</vt:i4>
      </vt:variant>
      <vt:variant>
        <vt:lpwstr/>
      </vt:variant>
      <vt:variant>
        <vt:lpwstr>_Cross-sectoral_alignment_including</vt:lpwstr>
      </vt:variant>
      <vt:variant>
        <vt:i4>8192069</vt:i4>
      </vt:variant>
      <vt:variant>
        <vt:i4>99</vt:i4>
      </vt:variant>
      <vt:variant>
        <vt:i4>0</vt:i4>
      </vt:variant>
      <vt:variant>
        <vt:i4>5</vt:i4>
      </vt:variant>
      <vt:variant>
        <vt:lpwstr/>
      </vt:variant>
      <vt:variant>
        <vt:lpwstr>_Access,_participation,_retention</vt:lpwstr>
      </vt:variant>
      <vt:variant>
        <vt:i4>6029369</vt:i4>
      </vt:variant>
      <vt:variant>
        <vt:i4>96</vt:i4>
      </vt:variant>
      <vt:variant>
        <vt:i4>0</vt:i4>
      </vt:variant>
      <vt:variant>
        <vt:i4>5</vt:i4>
      </vt:variant>
      <vt:variant>
        <vt:lpwstr/>
      </vt:variant>
      <vt:variant>
        <vt:lpwstr>_Structure_and_governance/future</vt:lpwstr>
      </vt:variant>
      <vt:variant>
        <vt:i4>4063235</vt:i4>
      </vt:variant>
      <vt:variant>
        <vt:i4>93</vt:i4>
      </vt:variant>
      <vt:variant>
        <vt:i4>0</vt:i4>
      </vt:variant>
      <vt:variant>
        <vt:i4>5</vt:i4>
      </vt:variant>
      <vt:variant>
        <vt:lpwstr/>
      </vt:variant>
      <vt:variant>
        <vt:lpwstr>_The_role_and</vt:lpwstr>
      </vt:variant>
      <vt:variant>
        <vt:i4>1900597</vt:i4>
      </vt:variant>
      <vt:variant>
        <vt:i4>86</vt:i4>
      </vt:variant>
      <vt:variant>
        <vt:i4>0</vt:i4>
      </vt:variant>
      <vt:variant>
        <vt:i4>5</vt:i4>
      </vt:variant>
      <vt:variant>
        <vt:lpwstr/>
      </vt:variant>
      <vt:variant>
        <vt:lpwstr>_Toc132101695</vt:lpwstr>
      </vt:variant>
      <vt:variant>
        <vt:i4>1900597</vt:i4>
      </vt:variant>
      <vt:variant>
        <vt:i4>80</vt:i4>
      </vt:variant>
      <vt:variant>
        <vt:i4>0</vt:i4>
      </vt:variant>
      <vt:variant>
        <vt:i4>5</vt:i4>
      </vt:variant>
      <vt:variant>
        <vt:lpwstr/>
      </vt:variant>
      <vt:variant>
        <vt:lpwstr>_Toc132101694</vt:lpwstr>
      </vt:variant>
      <vt:variant>
        <vt:i4>1900597</vt:i4>
      </vt:variant>
      <vt:variant>
        <vt:i4>74</vt:i4>
      </vt:variant>
      <vt:variant>
        <vt:i4>0</vt:i4>
      </vt:variant>
      <vt:variant>
        <vt:i4>5</vt:i4>
      </vt:variant>
      <vt:variant>
        <vt:lpwstr/>
      </vt:variant>
      <vt:variant>
        <vt:lpwstr>_Toc132101693</vt:lpwstr>
      </vt:variant>
      <vt:variant>
        <vt:i4>1900597</vt:i4>
      </vt:variant>
      <vt:variant>
        <vt:i4>68</vt:i4>
      </vt:variant>
      <vt:variant>
        <vt:i4>0</vt:i4>
      </vt:variant>
      <vt:variant>
        <vt:i4>5</vt:i4>
      </vt:variant>
      <vt:variant>
        <vt:lpwstr/>
      </vt:variant>
      <vt:variant>
        <vt:lpwstr>_Toc132101692</vt:lpwstr>
      </vt:variant>
      <vt:variant>
        <vt:i4>1900597</vt:i4>
      </vt:variant>
      <vt:variant>
        <vt:i4>62</vt:i4>
      </vt:variant>
      <vt:variant>
        <vt:i4>0</vt:i4>
      </vt:variant>
      <vt:variant>
        <vt:i4>5</vt:i4>
      </vt:variant>
      <vt:variant>
        <vt:lpwstr/>
      </vt:variant>
      <vt:variant>
        <vt:lpwstr>_Toc132101691</vt:lpwstr>
      </vt:variant>
      <vt:variant>
        <vt:i4>1900597</vt:i4>
      </vt:variant>
      <vt:variant>
        <vt:i4>56</vt:i4>
      </vt:variant>
      <vt:variant>
        <vt:i4>0</vt:i4>
      </vt:variant>
      <vt:variant>
        <vt:i4>5</vt:i4>
      </vt:variant>
      <vt:variant>
        <vt:lpwstr/>
      </vt:variant>
      <vt:variant>
        <vt:lpwstr>_Toc132101690</vt:lpwstr>
      </vt:variant>
      <vt:variant>
        <vt:i4>1835061</vt:i4>
      </vt:variant>
      <vt:variant>
        <vt:i4>50</vt:i4>
      </vt:variant>
      <vt:variant>
        <vt:i4>0</vt:i4>
      </vt:variant>
      <vt:variant>
        <vt:i4>5</vt:i4>
      </vt:variant>
      <vt:variant>
        <vt:lpwstr/>
      </vt:variant>
      <vt:variant>
        <vt:lpwstr>_Toc132101689</vt:lpwstr>
      </vt:variant>
      <vt:variant>
        <vt:i4>1835061</vt:i4>
      </vt:variant>
      <vt:variant>
        <vt:i4>44</vt:i4>
      </vt:variant>
      <vt:variant>
        <vt:i4>0</vt:i4>
      </vt:variant>
      <vt:variant>
        <vt:i4>5</vt:i4>
      </vt:variant>
      <vt:variant>
        <vt:lpwstr/>
      </vt:variant>
      <vt:variant>
        <vt:lpwstr>_Toc132101688</vt:lpwstr>
      </vt:variant>
      <vt:variant>
        <vt:i4>1835061</vt:i4>
      </vt:variant>
      <vt:variant>
        <vt:i4>38</vt:i4>
      </vt:variant>
      <vt:variant>
        <vt:i4>0</vt:i4>
      </vt:variant>
      <vt:variant>
        <vt:i4>5</vt:i4>
      </vt:variant>
      <vt:variant>
        <vt:lpwstr/>
      </vt:variant>
      <vt:variant>
        <vt:lpwstr>_Toc132101687</vt:lpwstr>
      </vt:variant>
      <vt:variant>
        <vt:i4>1835061</vt:i4>
      </vt:variant>
      <vt:variant>
        <vt:i4>32</vt:i4>
      </vt:variant>
      <vt:variant>
        <vt:i4>0</vt:i4>
      </vt:variant>
      <vt:variant>
        <vt:i4>5</vt:i4>
      </vt:variant>
      <vt:variant>
        <vt:lpwstr/>
      </vt:variant>
      <vt:variant>
        <vt:lpwstr>_Toc132101686</vt:lpwstr>
      </vt:variant>
      <vt:variant>
        <vt:i4>1835061</vt:i4>
      </vt:variant>
      <vt:variant>
        <vt:i4>26</vt:i4>
      </vt:variant>
      <vt:variant>
        <vt:i4>0</vt:i4>
      </vt:variant>
      <vt:variant>
        <vt:i4>5</vt:i4>
      </vt:variant>
      <vt:variant>
        <vt:lpwstr/>
      </vt:variant>
      <vt:variant>
        <vt:lpwstr>_Toc132101685</vt:lpwstr>
      </vt:variant>
      <vt:variant>
        <vt:i4>1835061</vt:i4>
      </vt:variant>
      <vt:variant>
        <vt:i4>20</vt:i4>
      </vt:variant>
      <vt:variant>
        <vt:i4>0</vt:i4>
      </vt:variant>
      <vt:variant>
        <vt:i4>5</vt:i4>
      </vt:variant>
      <vt:variant>
        <vt:lpwstr/>
      </vt:variant>
      <vt:variant>
        <vt:lpwstr>_Toc132101684</vt:lpwstr>
      </vt:variant>
      <vt:variant>
        <vt:i4>1835061</vt:i4>
      </vt:variant>
      <vt:variant>
        <vt:i4>14</vt:i4>
      </vt:variant>
      <vt:variant>
        <vt:i4>0</vt:i4>
      </vt:variant>
      <vt:variant>
        <vt:i4>5</vt:i4>
      </vt:variant>
      <vt:variant>
        <vt:lpwstr/>
      </vt:variant>
      <vt:variant>
        <vt:lpwstr>_Toc132101683</vt:lpwstr>
      </vt:variant>
      <vt:variant>
        <vt:i4>1835061</vt:i4>
      </vt:variant>
      <vt:variant>
        <vt:i4>8</vt:i4>
      </vt:variant>
      <vt:variant>
        <vt:i4>0</vt:i4>
      </vt:variant>
      <vt:variant>
        <vt:i4>5</vt:i4>
      </vt:variant>
      <vt:variant>
        <vt:lpwstr/>
      </vt:variant>
      <vt:variant>
        <vt:lpwstr>_Toc132101682</vt:lpwstr>
      </vt:variant>
      <vt:variant>
        <vt:i4>196672</vt:i4>
      </vt:variant>
      <vt:variant>
        <vt:i4>3</vt:i4>
      </vt:variant>
      <vt:variant>
        <vt:i4>0</vt:i4>
      </vt:variant>
      <vt:variant>
        <vt:i4>5</vt:i4>
      </vt:variant>
      <vt:variant>
        <vt:lpwstr>http://www.adcet.edu.au/</vt:lpwstr>
      </vt:variant>
      <vt:variant>
        <vt:lpwstr/>
      </vt:variant>
      <vt:variant>
        <vt:i4>4980849</vt:i4>
      </vt:variant>
      <vt:variant>
        <vt:i4>0</vt:i4>
      </vt:variant>
      <vt:variant>
        <vt:i4>0</vt:i4>
      </vt:variant>
      <vt:variant>
        <vt:i4>5</vt:i4>
      </vt:variant>
      <vt:variant>
        <vt:lpwstr>mailto:darlene.mclennan@utas.edu.au</vt:lpwstr>
      </vt:variant>
      <vt:variant>
        <vt:lpwstr/>
      </vt:variant>
      <vt:variant>
        <vt:i4>1376378</vt:i4>
      </vt:variant>
      <vt:variant>
        <vt:i4>48</vt:i4>
      </vt:variant>
      <vt:variant>
        <vt:i4>0</vt:i4>
      </vt:variant>
      <vt:variant>
        <vt:i4>5</vt:i4>
      </vt:variant>
      <vt:variant>
        <vt:lpwstr>https://www.nationalskillscommission.gov.au/sites/default/files/2022-03/2021 State of Australia%27s Skills_0.pdf</vt:lpwstr>
      </vt:variant>
      <vt:variant>
        <vt:lpwstr/>
      </vt:variant>
      <vt:variant>
        <vt:i4>1310731</vt:i4>
      </vt:variant>
      <vt:variant>
        <vt:i4>45</vt:i4>
      </vt:variant>
      <vt:variant>
        <vt:i4>0</vt:i4>
      </vt:variant>
      <vt:variant>
        <vt:i4>5</vt:i4>
      </vt:variant>
      <vt:variant>
        <vt:lpwstr>https://www.nationalskillscommission.gov.au/reports/2020-employment-projections-five-years-november-2025</vt:lpwstr>
      </vt:variant>
      <vt:variant>
        <vt:lpwstr/>
      </vt:variant>
      <vt:variant>
        <vt:i4>7667830</vt:i4>
      </vt:variant>
      <vt:variant>
        <vt:i4>42</vt:i4>
      </vt:variant>
      <vt:variant>
        <vt:i4>0</vt:i4>
      </vt:variant>
      <vt:variant>
        <vt:i4>5</vt:i4>
      </vt:variant>
      <vt:variant>
        <vt:lpwstr>https://www.nationalskillscommission.gov.au/sites/default/files/2022-02/State of Australia%27s Skills Overview.pdf</vt:lpwstr>
      </vt:variant>
      <vt:variant>
        <vt:lpwstr/>
      </vt:variant>
      <vt:variant>
        <vt:i4>917507</vt:i4>
      </vt:variant>
      <vt:variant>
        <vt:i4>39</vt:i4>
      </vt:variant>
      <vt:variant>
        <vt:i4>0</vt:i4>
      </vt:variant>
      <vt:variant>
        <vt:i4>5</vt:i4>
      </vt:variant>
      <vt:variant>
        <vt:lpwstr>https://www2.deloitte.com/au/en/pages/economics/articles/economic-benefits-increasing-employment-for-people-with-disability.html</vt:lpwstr>
      </vt:variant>
      <vt:variant>
        <vt:lpwstr/>
      </vt:variant>
      <vt:variant>
        <vt:i4>655371</vt:i4>
      </vt:variant>
      <vt:variant>
        <vt:i4>36</vt:i4>
      </vt:variant>
      <vt:variant>
        <vt:i4>0</vt:i4>
      </vt:variant>
      <vt:variant>
        <vt:i4>5</vt:i4>
      </vt:variant>
      <vt:variant>
        <vt:lpwstr>https://www.ahri.com.au/resources/ahri-diversity-inclusion-maturity-model</vt:lpwstr>
      </vt:variant>
      <vt:variant>
        <vt:lpwstr/>
      </vt:variant>
      <vt:variant>
        <vt:i4>6553636</vt:i4>
      </vt:variant>
      <vt:variant>
        <vt:i4>33</vt:i4>
      </vt:variant>
      <vt:variant>
        <vt:i4>0</vt:i4>
      </vt:variant>
      <vt:variant>
        <vt:i4>5</vt:i4>
      </vt:variant>
      <vt:variant>
        <vt:lpwstr>https://www.qilt.edu.au/surveys/graduate-outcomes-survey-(gos)</vt:lpwstr>
      </vt:variant>
      <vt:variant>
        <vt:lpwstr/>
      </vt:variant>
      <vt:variant>
        <vt:i4>1310731</vt:i4>
      </vt:variant>
      <vt:variant>
        <vt:i4>30</vt:i4>
      </vt:variant>
      <vt:variant>
        <vt:i4>0</vt:i4>
      </vt:variant>
      <vt:variant>
        <vt:i4>5</vt:i4>
      </vt:variant>
      <vt:variant>
        <vt:lpwstr>https://www.nationalskillscommission.gov.au/reports/2020-employment-projections-five-years-november-2025</vt:lpwstr>
      </vt:variant>
      <vt:variant>
        <vt:lpwstr/>
      </vt:variant>
      <vt:variant>
        <vt:i4>4522051</vt:i4>
      </vt:variant>
      <vt:variant>
        <vt:i4>27</vt:i4>
      </vt:variant>
      <vt:variant>
        <vt:i4>0</vt:i4>
      </vt:variant>
      <vt:variant>
        <vt:i4>5</vt:i4>
      </vt:variant>
      <vt:variant>
        <vt:lpwstr>https://disability.royalcommission.gov.au/publications/employment</vt:lpwstr>
      </vt:variant>
      <vt:variant>
        <vt:lpwstr/>
      </vt:variant>
      <vt:variant>
        <vt:i4>4849730</vt:i4>
      </vt:variant>
      <vt:variant>
        <vt:i4>24</vt:i4>
      </vt:variant>
      <vt:variant>
        <vt:i4>0</vt:i4>
      </vt:variant>
      <vt:variant>
        <vt:i4>5</vt:i4>
      </vt:variant>
      <vt:variant>
        <vt:lpwstr>https://disability.royalcommission.gov.au/publications/education</vt:lpwstr>
      </vt:variant>
      <vt:variant>
        <vt:lpwstr/>
      </vt:variant>
      <vt:variant>
        <vt:i4>1572952</vt:i4>
      </vt:variant>
      <vt:variant>
        <vt:i4>21</vt:i4>
      </vt:variant>
      <vt:variant>
        <vt:i4>0</vt:i4>
      </vt:variant>
      <vt:variant>
        <vt:i4>5</vt:i4>
      </vt:variant>
      <vt:variant>
        <vt:lpwstr>https://www.adcet.edu.au/disability-practitioner/data-evaluation/higher-education-data/current-he-data-analysis</vt:lpwstr>
      </vt:variant>
      <vt:variant>
        <vt:lpwstr>GOS</vt:lpwstr>
      </vt:variant>
      <vt:variant>
        <vt:i4>6946925</vt:i4>
      </vt:variant>
      <vt:variant>
        <vt:i4>18</vt:i4>
      </vt:variant>
      <vt:variant>
        <vt:i4>0</vt:i4>
      </vt:variant>
      <vt:variant>
        <vt:i4>5</vt:i4>
      </vt:variant>
      <vt:variant>
        <vt:lpwstr>https://www.education.gov.au/higher-education-statistics/resources/2021-section-16-equity-performance-data</vt:lpwstr>
      </vt:variant>
      <vt:variant>
        <vt:lpwstr/>
      </vt:variant>
      <vt:variant>
        <vt:i4>2556020</vt:i4>
      </vt:variant>
      <vt:variant>
        <vt:i4>15</vt:i4>
      </vt:variant>
      <vt:variant>
        <vt:i4>0</vt:i4>
      </vt:variant>
      <vt:variant>
        <vt:i4>5</vt:i4>
      </vt:variant>
      <vt:variant>
        <vt:lpwstr>https://www.nationalskillscommission.gov.au/insights/projecting-employment-2026</vt:lpwstr>
      </vt:variant>
      <vt:variant>
        <vt:lpwstr/>
      </vt:variant>
      <vt:variant>
        <vt:i4>3014758</vt:i4>
      </vt:variant>
      <vt:variant>
        <vt:i4>12</vt:i4>
      </vt:variant>
      <vt:variant>
        <vt:i4>0</vt:i4>
      </vt:variant>
      <vt:variant>
        <vt:i4>5</vt:i4>
      </vt:variant>
      <vt:variant>
        <vt:lpwstr>https://www.ncsehe.edu.au/research-database/calculating-the-costs-of-supporting-people-with-disability-in-australian-higher-education/</vt:lpwstr>
      </vt:variant>
      <vt:variant>
        <vt:lpwstr/>
      </vt:variant>
      <vt:variant>
        <vt:i4>1507335</vt:i4>
      </vt:variant>
      <vt:variant>
        <vt:i4>9</vt:i4>
      </vt:variant>
      <vt:variant>
        <vt:i4>0</vt:i4>
      </vt:variant>
      <vt:variant>
        <vt:i4>5</vt:i4>
      </vt:variant>
      <vt:variant>
        <vt:lpwstr>https://www.education.gov.au/heppp/resources/20102023-higher-education-participation-and-partnerships-program-heppp-participation-allocations</vt:lpwstr>
      </vt:variant>
      <vt:variant>
        <vt:lpwstr/>
      </vt:variant>
      <vt:variant>
        <vt:i4>1441866</vt:i4>
      </vt:variant>
      <vt:variant>
        <vt:i4>6</vt:i4>
      </vt:variant>
      <vt:variant>
        <vt:i4>0</vt:i4>
      </vt:variant>
      <vt:variant>
        <vt:i4>5</vt:i4>
      </vt:variant>
      <vt:variant>
        <vt:lpwstr>https://data.oecd.org/eduresource/education-spending.htm</vt:lpwstr>
      </vt:variant>
      <vt:variant>
        <vt:lpwstr/>
      </vt:variant>
      <vt:variant>
        <vt:i4>7667733</vt:i4>
      </vt:variant>
      <vt:variant>
        <vt:i4>3</vt:i4>
      </vt:variant>
      <vt:variant>
        <vt:i4>0</vt:i4>
      </vt:variant>
      <vt:variant>
        <vt:i4>5</vt:i4>
      </vt:variant>
      <vt:variant>
        <vt:lpwstr>https://www.oecd-ilibrary.org/employment/disability-work-and-inclusion_1eaa5e9c-en</vt:lpwstr>
      </vt:variant>
      <vt:variant>
        <vt:lpwstr/>
      </vt:variant>
      <vt:variant>
        <vt:i4>3276921</vt:i4>
      </vt:variant>
      <vt:variant>
        <vt:i4>0</vt:i4>
      </vt:variant>
      <vt:variant>
        <vt:i4>0</vt:i4>
      </vt:variant>
      <vt:variant>
        <vt:i4>5</vt:i4>
      </vt:variant>
      <vt:variant>
        <vt:lpwstr>https://data.oecd.org/eduatt/population-with-tertiary-education.htm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O'Brien</dc:creator>
  <cp:keywords/>
  <dc:description/>
  <cp:lastModifiedBy>G O</cp:lastModifiedBy>
  <cp:revision>161</cp:revision>
  <dcterms:created xsi:type="dcterms:W3CDTF">2023-04-11T06:15:00Z</dcterms:created>
  <dcterms:modified xsi:type="dcterms:W3CDTF">2023-04-21T05:44:00Z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