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76A53061" w:rsidR="00AA653F" w:rsidRDefault="00FA720A" w:rsidP="00E92028">
      <w:pPr>
        <w:spacing w:before="480" w:after="0"/>
        <w:jc w:val="right"/>
      </w:pPr>
      <w:r>
        <w:rPr>
          <w:noProof/>
          <w:lang w:eastAsia="en-AU"/>
        </w:rPr>
        <w:drawing>
          <wp:inline distT="0" distB="0" distL="0" distR="0" wp14:anchorId="3A3DF5C5" wp14:editId="6A37D017">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5DE35A9B" w14:textId="77777777" w:rsidR="00151E91" w:rsidRDefault="00151E91" w:rsidP="006A1D58">
      <w:pPr>
        <w:pStyle w:val="Heading1"/>
      </w:pPr>
      <w:r>
        <w:t xml:space="preserve">Hiring students </w:t>
      </w:r>
      <w:r w:rsidRPr="006A1D58">
        <w:t>and</w:t>
      </w:r>
      <w:r>
        <w:t xml:space="preserve"> graduates with neurodivergent conditions</w:t>
      </w:r>
      <w:r w:rsidRPr="007F6C09">
        <w:t xml:space="preserve"> </w:t>
      </w:r>
      <w:r>
        <w:br/>
        <w:t>Tips for employers</w:t>
      </w:r>
    </w:p>
    <w:p w14:paraId="402B521C" w14:textId="77777777" w:rsidR="00151E91" w:rsidRPr="00590CCA" w:rsidRDefault="00151E91" w:rsidP="00151E91">
      <w:pPr>
        <w:spacing w:line="240" w:lineRule="auto"/>
      </w:pPr>
      <w:r w:rsidRPr="00657778">
        <w:t xml:space="preserve">Evidence-based research proves that employees with </w:t>
      </w:r>
      <w:r>
        <w:t>neurodivergent conditions</w:t>
      </w:r>
      <w:r w:rsidRPr="00657778">
        <w:t xml:space="preserve"> bring valuable strengths to the workplace, such as solving problems differently, having unique perspectives and </w:t>
      </w:r>
      <w:r>
        <w:t xml:space="preserve">being </w:t>
      </w:r>
      <w:r w:rsidRPr="00657778">
        <w:t>loyal to supportive employers.</w:t>
      </w:r>
    </w:p>
    <w:p w14:paraId="58F9DD0E" w14:textId="77777777" w:rsidR="00151E91" w:rsidRDefault="00151E91" w:rsidP="00151E91">
      <w:pPr>
        <w:pStyle w:val="ListParagraph"/>
        <w:numPr>
          <w:ilvl w:val="0"/>
          <w:numId w:val="20"/>
        </w:numPr>
        <w:spacing w:after="160" w:line="240" w:lineRule="auto"/>
        <w:ind w:left="714" w:hanging="357"/>
        <w:contextualSpacing w:val="0"/>
      </w:pPr>
      <w:r w:rsidRPr="00657778">
        <w:rPr>
          <w:b/>
        </w:rPr>
        <w:t xml:space="preserve">Consider an open pool or extended advertising campaign </w:t>
      </w:r>
      <w:r w:rsidRPr="00657778">
        <w:t xml:space="preserve">to enable </w:t>
      </w:r>
      <w:r>
        <w:t>candidates</w:t>
      </w:r>
      <w:r w:rsidRPr="00657778">
        <w:t xml:space="preserve"> to apply </w:t>
      </w:r>
      <w:r>
        <w:t>all year round</w:t>
      </w:r>
      <w:r w:rsidRPr="00657778">
        <w:t xml:space="preserve">. </w:t>
      </w:r>
      <w:r>
        <w:t>This is because s</w:t>
      </w:r>
      <w:r w:rsidRPr="00657778">
        <w:t xml:space="preserve">tudents with </w:t>
      </w:r>
      <w:r>
        <w:t>neurodivergent conditions</w:t>
      </w:r>
      <w:r w:rsidRPr="00657778">
        <w:t xml:space="preserve"> often </w:t>
      </w:r>
      <w:r>
        <w:t>need to overcome additional challenges</w:t>
      </w:r>
      <w:r w:rsidRPr="00657778">
        <w:t xml:space="preserve"> to </w:t>
      </w:r>
      <w:r>
        <w:t xml:space="preserve">complete </w:t>
      </w:r>
      <w:r w:rsidRPr="00657778">
        <w:t xml:space="preserve">their academic studies and may miss the usual graduate and internship recruitment season. </w:t>
      </w:r>
    </w:p>
    <w:p w14:paraId="04A2369C" w14:textId="77777777" w:rsidR="00151E91" w:rsidRDefault="00151E91" w:rsidP="00151E91">
      <w:pPr>
        <w:pStyle w:val="ListParagraph"/>
        <w:numPr>
          <w:ilvl w:val="0"/>
          <w:numId w:val="20"/>
        </w:numPr>
        <w:spacing w:after="160" w:line="240" w:lineRule="auto"/>
        <w:ind w:left="714" w:hanging="357"/>
        <w:contextualSpacing w:val="0"/>
      </w:pPr>
      <w:r w:rsidRPr="00431E4D">
        <w:rPr>
          <w:b/>
        </w:rPr>
        <w:t xml:space="preserve">Implement an affirmative measure or recruitment initiative </w:t>
      </w:r>
      <w:r w:rsidRPr="00657778">
        <w:t xml:space="preserve">in accordance with the </w:t>
      </w:r>
      <w:r w:rsidRPr="00123416">
        <w:t>W</w:t>
      </w:r>
      <w:r>
        <w:t xml:space="preserve">estern </w:t>
      </w:r>
      <w:r w:rsidRPr="00123416">
        <w:t>A</w:t>
      </w:r>
      <w:r>
        <w:t>ustralian</w:t>
      </w:r>
      <w:r w:rsidRPr="00123416">
        <w:t xml:space="preserve"> </w:t>
      </w:r>
      <w:r w:rsidRPr="00872E0A">
        <w:rPr>
          <w:i/>
          <w:iCs/>
        </w:rPr>
        <w:t>Equal Opportunity Act 1984</w:t>
      </w:r>
      <w:r>
        <w:t xml:space="preserve"> – Section 66. This section enables you to lawfully advertise and target an internship or graduate program for people with disability, or progress people with disability to the next stage of the recruitment process. Refer to the </w:t>
      </w:r>
      <w:hyperlink r:id="rId9" w:history="1">
        <w:r w:rsidRPr="00431E4D">
          <w:rPr>
            <w:rStyle w:val="Hyperlink"/>
          </w:rPr>
          <w:t>National Disability Services employer resource</w:t>
        </w:r>
      </w:hyperlink>
      <w:r>
        <w:t xml:space="preserve"> for further information on how to apply this Act. If you </w:t>
      </w:r>
      <w:proofErr w:type="gramStart"/>
      <w:r>
        <w:t>are located in</w:t>
      </w:r>
      <w:proofErr w:type="gramEnd"/>
      <w:r>
        <w:t xml:space="preserve"> another state, look up your local Equal Opportunity Act.</w:t>
      </w:r>
    </w:p>
    <w:p w14:paraId="5E15ADF3" w14:textId="77777777" w:rsidR="00151E91" w:rsidRDefault="00151E91" w:rsidP="00151E91">
      <w:pPr>
        <w:pStyle w:val="ListParagraph"/>
        <w:numPr>
          <w:ilvl w:val="0"/>
          <w:numId w:val="20"/>
        </w:numPr>
        <w:spacing w:after="160" w:line="240" w:lineRule="auto"/>
        <w:ind w:left="714" w:hanging="357"/>
        <w:contextualSpacing w:val="0"/>
      </w:pPr>
      <w:r>
        <w:rPr>
          <w:b/>
        </w:rPr>
        <w:t>Include diversity statements and a contact for adjustment requests</w:t>
      </w:r>
      <w:r w:rsidRPr="00143C3A">
        <w:rPr>
          <w:b/>
        </w:rPr>
        <w:t xml:space="preserve"> </w:t>
      </w:r>
      <w:r>
        <w:rPr>
          <w:b/>
        </w:rPr>
        <w:t>in your advertisements.</w:t>
      </w:r>
      <w:r w:rsidRPr="00223D97">
        <w:rPr>
          <w:bCs/>
        </w:rPr>
        <w:t xml:space="preserve"> </w:t>
      </w:r>
      <w:r>
        <w:t xml:space="preserve">In the application forms, ask </w:t>
      </w:r>
      <w:r w:rsidRPr="00DE4BFB">
        <w:t xml:space="preserve">whether a candidate would like to request adjustments. For examples of </w:t>
      </w:r>
      <w:r>
        <w:t xml:space="preserve">reasonable </w:t>
      </w:r>
      <w:r w:rsidRPr="00DE4BFB">
        <w:t>adjustments</w:t>
      </w:r>
      <w:r>
        <w:t xml:space="preserve"> during recruitment</w:t>
      </w:r>
      <w:r w:rsidRPr="00DE4BFB">
        <w:t xml:space="preserve">, refer to the </w:t>
      </w:r>
      <w:hyperlink r:id="rId10" w:history="1">
        <w:r w:rsidRPr="00DE4BFB">
          <w:rPr>
            <w:rStyle w:val="Hyperlink"/>
          </w:rPr>
          <w:t>Job Access Employer Tool Kit.</w:t>
        </w:r>
      </w:hyperlink>
    </w:p>
    <w:p w14:paraId="00BF34B9" w14:textId="77777777" w:rsidR="00151E91" w:rsidRDefault="00151E91" w:rsidP="00151E91">
      <w:pPr>
        <w:pStyle w:val="ListParagraph"/>
        <w:numPr>
          <w:ilvl w:val="0"/>
          <w:numId w:val="20"/>
        </w:numPr>
        <w:spacing w:after="160" w:line="240" w:lineRule="auto"/>
        <w:ind w:left="714" w:hanging="357"/>
        <w:contextualSpacing w:val="0"/>
      </w:pPr>
      <w:r w:rsidRPr="00657778">
        <w:rPr>
          <w:b/>
        </w:rPr>
        <w:t>Provide interview questions in advance</w:t>
      </w:r>
      <w:r>
        <w:t>. Candidates who have neurodivergent</w:t>
      </w:r>
      <w:r w:rsidRPr="00657778">
        <w:t xml:space="preserve"> </w:t>
      </w:r>
      <w:r>
        <w:t xml:space="preserve">conditions </w:t>
      </w:r>
      <w:r w:rsidRPr="00657778">
        <w:t>may process information differently and need more time to articulate a response that reflects their</w:t>
      </w:r>
      <w:r>
        <w:t xml:space="preserve"> true skills and capabilities.</w:t>
      </w:r>
    </w:p>
    <w:p w14:paraId="425650D5" w14:textId="77777777" w:rsidR="00151E91" w:rsidRDefault="00151E91" w:rsidP="00151E91">
      <w:pPr>
        <w:pStyle w:val="ListParagraph"/>
        <w:numPr>
          <w:ilvl w:val="0"/>
          <w:numId w:val="20"/>
        </w:numPr>
        <w:spacing w:after="160" w:line="240" w:lineRule="auto"/>
        <w:ind w:left="714" w:hanging="357"/>
        <w:contextualSpacing w:val="0"/>
      </w:pPr>
      <w:r w:rsidRPr="00657778">
        <w:rPr>
          <w:b/>
        </w:rPr>
        <w:t>Create a low</w:t>
      </w:r>
      <w:r>
        <w:rPr>
          <w:b/>
        </w:rPr>
        <w:t>-</w:t>
      </w:r>
      <w:r w:rsidRPr="00657778">
        <w:rPr>
          <w:b/>
        </w:rPr>
        <w:t>sensory environment for interviews.</w:t>
      </w:r>
      <w:r w:rsidRPr="00657778">
        <w:t xml:space="preserve"> </w:t>
      </w:r>
      <w:r>
        <w:t xml:space="preserve">Try to avoid </w:t>
      </w:r>
      <w:r w:rsidRPr="00657778">
        <w:t>strong scents, bright lighting, backgro</w:t>
      </w:r>
      <w:r>
        <w:t xml:space="preserve">und noise and visual clutter. </w:t>
      </w:r>
    </w:p>
    <w:p w14:paraId="0467DAFE" w14:textId="77777777" w:rsidR="00151E91" w:rsidRDefault="00151E91" w:rsidP="00151E91">
      <w:pPr>
        <w:pStyle w:val="ListParagraph"/>
        <w:numPr>
          <w:ilvl w:val="0"/>
          <w:numId w:val="20"/>
        </w:numPr>
        <w:spacing w:after="160" w:line="240" w:lineRule="auto"/>
        <w:ind w:left="714" w:hanging="357"/>
        <w:contextualSpacing w:val="0"/>
      </w:pPr>
      <w:r w:rsidRPr="00657778">
        <w:rPr>
          <w:b/>
        </w:rPr>
        <w:t>Offer flexibility on interview times and delivery mode.</w:t>
      </w:r>
      <w:r w:rsidRPr="00657778">
        <w:t xml:space="preserve"> Some </w:t>
      </w:r>
      <w:r>
        <w:t>candidates, for example,</w:t>
      </w:r>
      <w:r w:rsidRPr="00657778">
        <w:t xml:space="preserve"> may </w:t>
      </w:r>
      <w:r>
        <w:t>find it difficult to navigate</w:t>
      </w:r>
      <w:r w:rsidRPr="00657778">
        <w:t xml:space="preserve"> public transport</w:t>
      </w:r>
      <w:r>
        <w:t>, particularly</w:t>
      </w:r>
      <w:r w:rsidRPr="00657778">
        <w:t xml:space="preserve"> during peak </w:t>
      </w:r>
      <w:r>
        <w:t>hours.</w:t>
      </w:r>
    </w:p>
    <w:p w14:paraId="1F48F886" w14:textId="77777777" w:rsidR="00151E91" w:rsidRDefault="00151E91" w:rsidP="00151E91">
      <w:pPr>
        <w:pStyle w:val="ListParagraph"/>
        <w:numPr>
          <w:ilvl w:val="0"/>
          <w:numId w:val="20"/>
        </w:numPr>
        <w:spacing w:after="160" w:line="240" w:lineRule="auto"/>
        <w:ind w:left="714" w:hanging="357"/>
        <w:contextualSpacing w:val="0"/>
      </w:pPr>
      <w:r w:rsidRPr="00657778">
        <w:rPr>
          <w:b/>
        </w:rPr>
        <w:lastRenderedPageBreak/>
        <w:t>Include detailed</w:t>
      </w:r>
      <w:r>
        <w:rPr>
          <w:b/>
        </w:rPr>
        <w:t>,</w:t>
      </w:r>
      <w:r w:rsidRPr="00657778">
        <w:rPr>
          <w:b/>
        </w:rPr>
        <w:t xml:space="preserve"> step-by-step information in advance</w:t>
      </w:r>
      <w:r w:rsidRPr="00657778">
        <w:t xml:space="preserve"> </w:t>
      </w:r>
      <w:r>
        <w:t>of</w:t>
      </w:r>
      <w:r w:rsidRPr="00657778">
        <w:t xml:space="preserve"> the job application and interview process. </w:t>
      </w:r>
      <w:r>
        <w:t>Candidates with neurodivergent conditions</w:t>
      </w:r>
      <w:r w:rsidRPr="00657778">
        <w:t xml:space="preserve"> are often (not always) visual thinkers, </w:t>
      </w:r>
      <w:r>
        <w:t>and visual imagery to support text-heavy documents can be</w:t>
      </w:r>
      <w:r w:rsidRPr="00657778">
        <w:t xml:space="preserve"> helpful. Include the name</w:t>
      </w:r>
      <w:r>
        <w:t>s of the interview panellists, if possible.</w:t>
      </w:r>
    </w:p>
    <w:p w14:paraId="4D72F3A3" w14:textId="77777777" w:rsidR="00151E91" w:rsidRDefault="00151E91" w:rsidP="00151E91">
      <w:pPr>
        <w:pStyle w:val="ListParagraph"/>
        <w:numPr>
          <w:ilvl w:val="0"/>
          <w:numId w:val="20"/>
        </w:numPr>
        <w:spacing w:after="160" w:line="240" w:lineRule="auto"/>
        <w:ind w:left="714" w:hanging="357"/>
        <w:contextualSpacing w:val="0"/>
      </w:pPr>
      <w:r w:rsidRPr="00657778">
        <w:rPr>
          <w:b/>
        </w:rPr>
        <w:t xml:space="preserve">Use clear, concise, plain English </w:t>
      </w:r>
      <w:r>
        <w:rPr>
          <w:b/>
        </w:rPr>
        <w:t>language and avoid</w:t>
      </w:r>
      <w:r w:rsidRPr="00657778">
        <w:rPr>
          <w:b/>
        </w:rPr>
        <w:t xml:space="preserve"> jargon, </w:t>
      </w:r>
      <w:proofErr w:type="gramStart"/>
      <w:r>
        <w:rPr>
          <w:b/>
        </w:rPr>
        <w:t>colloquialisms</w:t>
      </w:r>
      <w:proofErr w:type="gramEnd"/>
      <w:r>
        <w:rPr>
          <w:b/>
        </w:rPr>
        <w:t xml:space="preserve"> and </w:t>
      </w:r>
      <w:r w:rsidRPr="00657778">
        <w:rPr>
          <w:b/>
        </w:rPr>
        <w:t>acronyms.</w:t>
      </w:r>
      <w:r w:rsidRPr="005F571D">
        <w:rPr>
          <w:bCs/>
        </w:rPr>
        <w:t xml:space="preserve"> </w:t>
      </w:r>
      <w:r w:rsidRPr="00657778">
        <w:t xml:space="preserve">It could be taken literally. Avoid open-ended </w:t>
      </w:r>
      <w:r>
        <w:t xml:space="preserve">and double-barrelled </w:t>
      </w:r>
      <w:r w:rsidRPr="00657778">
        <w:t>questions and be prep</w:t>
      </w:r>
      <w:r>
        <w:t>ared to clarify what you mean.</w:t>
      </w:r>
    </w:p>
    <w:p w14:paraId="6039D3EE" w14:textId="562C7E22" w:rsidR="00267679" w:rsidRPr="00267679" w:rsidRDefault="00151E91" w:rsidP="004C18D5">
      <w:pPr>
        <w:pStyle w:val="ListParagraph"/>
        <w:numPr>
          <w:ilvl w:val="0"/>
          <w:numId w:val="20"/>
        </w:numPr>
        <w:spacing w:after="160" w:line="259" w:lineRule="auto"/>
        <w:ind w:left="714" w:hanging="357"/>
        <w:contextualSpacing w:val="0"/>
      </w:pPr>
      <w:r w:rsidRPr="00151E91">
        <w:rPr>
          <w:b/>
        </w:rPr>
        <w:t>Don’t worry if the candidate’s eye contact and body language is not what you’re used to.</w:t>
      </w:r>
      <w:r w:rsidRPr="00657778">
        <w:t xml:space="preserve"> Some </w:t>
      </w:r>
      <w:r>
        <w:t>people</w:t>
      </w:r>
      <w:r w:rsidRPr="00657778">
        <w:t xml:space="preserve"> have hyper</w:t>
      </w:r>
      <w:r>
        <w:t>-</w:t>
      </w:r>
      <w:r w:rsidRPr="00657778">
        <w:t xml:space="preserve"> or hyposensitivity</w:t>
      </w:r>
      <w:r>
        <w:t xml:space="preserve"> and/</w:t>
      </w:r>
      <w:r w:rsidRPr="00657778">
        <w:t>or have trouble maintaining eye contact</w:t>
      </w:r>
      <w:r>
        <w:t xml:space="preserve"> or shaking someone’s hand</w:t>
      </w:r>
      <w:r w:rsidRPr="00657778">
        <w:t>. This does not mean they are not engaged in the conversation</w:t>
      </w:r>
      <w:r>
        <w:t xml:space="preserve">: </w:t>
      </w:r>
      <w:r w:rsidRPr="00657778">
        <w:t xml:space="preserve">avoiding eye contact reduces visual input </w:t>
      </w:r>
      <w:r>
        <w:t>so that the person can</w:t>
      </w:r>
      <w:r w:rsidRPr="00657778">
        <w:t xml:space="preserve"> focus on audio inputs </w:t>
      </w:r>
      <w:r>
        <w:t>such as</w:t>
      </w:r>
      <w:r w:rsidRPr="00657778">
        <w:t xml:space="preserve"> your voice.</w:t>
      </w:r>
    </w:p>
    <w:sectPr w:rsidR="00267679" w:rsidRPr="00267679" w:rsidSect="00BB7178">
      <w:footerReference w:type="default" r:id="rId11"/>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C454" w14:textId="77777777" w:rsidR="00252A1D" w:rsidRDefault="00252A1D" w:rsidP="000D62F9">
      <w:pPr>
        <w:spacing w:after="0" w:line="240" w:lineRule="auto"/>
      </w:pPr>
      <w:r>
        <w:separator/>
      </w:r>
    </w:p>
  </w:endnote>
  <w:endnote w:type="continuationSeparator" w:id="0">
    <w:p w14:paraId="13BE1008" w14:textId="77777777" w:rsidR="00252A1D" w:rsidRDefault="00252A1D"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386902F7" w:rsidR="0088329C" w:rsidRPr="00781C5B" w:rsidRDefault="00000000">
        <w:pPr>
          <w:pStyle w:val="Footer"/>
          <w:jc w:val="right"/>
          <w:rPr>
            <w:sz w:val="20"/>
            <w:szCs w:val="20"/>
          </w:rPr>
        </w:pPr>
        <w:hyperlink r:id="rId1" w:history="1">
          <w:r w:rsidR="00781C5B" w:rsidRPr="00781C5B">
            <w:rPr>
              <w:rStyle w:val="Hyperlink"/>
              <w:sz w:val="20"/>
              <w:szCs w:val="20"/>
            </w:rPr>
            <w:t>CDL Hub</w:t>
          </w:r>
        </w:hyperlink>
        <w:r w:rsidR="00781C5B" w:rsidRPr="00781C5B">
          <w:rPr>
            <w:sz w:val="20"/>
            <w:szCs w:val="20"/>
          </w:rPr>
          <w:t xml:space="preserve"> for students with disability</w:t>
        </w:r>
        <w:r w:rsidR="00781C5B" w:rsidRPr="00781C5B">
          <w:rPr>
            <w:sz w:val="20"/>
            <w:szCs w:val="20"/>
          </w:rPr>
          <w:tab/>
        </w:r>
        <w:r w:rsidR="00781C5B" w:rsidRPr="00781C5B">
          <w:rPr>
            <w:sz w:val="20"/>
            <w:szCs w:val="20"/>
          </w:rPr>
          <w:tab/>
        </w:r>
        <w:r w:rsidR="0088329C" w:rsidRPr="00781C5B">
          <w:rPr>
            <w:sz w:val="20"/>
            <w:szCs w:val="20"/>
          </w:rPr>
          <w:fldChar w:fldCharType="begin"/>
        </w:r>
        <w:r w:rsidR="0088329C" w:rsidRPr="00781C5B">
          <w:rPr>
            <w:sz w:val="20"/>
            <w:szCs w:val="20"/>
          </w:rPr>
          <w:instrText xml:space="preserve"> PAGE   \* MERGEFORMAT </w:instrText>
        </w:r>
        <w:r w:rsidR="0088329C" w:rsidRPr="00781C5B">
          <w:rPr>
            <w:sz w:val="20"/>
            <w:szCs w:val="20"/>
          </w:rPr>
          <w:fldChar w:fldCharType="separate"/>
        </w:r>
        <w:r w:rsidR="00FD4C55" w:rsidRPr="00781C5B">
          <w:rPr>
            <w:noProof/>
            <w:sz w:val="20"/>
            <w:szCs w:val="20"/>
          </w:rPr>
          <w:t>2</w:t>
        </w:r>
        <w:r w:rsidR="0088329C" w:rsidRPr="00781C5B">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6E471" w14:textId="77777777" w:rsidR="00252A1D" w:rsidRDefault="00252A1D" w:rsidP="000D62F9">
      <w:pPr>
        <w:spacing w:after="0" w:line="240" w:lineRule="auto"/>
      </w:pPr>
      <w:r>
        <w:separator/>
      </w:r>
    </w:p>
  </w:footnote>
  <w:footnote w:type="continuationSeparator" w:id="0">
    <w:p w14:paraId="333D57A2" w14:textId="77777777" w:rsidR="00252A1D" w:rsidRDefault="00252A1D"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84F00"/>
    <w:multiLevelType w:val="hybridMultilevel"/>
    <w:tmpl w:val="15F853CE"/>
    <w:lvl w:ilvl="0" w:tplc="50A07F54">
      <w:numFmt w:val="bullet"/>
      <w:lvlText w:val="•"/>
      <w:lvlJc w:val="left"/>
      <w:pPr>
        <w:ind w:left="720" w:hanging="360"/>
      </w:pPr>
      <w:rPr>
        <w:rFonts w:ascii="Calibri" w:eastAsia="Times New Roman" w:hAnsi="Calibri"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9197504">
    <w:abstractNumId w:val="16"/>
  </w:num>
  <w:num w:numId="2" w16cid:durableId="356126262">
    <w:abstractNumId w:val="11"/>
  </w:num>
  <w:num w:numId="3" w16cid:durableId="245845995">
    <w:abstractNumId w:val="9"/>
  </w:num>
  <w:num w:numId="4" w16cid:durableId="28989799">
    <w:abstractNumId w:val="10"/>
  </w:num>
  <w:num w:numId="5" w16cid:durableId="834298348">
    <w:abstractNumId w:val="4"/>
  </w:num>
  <w:num w:numId="6" w16cid:durableId="502552751">
    <w:abstractNumId w:val="12"/>
  </w:num>
  <w:num w:numId="7" w16cid:durableId="702169857">
    <w:abstractNumId w:val="15"/>
  </w:num>
  <w:num w:numId="8" w16cid:durableId="1490052807">
    <w:abstractNumId w:val="1"/>
  </w:num>
  <w:num w:numId="9" w16cid:durableId="1437482147">
    <w:abstractNumId w:val="6"/>
  </w:num>
  <w:num w:numId="10" w16cid:durableId="980115828">
    <w:abstractNumId w:val="0"/>
  </w:num>
  <w:num w:numId="11" w16cid:durableId="453670264">
    <w:abstractNumId w:val="17"/>
  </w:num>
  <w:num w:numId="12" w16cid:durableId="1419447465">
    <w:abstractNumId w:val="8"/>
  </w:num>
  <w:num w:numId="13" w16cid:durableId="2088309654">
    <w:abstractNumId w:val="3"/>
  </w:num>
  <w:num w:numId="14" w16cid:durableId="1705984259">
    <w:abstractNumId w:val="0"/>
  </w:num>
  <w:num w:numId="15" w16cid:durableId="712508599">
    <w:abstractNumId w:val="13"/>
  </w:num>
  <w:num w:numId="16" w16cid:durableId="651104220">
    <w:abstractNumId w:val="18"/>
  </w:num>
  <w:num w:numId="17" w16cid:durableId="103430109">
    <w:abstractNumId w:val="2"/>
  </w:num>
  <w:num w:numId="18" w16cid:durableId="1150366777">
    <w:abstractNumId w:val="7"/>
  </w:num>
  <w:num w:numId="19" w16cid:durableId="1321041827">
    <w:abstractNumId w:val="5"/>
  </w:num>
  <w:num w:numId="20" w16cid:durableId="1071201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2A1D"/>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1F65"/>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40B3E"/>
    <w:rsid w:val="00644959"/>
    <w:rsid w:val="0064684E"/>
    <w:rsid w:val="00647E18"/>
    <w:rsid w:val="00651E72"/>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1D58"/>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5B"/>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5BCB"/>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4F08"/>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A720A"/>
    <w:rsid w:val="00FB2E9E"/>
    <w:rsid w:val="00FC697E"/>
    <w:rsid w:val="00FC7E7D"/>
    <w:rsid w:val="00FD126A"/>
    <w:rsid w:val="00FD2B73"/>
    <w:rsid w:val="00FD4C55"/>
    <w:rsid w:val="00FD55FE"/>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6A1D58"/>
    <w:pPr>
      <w:outlineLvl w:val="0"/>
    </w:pPr>
  </w:style>
  <w:style w:type="paragraph" w:styleId="Heading2">
    <w:name w:val="heading 2"/>
    <w:basedOn w:val="Normal"/>
    <w:next w:val="Normal"/>
    <w:link w:val="Heading2Char"/>
    <w:uiPriority w:val="9"/>
    <w:unhideWhenUsed/>
    <w:qFormat/>
    <w:rsid w:val="006F047F"/>
    <w:pPr>
      <w:keepNext/>
      <w:keepLines/>
      <w:spacing w:before="200" w:after="0"/>
      <w:outlineLvl w:val="1"/>
    </w:pPr>
    <w:rPr>
      <w:rFonts w:asciiTheme="majorHAnsi" w:eastAsiaTheme="majorEastAsia" w:hAnsiTheme="majorHAnsi" w:cstheme="majorBidi"/>
      <w:b/>
      <w:bCs/>
      <w:color w:val="B22600" w:themeColor="accent6"/>
      <w:sz w:val="26"/>
      <w:szCs w:val="26"/>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6A1D58"/>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6F047F"/>
    <w:rPr>
      <w:rFonts w:asciiTheme="majorHAnsi" w:eastAsiaTheme="majorEastAsia" w:hAnsiTheme="majorHAnsi" w:cstheme="majorBidi"/>
      <w:b/>
      <w:bCs/>
      <w:color w:val="B22600" w:themeColor="accent6"/>
      <w:sz w:val="26"/>
      <w:szCs w:val="26"/>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character" w:styleId="UnresolvedMention">
    <w:name w:val="Unresolved Mention"/>
    <w:basedOn w:val="DefaultParagraphFont"/>
    <w:uiPriority w:val="99"/>
    <w:semiHidden/>
    <w:unhideWhenUsed/>
    <w:rsid w:val="00781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jobaccess.gov.au/employers/employer-toolkit/recruiting-people-with-disability/" TargetMode="External"/><Relationship Id="rId4" Type="http://schemas.openxmlformats.org/officeDocument/2006/relationships/settings" Target="settings.xml"/><Relationship Id="rId9" Type="http://schemas.openxmlformats.org/officeDocument/2006/relationships/hyperlink" Target="https://www.nds.org.au/images/resources/employment/WA-Public-Sector-Disability-Employment-Confidence/Disability-Employer-Resource---Application-of-Section-66-of-the-WA-EO-Act.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34CDF-B2FC-40EF-A30A-61EC3490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6</cp:revision>
  <dcterms:created xsi:type="dcterms:W3CDTF">2023-01-04T07:27:00Z</dcterms:created>
  <dcterms:modified xsi:type="dcterms:W3CDTF">2023-02-14T22:46:00Z</dcterms:modified>
</cp:coreProperties>
</file>