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E224" w14:textId="147CC2E7" w:rsidR="00191A08" w:rsidRDefault="00A74650" w:rsidP="00191A08">
      <w:pPr>
        <w:pStyle w:val="Heading1"/>
      </w:pPr>
      <w:bookmarkStart w:id="0" w:name="_Toc110437952"/>
      <w:r w:rsidRPr="00A74650">
        <w:t>Waypoints in the process of Accessible Procurement</w:t>
      </w:r>
      <w:bookmarkEnd w:id="0"/>
    </w:p>
    <w:p w14:paraId="51F26ECC" w14:textId="77777777" w:rsidR="00191A08" w:rsidRPr="00B153F8" w:rsidRDefault="00191A08" w:rsidP="00191A08">
      <w:pPr>
        <w:pStyle w:val="Heading2"/>
      </w:pPr>
      <w:bookmarkStart w:id="1" w:name="_Toc27551289"/>
      <w:bookmarkStart w:id="2" w:name="_Toc34657585"/>
      <w:bookmarkStart w:id="3" w:name="_Toc34659454"/>
      <w:bookmarkStart w:id="4" w:name="_Toc36548179"/>
      <w:bookmarkStart w:id="5" w:name="_Toc36551924"/>
      <w:bookmarkStart w:id="6" w:name="_Toc40371966"/>
      <w:bookmarkStart w:id="7" w:name="_Toc82084054"/>
      <w:bookmarkStart w:id="8" w:name="_Toc82084296"/>
      <w:bookmarkStart w:id="9" w:name="_Toc82092162"/>
      <w:bookmarkStart w:id="10" w:name="_Toc85545739"/>
      <w:bookmarkStart w:id="11" w:name="_Toc110437953"/>
      <w:r w:rsidRPr="00B153F8">
        <w:t>Version control</w:t>
      </w:r>
      <w:bookmarkEnd w:id="1"/>
      <w:bookmarkEnd w:id="2"/>
      <w:bookmarkEnd w:id="3"/>
      <w:bookmarkEnd w:id="4"/>
      <w:bookmarkEnd w:id="5"/>
      <w:bookmarkEnd w:id="6"/>
      <w:bookmarkEnd w:id="7"/>
      <w:bookmarkEnd w:id="8"/>
      <w:bookmarkEnd w:id="9"/>
      <w:bookmarkEnd w:id="10"/>
      <w:bookmarkEnd w:id="11"/>
      <w:r w:rsidRPr="00B153F8">
        <w:t xml:space="preserve"> </w:t>
      </w:r>
    </w:p>
    <w:tbl>
      <w:tblPr>
        <w:tblStyle w:val="GridTable1Light"/>
        <w:tblW w:w="0" w:type="auto"/>
        <w:tblLook w:val="04A0" w:firstRow="1" w:lastRow="0" w:firstColumn="1" w:lastColumn="0" w:noHBand="0" w:noVBand="1"/>
        <w:tblCaption w:val="Version table, version, date, comments"/>
      </w:tblPr>
      <w:tblGrid>
        <w:gridCol w:w="1271"/>
        <w:gridCol w:w="2126"/>
        <w:gridCol w:w="5358"/>
      </w:tblGrid>
      <w:tr w:rsidR="00191A08" w:rsidRPr="00B153F8" w14:paraId="334B1B4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C915B47" w14:textId="77777777" w:rsidR="00191A08" w:rsidRPr="00B153F8" w:rsidRDefault="00191A08">
            <w:r w:rsidRPr="00B153F8">
              <w:t>Version</w:t>
            </w:r>
          </w:p>
        </w:tc>
        <w:tc>
          <w:tcPr>
            <w:tcW w:w="2126" w:type="dxa"/>
          </w:tcPr>
          <w:p w14:paraId="4F67A475" w14:textId="77777777" w:rsidR="00191A08" w:rsidRPr="00B153F8" w:rsidRDefault="00191A08">
            <w:pPr>
              <w:cnfStyle w:val="100000000000" w:firstRow="1" w:lastRow="0" w:firstColumn="0" w:lastColumn="0" w:oddVBand="0" w:evenVBand="0" w:oddHBand="0" w:evenHBand="0" w:firstRowFirstColumn="0" w:firstRowLastColumn="0" w:lastRowFirstColumn="0" w:lastRowLastColumn="0"/>
            </w:pPr>
            <w:r w:rsidRPr="00B153F8">
              <w:t>Date</w:t>
            </w:r>
          </w:p>
        </w:tc>
        <w:tc>
          <w:tcPr>
            <w:tcW w:w="5358" w:type="dxa"/>
          </w:tcPr>
          <w:p w14:paraId="561D0B66" w14:textId="77777777" w:rsidR="00191A08" w:rsidRPr="00B153F8" w:rsidRDefault="00191A08">
            <w:pPr>
              <w:cnfStyle w:val="100000000000" w:firstRow="1" w:lastRow="0" w:firstColumn="0" w:lastColumn="0" w:oddVBand="0" w:evenVBand="0" w:oddHBand="0" w:evenHBand="0" w:firstRowFirstColumn="0" w:firstRowLastColumn="0" w:lastRowFirstColumn="0" w:lastRowLastColumn="0"/>
            </w:pPr>
            <w:r w:rsidRPr="00B153F8">
              <w:t>Status / Updates</w:t>
            </w:r>
          </w:p>
        </w:tc>
      </w:tr>
      <w:tr w:rsidR="00191A08" w:rsidRPr="00B153F8" w14:paraId="1B241530" w14:textId="77777777">
        <w:tc>
          <w:tcPr>
            <w:cnfStyle w:val="001000000000" w:firstRow="0" w:lastRow="0" w:firstColumn="1" w:lastColumn="0" w:oddVBand="0" w:evenVBand="0" w:oddHBand="0" w:evenHBand="0" w:firstRowFirstColumn="0" w:firstRowLastColumn="0" w:lastRowFirstColumn="0" w:lastRowLastColumn="0"/>
            <w:tcW w:w="1271" w:type="dxa"/>
          </w:tcPr>
          <w:p w14:paraId="63632B3E" w14:textId="77777777" w:rsidR="00191A08" w:rsidRPr="00B153F8" w:rsidRDefault="00191A08">
            <w:pPr>
              <w:rPr>
                <w:b w:val="0"/>
                <w:bCs w:val="0"/>
              </w:rPr>
            </w:pPr>
            <w:r w:rsidRPr="00B153F8">
              <w:rPr>
                <w:b w:val="0"/>
                <w:bCs w:val="0"/>
              </w:rPr>
              <w:t>0.1</w:t>
            </w:r>
          </w:p>
        </w:tc>
        <w:tc>
          <w:tcPr>
            <w:tcW w:w="2126" w:type="dxa"/>
          </w:tcPr>
          <w:p w14:paraId="6E7ED44B" w14:textId="77777777" w:rsidR="00191A08" w:rsidRPr="00B153F8" w:rsidRDefault="00191A08">
            <w:pPr>
              <w:cnfStyle w:val="000000000000" w:firstRow="0" w:lastRow="0" w:firstColumn="0" w:lastColumn="0" w:oddVBand="0" w:evenVBand="0" w:oddHBand="0" w:evenHBand="0" w:firstRowFirstColumn="0" w:firstRowLastColumn="0" w:lastRowFirstColumn="0" w:lastRowLastColumn="0"/>
            </w:pPr>
            <w:r>
              <w:t>23 June</w:t>
            </w:r>
            <w:r w:rsidRPr="00B153F8">
              <w:t xml:space="preserve"> 2022</w:t>
            </w:r>
          </w:p>
        </w:tc>
        <w:tc>
          <w:tcPr>
            <w:tcW w:w="5358" w:type="dxa"/>
          </w:tcPr>
          <w:p w14:paraId="12A33B3C" w14:textId="77777777" w:rsidR="00191A08" w:rsidRPr="00B153F8" w:rsidRDefault="00191A08">
            <w:pPr>
              <w:cnfStyle w:val="000000000000" w:firstRow="0" w:lastRow="0" w:firstColumn="0" w:lastColumn="0" w:oddVBand="0" w:evenVBand="0" w:oddHBand="0" w:evenHBand="0" w:firstRowFirstColumn="0" w:firstRowLastColumn="0" w:lastRowFirstColumn="0" w:lastRowLastColumn="0"/>
            </w:pPr>
            <w:r w:rsidRPr="00B153F8">
              <w:t xml:space="preserve">First draft for </w:t>
            </w:r>
            <w:r>
              <w:t>ADCET feedback</w:t>
            </w:r>
          </w:p>
        </w:tc>
      </w:tr>
      <w:tr w:rsidR="00EE65A6" w:rsidRPr="00B153F8" w14:paraId="1BBA5E2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1F2F3B2" w14:textId="6251BDE9" w:rsidR="00EE65A6" w:rsidRPr="00B153F8" w:rsidRDefault="00EE65A6">
            <w:r>
              <w:t>0.2</w:t>
            </w:r>
          </w:p>
        </w:tc>
        <w:tc>
          <w:tcPr>
            <w:tcW w:w="2126" w:type="dxa"/>
          </w:tcPr>
          <w:p w14:paraId="607BAD48" w14:textId="546846E4" w:rsidR="00EE65A6" w:rsidRDefault="00C07CC6">
            <w:pPr>
              <w:cnfStyle w:val="000000010000" w:firstRow="0" w:lastRow="0" w:firstColumn="0" w:lastColumn="0" w:oddVBand="0" w:evenVBand="0" w:oddHBand="0" w:evenHBand="1" w:firstRowFirstColumn="0" w:firstRowLastColumn="0" w:lastRowFirstColumn="0" w:lastRowLastColumn="0"/>
            </w:pPr>
            <w:r>
              <w:t>27 July 2022</w:t>
            </w:r>
          </w:p>
        </w:tc>
        <w:tc>
          <w:tcPr>
            <w:tcW w:w="5358" w:type="dxa"/>
          </w:tcPr>
          <w:p w14:paraId="03B39727" w14:textId="159C92E0" w:rsidR="00EE65A6" w:rsidRPr="00B153F8" w:rsidRDefault="00C07CC6">
            <w:pPr>
              <w:cnfStyle w:val="000000010000" w:firstRow="0" w:lastRow="0" w:firstColumn="0" w:lastColumn="0" w:oddVBand="0" w:evenVBand="0" w:oddHBand="0" w:evenHBand="1" w:firstRowFirstColumn="0" w:firstRowLastColumn="0" w:lastRowFirstColumn="0" w:lastRowLastColumn="0"/>
            </w:pPr>
            <w:r>
              <w:t>Updated with feedback</w:t>
            </w:r>
          </w:p>
        </w:tc>
      </w:tr>
      <w:tr w:rsidR="001A2DDC" w:rsidRPr="00B153F8" w14:paraId="0FEE44B0" w14:textId="77777777">
        <w:tc>
          <w:tcPr>
            <w:cnfStyle w:val="001000000000" w:firstRow="0" w:lastRow="0" w:firstColumn="1" w:lastColumn="0" w:oddVBand="0" w:evenVBand="0" w:oddHBand="0" w:evenHBand="0" w:firstRowFirstColumn="0" w:firstRowLastColumn="0" w:lastRowFirstColumn="0" w:lastRowLastColumn="0"/>
            <w:tcW w:w="1271" w:type="dxa"/>
          </w:tcPr>
          <w:p w14:paraId="3BB0725D" w14:textId="14CA5A56" w:rsidR="001A2DDC" w:rsidRDefault="001A2DDC">
            <w:r>
              <w:t>1.0</w:t>
            </w:r>
          </w:p>
        </w:tc>
        <w:tc>
          <w:tcPr>
            <w:tcW w:w="2126" w:type="dxa"/>
          </w:tcPr>
          <w:p w14:paraId="7B203857" w14:textId="5680F8A3" w:rsidR="001A2DDC" w:rsidRDefault="001A2DDC">
            <w:pPr>
              <w:cnfStyle w:val="000000000000" w:firstRow="0" w:lastRow="0" w:firstColumn="0" w:lastColumn="0" w:oddVBand="0" w:evenVBand="0" w:oddHBand="0" w:evenHBand="0" w:firstRowFirstColumn="0" w:firstRowLastColumn="0" w:lastRowFirstColumn="0" w:lastRowLastColumn="0"/>
            </w:pPr>
            <w:r>
              <w:t>28 September 2022</w:t>
            </w:r>
          </w:p>
        </w:tc>
        <w:tc>
          <w:tcPr>
            <w:tcW w:w="5358" w:type="dxa"/>
          </w:tcPr>
          <w:p w14:paraId="1E1E6AA7" w14:textId="6CB3C505" w:rsidR="001A2DDC" w:rsidRDefault="001A2DDC">
            <w:pPr>
              <w:cnfStyle w:val="000000000000" w:firstRow="0" w:lastRow="0" w:firstColumn="0" w:lastColumn="0" w:oddVBand="0" w:evenVBand="0" w:oddHBand="0" w:evenHBand="0" w:firstRowFirstColumn="0" w:firstRowLastColumn="0" w:lastRowFirstColumn="0" w:lastRowLastColumn="0"/>
            </w:pPr>
            <w:r>
              <w:t>Final version for ADCET &amp; CAUDIT</w:t>
            </w:r>
          </w:p>
        </w:tc>
      </w:tr>
    </w:tbl>
    <w:sdt>
      <w:sdtPr>
        <w:rPr>
          <w:rFonts w:asciiTheme="minorHAnsi" w:hAnsiTheme="minorHAnsi"/>
          <w:b w:val="0"/>
          <w:color w:val="auto"/>
          <w:sz w:val="24"/>
          <w:szCs w:val="24"/>
        </w:rPr>
        <w:id w:val="1541241525"/>
        <w:docPartObj>
          <w:docPartGallery w:val="Table of Contents"/>
          <w:docPartUnique/>
        </w:docPartObj>
      </w:sdtPr>
      <w:sdtEndPr>
        <w:rPr>
          <w:bCs/>
          <w:noProof/>
        </w:rPr>
      </w:sdtEndPr>
      <w:sdtContent>
        <w:p w14:paraId="33CDA86F" w14:textId="6D6745D4" w:rsidR="00E9593E" w:rsidRDefault="00E9593E">
          <w:pPr>
            <w:pStyle w:val="TOCHeading"/>
          </w:pPr>
          <w:r>
            <w:t>Contents</w:t>
          </w:r>
        </w:p>
        <w:p w14:paraId="764869D2" w14:textId="744997D1" w:rsidR="006A675C" w:rsidRDefault="00E9593E">
          <w:pPr>
            <w:pStyle w:val="TOC1"/>
            <w:rPr>
              <w:sz w:val="22"/>
              <w:szCs w:val="22"/>
              <w:lang w:val="en-NZ" w:eastAsia="en-NZ"/>
            </w:rPr>
          </w:pPr>
          <w:r>
            <w:fldChar w:fldCharType="begin"/>
          </w:r>
          <w:r>
            <w:instrText xml:space="preserve"> TOC \o "1-3" \h \z \u </w:instrText>
          </w:r>
          <w:r>
            <w:fldChar w:fldCharType="separate"/>
          </w:r>
          <w:hyperlink w:anchor="_Toc110437952" w:history="1">
            <w:r w:rsidR="006A675C" w:rsidRPr="00BF687A">
              <w:rPr>
                <w:rStyle w:val="Hyperlink"/>
              </w:rPr>
              <w:t>Waypoints in the process of Accessible Procurement</w:t>
            </w:r>
            <w:r w:rsidR="006A675C">
              <w:rPr>
                <w:webHidden/>
              </w:rPr>
              <w:tab/>
            </w:r>
            <w:r w:rsidR="006A675C">
              <w:rPr>
                <w:webHidden/>
              </w:rPr>
              <w:fldChar w:fldCharType="begin"/>
            </w:r>
            <w:r w:rsidR="006A675C">
              <w:rPr>
                <w:webHidden/>
              </w:rPr>
              <w:instrText xml:space="preserve"> PAGEREF _Toc110437952 \h </w:instrText>
            </w:r>
            <w:r w:rsidR="006A675C">
              <w:rPr>
                <w:webHidden/>
              </w:rPr>
            </w:r>
            <w:r w:rsidR="006A675C">
              <w:rPr>
                <w:webHidden/>
              </w:rPr>
              <w:fldChar w:fldCharType="separate"/>
            </w:r>
            <w:r w:rsidR="001A2DDC">
              <w:rPr>
                <w:webHidden/>
              </w:rPr>
              <w:t>1</w:t>
            </w:r>
            <w:r w:rsidR="006A675C">
              <w:rPr>
                <w:webHidden/>
              </w:rPr>
              <w:fldChar w:fldCharType="end"/>
            </w:r>
          </w:hyperlink>
        </w:p>
        <w:p w14:paraId="5310A369" w14:textId="4BE23D64" w:rsidR="006A675C" w:rsidRDefault="0049311D">
          <w:pPr>
            <w:pStyle w:val="TOC2"/>
            <w:tabs>
              <w:tab w:val="right" w:leader="dot" w:pos="9016"/>
            </w:tabs>
            <w:rPr>
              <w:noProof/>
              <w:sz w:val="22"/>
              <w:szCs w:val="22"/>
              <w:lang w:val="en-NZ" w:eastAsia="en-NZ"/>
            </w:rPr>
          </w:pPr>
          <w:hyperlink w:anchor="_Toc110437953" w:history="1">
            <w:r w:rsidR="006A675C" w:rsidRPr="00BF687A">
              <w:rPr>
                <w:rStyle w:val="Hyperlink"/>
                <w:noProof/>
              </w:rPr>
              <w:t>Version control</w:t>
            </w:r>
            <w:r w:rsidR="006A675C">
              <w:rPr>
                <w:noProof/>
                <w:webHidden/>
              </w:rPr>
              <w:tab/>
            </w:r>
            <w:r w:rsidR="006A675C">
              <w:rPr>
                <w:noProof/>
                <w:webHidden/>
              </w:rPr>
              <w:fldChar w:fldCharType="begin"/>
            </w:r>
            <w:r w:rsidR="006A675C">
              <w:rPr>
                <w:noProof/>
                <w:webHidden/>
              </w:rPr>
              <w:instrText xml:space="preserve"> PAGEREF _Toc110437953 \h </w:instrText>
            </w:r>
            <w:r w:rsidR="006A675C">
              <w:rPr>
                <w:noProof/>
                <w:webHidden/>
              </w:rPr>
            </w:r>
            <w:r w:rsidR="006A675C">
              <w:rPr>
                <w:noProof/>
                <w:webHidden/>
              </w:rPr>
              <w:fldChar w:fldCharType="separate"/>
            </w:r>
            <w:r w:rsidR="001A2DDC">
              <w:rPr>
                <w:noProof/>
                <w:webHidden/>
              </w:rPr>
              <w:t>1</w:t>
            </w:r>
            <w:r w:rsidR="006A675C">
              <w:rPr>
                <w:noProof/>
                <w:webHidden/>
              </w:rPr>
              <w:fldChar w:fldCharType="end"/>
            </w:r>
          </w:hyperlink>
        </w:p>
        <w:p w14:paraId="4059D261" w14:textId="5E6AFF5C" w:rsidR="006A675C" w:rsidRDefault="0049311D">
          <w:pPr>
            <w:pStyle w:val="TOC2"/>
            <w:tabs>
              <w:tab w:val="right" w:leader="dot" w:pos="9016"/>
            </w:tabs>
            <w:rPr>
              <w:noProof/>
              <w:sz w:val="22"/>
              <w:szCs w:val="22"/>
              <w:lang w:val="en-NZ" w:eastAsia="en-NZ"/>
            </w:rPr>
          </w:pPr>
          <w:hyperlink w:anchor="_Toc110437954" w:history="1">
            <w:r w:rsidR="006A675C" w:rsidRPr="00BF687A">
              <w:rPr>
                <w:rStyle w:val="Hyperlink"/>
                <w:noProof/>
              </w:rPr>
              <w:t>Creating the necessary organisational support</w:t>
            </w:r>
            <w:r w:rsidR="006A675C">
              <w:rPr>
                <w:noProof/>
                <w:webHidden/>
              </w:rPr>
              <w:tab/>
            </w:r>
            <w:r w:rsidR="006A675C">
              <w:rPr>
                <w:noProof/>
                <w:webHidden/>
              </w:rPr>
              <w:fldChar w:fldCharType="begin"/>
            </w:r>
            <w:r w:rsidR="006A675C">
              <w:rPr>
                <w:noProof/>
                <w:webHidden/>
              </w:rPr>
              <w:instrText xml:space="preserve"> PAGEREF _Toc110437954 \h </w:instrText>
            </w:r>
            <w:r w:rsidR="006A675C">
              <w:rPr>
                <w:noProof/>
                <w:webHidden/>
              </w:rPr>
            </w:r>
            <w:r w:rsidR="006A675C">
              <w:rPr>
                <w:noProof/>
                <w:webHidden/>
              </w:rPr>
              <w:fldChar w:fldCharType="separate"/>
            </w:r>
            <w:r w:rsidR="001A2DDC">
              <w:rPr>
                <w:noProof/>
                <w:webHidden/>
              </w:rPr>
              <w:t>2</w:t>
            </w:r>
            <w:r w:rsidR="006A675C">
              <w:rPr>
                <w:noProof/>
                <w:webHidden/>
              </w:rPr>
              <w:fldChar w:fldCharType="end"/>
            </w:r>
          </w:hyperlink>
        </w:p>
        <w:p w14:paraId="50E8A7E8" w14:textId="7E680F07" w:rsidR="006A675C" w:rsidRDefault="0049311D">
          <w:pPr>
            <w:pStyle w:val="TOC2"/>
            <w:tabs>
              <w:tab w:val="right" w:leader="dot" w:pos="9016"/>
            </w:tabs>
            <w:rPr>
              <w:noProof/>
              <w:sz w:val="22"/>
              <w:szCs w:val="22"/>
              <w:lang w:val="en-NZ" w:eastAsia="en-NZ"/>
            </w:rPr>
          </w:pPr>
          <w:hyperlink w:anchor="_Toc110437955" w:history="1">
            <w:r w:rsidR="006A675C" w:rsidRPr="00BF687A">
              <w:rPr>
                <w:rStyle w:val="Hyperlink"/>
                <w:noProof/>
              </w:rPr>
              <w:t>Add Accessibility to the planning process</w:t>
            </w:r>
            <w:r w:rsidR="006A675C">
              <w:rPr>
                <w:noProof/>
                <w:webHidden/>
              </w:rPr>
              <w:tab/>
            </w:r>
            <w:r w:rsidR="006A675C">
              <w:rPr>
                <w:noProof/>
                <w:webHidden/>
              </w:rPr>
              <w:fldChar w:fldCharType="begin"/>
            </w:r>
            <w:r w:rsidR="006A675C">
              <w:rPr>
                <w:noProof/>
                <w:webHidden/>
              </w:rPr>
              <w:instrText xml:space="preserve"> PAGEREF _Toc110437955 \h </w:instrText>
            </w:r>
            <w:r w:rsidR="006A675C">
              <w:rPr>
                <w:noProof/>
                <w:webHidden/>
              </w:rPr>
            </w:r>
            <w:r w:rsidR="006A675C">
              <w:rPr>
                <w:noProof/>
                <w:webHidden/>
              </w:rPr>
              <w:fldChar w:fldCharType="separate"/>
            </w:r>
            <w:r w:rsidR="001A2DDC">
              <w:rPr>
                <w:noProof/>
                <w:webHidden/>
              </w:rPr>
              <w:t>2</w:t>
            </w:r>
            <w:r w:rsidR="006A675C">
              <w:rPr>
                <w:noProof/>
                <w:webHidden/>
              </w:rPr>
              <w:fldChar w:fldCharType="end"/>
            </w:r>
          </w:hyperlink>
        </w:p>
        <w:p w14:paraId="087E52DD" w14:textId="6B3C3A78" w:rsidR="006A675C" w:rsidRDefault="0049311D">
          <w:pPr>
            <w:pStyle w:val="TOC2"/>
            <w:tabs>
              <w:tab w:val="right" w:leader="dot" w:pos="9016"/>
            </w:tabs>
            <w:rPr>
              <w:noProof/>
              <w:sz w:val="22"/>
              <w:szCs w:val="22"/>
              <w:lang w:val="en-NZ" w:eastAsia="en-NZ"/>
            </w:rPr>
          </w:pPr>
          <w:hyperlink w:anchor="_Toc110437956" w:history="1">
            <w:r w:rsidR="006A675C" w:rsidRPr="00BF687A">
              <w:rPr>
                <w:rStyle w:val="Hyperlink"/>
                <w:noProof/>
              </w:rPr>
              <w:t>Apply Accessibility to the procurement process</w:t>
            </w:r>
            <w:r w:rsidR="006A675C">
              <w:rPr>
                <w:noProof/>
                <w:webHidden/>
              </w:rPr>
              <w:tab/>
            </w:r>
            <w:r w:rsidR="006A675C">
              <w:rPr>
                <w:noProof/>
                <w:webHidden/>
              </w:rPr>
              <w:fldChar w:fldCharType="begin"/>
            </w:r>
            <w:r w:rsidR="006A675C">
              <w:rPr>
                <w:noProof/>
                <w:webHidden/>
              </w:rPr>
              <w:instrText xml:space="preserve"> PAGEREF _Toc110437956 \h </w:instrText>
            </w:r>
            <w:r w:rsidR="006A675C">
              <w:rPr>
                <w:noProof/>
                <w:webHidden/>
              </w:rPr>
            </w:r>
            <w:r w:rsidR="006A675C">
              <w:rPr>
                <w:noProof/>
                <w:webHidden/>
              </w:rPr>
              <w:fldChar w:fldCharType="separate"/>
            </w:r>
            <w:r w:rsidR="001A2DDC">
              <w:rPr>
                <w:noProof/>
                <w:webHidden/>
              </w:rPr>
              <w:t>3</w:t>
            </w:r>
            <w:r w:rsidR="006A675C">
              <w:rPr>
                <w:noProof/>
                <w:webHidden/>
              </w:rPr>
              <w:fldChar w:fldCharType="end"/>
            </w:r>
          </w:hyperlink>
        </w:p>
        <w:p w14:paraId="713DAB1E" w14:textId="6812CD02" w:rsidR="006A675C" w:rsidRDefault="0049311D">
          <w:pPr>
            <w:pStyle w:val="TOC3"/>
            <w:tabs>
              <w:tab w:val="right" w:leader="dot" w:pos="9016"/>
            </w:tabs>
            <w:rPr>
              <w:noProof/>
              <w:sz w:val="22"/>
              <w:szCs w:val="22"/>
              <w:lang w:val="en-NZ" w:eastAsia="en-NZ"/>
            </w:rPr>
          </w:pPr>
          <w:hyperlink w:anchor="_Toc110437957" w:history="1">
            <w:r w:rsidR="006A675C" w:rsidRPr="00BF687A">
              <w:rPr>
                <w:rStyle w:val="Hyperlink"/>
                <w:noProof/>
              </w:rPr>
              <w:t>Roadmap to accessibility</w:t>
            </w:r>
            <w:r w:rsidR="006A675C">
              <w:rPr>
                <w:noProof/>
                <w:webHidden/>
              </w:rPr>
              <w:tab/>
            </w:r>
            <w:r w:rsidR="006A675C">
              <w:rPr>
                <w:noProof/>
                <w:webHidden/>
              </w:rPr>
              <w:fldChar w:fldCharType="begin"/>
            </w:r>
            <w:r w:rsidR="006A675C">
              <w:rPr>
                <w:noProof/>
                <w:webHidden/>
              </w:rPr>
              <w:instrText xml:space="preserve"> PAGEREF _Toc110437957 \h </w:instrText>
            </w:r>
            <w:r w:rsidR="006A675C">
              <w:rPr>
                <w:noProof/>
                <w:webHidden/>
              </w:rPr>
            </w:r>
            <w:r w:rsidR="006A675C">
              <w:rPr>
                <w:noProof/>
                <w:webHidden/>
              </w:rPr>
              <w:fldChar w:fldCharType="separate"/>
            </w:r>
            <w:r w:rsidR="001A2DDC">
              <w:rPr>
                <w:noProof/>
                <w:webHidden/>
              </w:rPr>
              <w:t>5</w:t>
            </w:r>
            <w:r w:rsidR="006A675C">
              <w:rPr>
                <w:noProof/>
                <w:webHidden/>
              </w:rPr>
              <w:fldChar w:fldCharType="end"/>
            </w:r>
          </w:hyperlink>
        </w:p>
        <w:p w14:paraId="65DA9EFF" w14:textId="79A36508" w:rsidR="006A675C" w:rsidRDefault="0049311D">
          <w:pPr>
            <w:pStyle w:val="TOC2"/>
            <w:tabs>
              <w:tab w:val="right" w:leader="dot" w:pos="9016"/>
            </w:tabs>
            <w:rPr>
              <w:noProof/>
              <w:sz w:val="22"/>
              <w:szCs w:val="22"/>
              <w:lang w:val="en-NZ" w:eastAsia="en-NZ"/>
            </w:rPr>
          </w:pPr>
          <w:hyperlink w:anchor="_Toc110437958" w:history="1">
            <w:r w:rsidR="006A675C" w:rsidRPr="00BF687A">
              <w:rPr>
                <w:rStyle w:val="Hyperlink"/>
                <w:noProof/>
              </w:rPr>
              <w:t>Evaluation process</w:t>
            </w:r>
            <w:r w:rsidR="006A675C">
              <w:rPr>
                <w:noProof/>
                <w:webHidden/>
              </w:rPr>
              <w:tab/>
            </w:r>
            <w:r w:rsidR="006A675C">
              <w:rPr>
                <w:noProof/>
                <w:webHidden/>
              </w:rPr>
              <w:fldChar w:fldCharType="begin"/>
            </w:r>
            <w:r w:rsidR="006A675C">
              <w:rPr>
                <w:noProof/>
                <w:webHidden/>
              </w:rPr>
              <w:instrText xml:space="preserve"> PAGEREF _Toc110437958 \h </w:instrText>
            </w:r>
            <w:r w:rsidR="006A675C">
              <w:rPr>
                <w:noProof/>
                <w:webHidden/>
              </w:rPr>
            </w:r>
            <w:r w:rsidR="006A675C">
              <w:rPr>
                <w:noProof/>
                <w:webHidden/>
              </w:rPr>
              <w:fldChar w:fldCharType="separate"/>
            </w:r>
            <w:r w:rsidR="001A2DDC">
              <w:rPr>
                <w:noProof/>
                <w:webHidden/>
              </w:rPr>
              <w:t>6</w:t>
            </w:r>
            <w:r w:rsidR="006A675C">
              <w:rPr>
                <w:noProof/>
                <w:webHidden/>
              </w:rPr>
              <w:fldChar w:fldCharType="end"/>
            </w:r>
          </w:hyperlink>
        </w:p>
        <w:p w14:paraId="0F129BA5" w14:textId="2CDE0B24" w:rsidR="006A675C" w:rsidRDefault="0049311D">
          <w:pPr>
            <w:pStyle w:val="TOC2"/>
            <w:tabs>
              <w:tab w:val="right" w:leader="dot" w:pos="9016"/>
            </w:tabs>
            <w:rPr>
              <w:noProof/>
              <w:sz w:val="22"/>
              <w:szCs w:val="22"/>
              <w:lang w:val="en-NZ" w:eastAsia="en-NZ"/>
            </w:rPr>
          </w:pPr>
          <w:hyperlink w:anchor="_Toc110437959" w:history="1">
            <w:r w:rsidR="006A675C" w:rsidRPr="00BF687A">
              <w:rPr>
                <w:rStyle w:val="Hyperlink"/>
                <w:noProof/>
              </w:rPr>
              <w:t>Digital Accessibility should be part of the Contract</w:t>
            </w:r>
            <w:r w:rsidR="006A675C">
              <w:rPr>
                <w:noProof/>
                <w:webHidden/>
              </w:rPr>
              <w:tab/>
            </w:r>
            <w:r w:rsidR="006A675C">
              <w:rPr>
                <w:noProof/>
                <w:webHidden/>
              </w:rPr>
              <w:fldChar w:fldCharType="begin"/>
            </w:r>
            <w:r w:rsidR="006A675C">
              <w:rPr>
                <w:noProof/>
                <w:webHidden/>
              </w:rPr>
              <w:instrText xml:space="preserve"> PAGEREF _Toc110437959 \h </w:instrText>
            </w:r>
            <w:r w:rsidR="006A675C">
              <w:rPr>
                <w:noProof/>
                <w:webHidden/>
              </w:rPr>
            </w:r>
            <w:r w:rsidR="006A675C">
              <w:rPr>
                <w:noProof/>
                <w:webHidden/>
              </w:rPr>
              <w:fldChar w:fldCharType="separate"/>
            </w:r>
            <w:r w:rsidR="001A2DDC">
              <w:rPr>
                <w:noProof/>
                <w:webHidden/>
              </w:rPr>
              <w:t>7</w:t>
            </w:r>
            <w:r w:rsidR="006A675C">
              <w:rPr>
                <w:noProof/>
                <w:webHidden/>
              </w:rPr>
              <w:fldChar w:fldCharType="end"/>
            </w:r>
          </w:hyperlink>
        </w:p>
        <w:p w14:paraId="57E9B7D8" w14:textId="4D0F3E61" w:rsidR="006A675C" w:rsidRDefault="0049311D">
          <w:pPr>
            <w:pStyle w:val="TOC2"/>
            <w:tabs>
              <w:tab w:val="right" w:leader="dot" w:pos="9016"/>
            </w:tabs>
            <w:rPr>
              <w:noProof/>
              <w:sz w:val="22"/>
              <w:szCs w:val="22"/>
              <w:lang w:val="en-NZ" w:eastAsia="en-NZ"/>
            </w:rPr>
          </w:pPr>
          <w:hyperlink w:anchor="_Toc110437960" w:history="1">
            <w:r w:rsidR="006A675C" w:rsidRPr="00BF687A">
              <w:rPr>
                <w:rStyle w:val="Hyperlink"/>
                <w:noProof/>
              </w:rPr>
              <w:t>What if the procured ICT isn’t fully accessible</w:t>
            </w:r>
            <w:r w:rsidR="006A675C">
              <w:rPr>
                <w:noProof/>
                <w:webHidden/>
              </w:rPr>
              <w:tab/>
            </w:r>
            <w:r w:rsidR="006A675C">
              <w:rPr>
                <w:noProof/>
                <w:webHidden/>
              </w:rPr>
              <w:fldChar w:fldCharType="begin"/>
            </w:r>
            <w:r w:rsidR="006A675C">
              <w:rPr>
                <w:noProof/>
                <w:webHidden/>
              </w:rPr>
              <w:instrText xml:space="preserve"> PAGEREF _Toc110437960 \h </w:instrText>
            </w:r>
            <w:r w:rsidR="006A675C">
              <w:rPr>
                <w:noProof/>
                <w:webHidden/>
              </w:rPr>
            </w:r>
            <w:r w:rsidR="006A675C">
              <w:rPr>
                <w:noProof/>
                <w:webHidden/>
              </w:rPr>
              <w:fldChar w:fldCharType="separate"/>
            </w:r>
            <w:r w:rsidR="001A2DDC">
              <w:rPr>
                <w:noProof/>
                <w:webHidden/>
              </w:rPr>
              <w:t>7</w:t>
            </w:r>
            <w:r w:rsidR="006A675C">
              <w:rPr>
                <w:noProof/>
                <w:webHidden/>
              </w:rPr>
              <w:fldChar w:fldCharType="end"/>
            </w:r>
          </w:hyperlink>
        </w:p>
        <w:p w14:paraId="3C3ECE6F" w14:textId="78D379BD" w:rsidR="006A675C" w:rsidRDefault="0049311D">
          <w:pPr>
            <w:pStyle w:val="TOC3"/>
            <w:tabs>
              <w:tab w:val="right" w:leader="dot" w:pos="9016"/>
            </w:tabs>
            <w:rPr>
              <w:noProof/>
              <w:sz w:val="22"/>
              <w:szCs w:val="22"/>
              <w:lang w:val="en-NZ" w:eastAsia="en-NZ"/>
            </w:rPr>
          </w:pPr>
          <w:hyperlink w:anchor="_Toc110437961" w:history="1">
            <w:r w:rsidR="006A675C" w:rsidRPr="00BF687A">
              <w:rPr>
                <w:rStyle w:val="Hyperlink"/>
                <w:noProof/>
              </w:rPr>
              <w:t>Benefits of Equally Effective Alternate Access Plans:</w:t>
            </w:r>
            <w:r w:rsidR="006A675C">
              <w:rPr>
                <w:noProof/>
                <w:webHidden/>
              </w:rPr>
              <w:tab/>
            </w:r>
            <w:r w:rsidR="006A675C">
              <w:rPr>
                <w:noProof/>
                <w:webHidden/>
              </w:rPr>
              <w:fldChar w:fldCharType="begin"/>
            </w:r>
            <w:r w:rsidR="006A675C">
              <w:rPr>
                <w:noProof/>
                <w:webHidden/>
              </w:rPr>
              <w:instrText xml:space="preserve"> PAGEREF _Toc110437961 \h </w:instrText>
            </w:r>
            <w:r w:rsidR="006A675C">
              <w:rPr>
                <w:noProof/>
                <w:webHidden/>
              </w:rPr>
            </w:r>
            <w:r w:rsidR="006A675C">
              <w:rPr>
                <w:noProof/>
                <w:webHidden/>
              </w:rPr>
              <w:fldChar w:fldCharType="separate"/>
            </w:r>
            <w:r w:rsidR="001A2DDC">
              <w:rPr>
                <w:noProof/>
                <w:webHidden/>
              </w:rPr>
              <w:t>7</w:t>
            </w:r>
            <w:r w:rsidR="006A675C">
              <w:rPr>
                <w:noProof/>
                <w:webHidden/>
              </w:rPr>
              <w:fldChar w:fldCharType="end"/>
            </w:r>
          </w:hyperlink>
        </w:p>
        <w:p w14:paraId="5082408E" w14:textId="56BB1B3B" w:rsidR="006A675C" w:rsidRDefault="0049311D">
          <w:pPr>
            <w:pStyle w:val="TOC2"/>
            <w:tabs>
              <w:tab w:val="right" w:leader="dot" w:pos="9016"/>
            </w:tabs>
            <w:rPr>
              <w:noProof/>
              <w:sz w:val="22"/>
              <w:szCs w:val="22"/>
              <w:lang w:val="en-NZ" w:eastAsia="en-NZ"/>
            </w:rPr>
          </w:pPr>
          <w:hyperlink w:anchor="_Toc110437962" w:history="1">
            <w:r w:rsidR="006A675C" w:rsidRPr="00BF687A">
              <w:rPr>
                <w:rStyle w:val="Hyperlink"/>
                <w:noProof/>
              </w:rPr>
              <w:t>Ongoing accessibility</w:t>
            </w:r>
            <w:r w:rsidR="006A675C">
              <w:rPr>
                <w:noProof/>
                <w:webHidden/>
              </w:rPr>
              <w:tab/>
            </w:r>
            <w:r w:rsidR="006A675C">
              <w:rPr>
                <w:noProof/>
                <w:webHidden/>
              </w:rPr>
              <w:fldChar w:fldCharType="begin"/>
            </w:r>
            <w:r w:rsidR="006A675C">
              <w:rPr>
                <w:noProof/>
                <w:webHidden/>
              </w:rPr>
              <w:instrText xml:space="preserve"> PAGEREF _Toc110437962 \h </w:instrText>
            </w:r>
            <w:r w:rsidR="006A675C">
              <w:rPr>
                <w:noProof/>
                <w:webHidden/>
              </w:rPr>
            </w:r>
            <w:r w:rsidR="006A675C">
              <w:rPr>
                <w:noProof/>
                <w:webHidden/>
              </w:rPr>
              <w:fldChar w:fldCharType="separate"/>
            </w:r>
            <w:r w:rsidR="001A2DDC">
              <w:rPr>
                <w:noProof/>
                <w:webHidden/>
              </w:rPr>
              <w:t>8</w:t>
            </w:r>
            <w:r w:rsidR="006A675C">
              <w:rPr>
                <w:noProof/>
                <w:webHidden/>
              </w:rPr>
              <w:fldChar w:fldCharType="end"/>
            </w:r>
          </w:hyperlink>
        </w:p>
        <w:p w14:paraId="2FF36553" w14:textId="0BAC9260" w:rsidR="006A675C" w:rsidRDefault="0049311D">
          <w:pPr>
            <w:pStyle w:val="TOC2"/>
            <w:tabs>
              <w:tab w:val="right" w:leader="dot" w:pos="9016"/>
            </w:tabs>
            <w:rPr>
              <w:noProof/>
              <w:sz w:val="22"/>
              <w:szCs w:val="22"/>
              <w:lang w:val="en-NZ" w:eastAsia="en-NZ"/>
            </w:rPr>
          </w:pPr>
          <w:hyperlink w:anchor="_Toc110437963" w:history="1">
            <w:r w:rsidR="006A675C" w:rsidRPr="00BF687A">
              <w:rPr>
                <w:rStyle w:val="Hyperlink"/>
                <w:noProof/>
              </w:rPr>
              <w:t>Vendor management</w:t>
            </w:r>
            <w:r w:rsidR="006A675C">
              <w:rPr>
                <w:noProof/>
                <w:webHidden/>
              </w:rPr>
              <w:tab/>
            </w:r>
            <w:r w:rsidR="006A675C">
              <w:rPr>
                <w:noProof/>
                <w:webHidden/>
              </w:rPr>
              <w:fldChar w:fldCharType="begin"/>
            </w:r>
            <w:r w:rsidR="006A675C">
              <w:rPr>
                <w:noProof/>
                <w:webHidden/>
              </w:rPr>
              <w:instrText xml:space="preserve"> PAGEREF _Toc110437963 \h </w:instrText>
            </w:r>
            <w:r w:rsidR="006A675C">
              <w:rPr>
                <w:noProof/>
                <w:webHidden/>
              </w:rPr>
            </w:r>
            <w:r w:rsidR="006A675C">
              <w:rPr>
                <w:noProof/>
                <w:webHidden/>
              </w:rPr>
              <w:fldChar w:fldCharType="separate"/>
            </w:r>
            <w:r w:rsidR="001A2DDC">
              <w:rPr>
                <w:noProof/>
                <w:webHidden/>
              </w:rPr>
              <w:t>8</w:t>
            </w:r>
            <w:r w:rsidR="006A675C">
              <w:rPr>
                <w:noProof/>
                <w:webHidden/>
              </w:rPr>
              <w:fldChar w:fldCharType="end"/>
            </w:r>
          </w:hyperlink>
        </w:p>
        <w:p w14:paraId="2782DD8C" w14:textId="7E84A33A" w:rsidR="006A675C" w:rsidRDefault="0049311D">
          <w:pPr>
            <w:pStyle w:val="TOC2"/>
            <w:tabs>
              <w:tab w:val="right" w:leader="dot" w:pos="9016"/>
            </w:tabs>
            <w:rPr>
              <w:noProof/>
              <w:sz w:val="22"/>
              <w:szCs w:val="22"/>
              <w:lang w:val="en-NZ" w:eastAsia="en-NZ"/>
            </w:rPr>
          </w:pPr>
          <w:hyperlink w:anchor="_Toc110437964" w:history="1">
            <w:r w:rsidR="006A675C" w:rsidRPr="00BF687A">
              <w:rPr>
                <w:rStyle w:val="Hyperlink"/>
                <w:noProof/>
              </w:rPr>
              <w:t>Further reading</w:t>
            </w:r>
            <w:r w:rsidR="006A675C">
              <w:rPr>
                <w:noProof/>
                <w:webHidden/>
              </w:rPr>
              <w:tab/>
            </w:r>
            <w:r w:rsidR="006A675C">
              <w:rPr>
                <w:noProof/>
                <w:webHidden/>
              </w:rPr>
              <w:fldChar w:fldCharType="begin"/>
            </w:r>
            <w:r w:rsidR="006A675C">
              <w:rPr>
                <w:noProof/>
                <w:webHidden/>
              </w:rPr>
              <w:instrText xml:space="preserve"> PAGEREF _Toc110437964 \h </w:instrText>
            </w:r>
            <w:r w:rsidR="006A675C">
              <w:rPr>
                <w:noProof/>
                <w:webHidden/>
              </w:rPr>
            </w:r>
            <w:r w:rsidR="006A675C">
              <w:rPr>
                <w:noProof/>
                <w:webHidden/>
              </w:rPr>
              <w:fldChar w:fldCharType="separate"/>
            </w:r>
            <w:r w:rsidR="001A2DDC">
              <w:rPr>
                <w:noProof/>
                <w:webHidden/>
              </w:rPr>
              <w:t>9</w:t>
            </w:r>
            <w:r w:rsidR="006A675C">
              <w:rPr>
                <w:noProof/>
                <w:webHidden/>
              </w:rPr>
              <w:fldChar w:fldCharType="end"/>
            </w:r>
          </w:hyperlink>
        </w:p>
        <w:p w14:paraId="627A06C5" w14:textId="1C29E26E" w:rsidR="006A675C" w:rsidRDefault="0049311D">
          <w:pPr>
            <w:pStyle w:val="TOC3"/>
            <w:tabs>
              <w:tab w:val="right" w:leader="dot" w:pos="9016"/>
            </w:tabs>
            <w:rPr>
              <w:noProof/>
              <w:sz w:val="22"/>
              <w:szCs w:val="22"/>
              <w:lang w:val="en-NZ" w:eastAsia="en-NZ"/>
            </w:rPr>
          </w:pPr>
          <w:hyperlink w:anchor="_Toc110437965" w:history="1">
            <w:r w:rsidR="006A675C" w:rsidRPr="00BF687A">
              <w:rPr>
                <w:rStyle w:val="Hyperlink"/>
                <w:noProof/>
              </w:rPr>
              <w:t>Evaluating an Accessibility Conformance Reports (or VPAT):</w:t>
            </w:r>
            <w:r w:rsidR="006A675C">
              <w:rPr>
                <w:noProof/>
                <w:webHidden/>
              </w:rPr>
              <w:tab/>
            </w:r>
            <w:r w:rsidR="006A675C">
              <w:rPr>
                <w:noProof/>
                <w:webHidden/>
              </w:rPr>
              <w:fldChar w:fldCharType="begin"/>
            </w:r>
            <w:r w:rsidR="006A675C">
              <w:rPr>
                <w:noProof/>
                <w:webHidden/>
              </w:rPr>
              <w:instrText xml:space="preserve"> PAGEREF _Toc110437965 \h </w:instrText>
            </w:r>
            <w:r w:rsidR="006A675C">
              <w:rPr>
                <w:noProof/>
                <w:webHidden/>
              </w:rPr>
            </w:r>
            <w:r w:rsidR="006A675C">
              <w:rPr>
                <w:noProof/>
                <w:webHidden/>
              </w:rPr>
              <w:fldChar w:fldCharType="separate"/>
            </w:r>
            <w:r w:rsidR="001A2DDC">
              <w:rPr>
                <w:noProof/>
                <w:webHidden/>
              </w:rPr>
              <w:t>9</w:t>
            </w:r>
            <w:r w:rsidR="006A675C">
              <w:rPr>
                <w:noProof/>
                <w:webHidden/>
              </w:rPr>
              <w:fldChar w:fldCharType="end"/>
            </w:r>
          </w:hyperlink>
        </w:p>
        <w:p w14:paraId="7E629545" w14:textId="7335145E" w:rsidR="006A675C" w:rsidRDefault="0049311D">
          <w:pPr>
            <w:pStyle w:val="TOC3"/>
            <w:tabs>
              <w:tab w:val="right" w:leader="dot" w:pos="9016"/>
            </w:tabs>
            <w:rPr>
              <w:noProof/>
              <w:sz w:val="22"/>
              <w:szCs w:val="22"/>
              <w:lang w:val="en-NZ" w:eastAsia="en-NZ"/>
            </w:rPr>
          </w:pPr>
          <w:hyperlink w:anchor="_Toc110437966" w:history="1">
            <w:r w:rsidR="006A675C" w:rsidRPr="00BF687A">
              <w:rPr>
                <w:rStyle w:val="Hyperlink"/>
                <w:noProof/>
              </w:rPr>
              <w:t>Plan B – Equally Effective Alternative Access Plans</w:t>
            </w:r>
            <w:r w:rsidR="006A675C">
              <w:rPr>
                <w:noProof/>
                <w:webHidden/>
              </w:rPr>
              <w:tab/>
            </w:r>
            <w:r w:rsidR="006A675C">
              <w:rPr>
                <w:noProof/>
                <w:webHidden/>
              </w:rPr>
              <w:fldChar w:fldCharType="begin"/>
            </w:r>
            <w:r w:rsidR="006A675C">
              <w:rPr>
                <w:noProof/>
                <w:webHidden/>
              </w:rPr>
              <w:instrText xml:space="preserve"> PAGEREF _Toc110437966 \h </w:instrText>
            </w:r>
            <w:r w:rsidR="006A675C">
              <w:rPr>
                <w:noProof/>
                <w:webHidden/>
              </w:rPr>
            </w:r>
            <w:r w:rsidR="006A675C">
              <w:rPr>
                <w:noProof/>
                <w:webHidden/>
              </w:rPr>
              <w:fldChar w:fldCharType="separate"/>
            </w:r>
            <w:r w:rsidR="001A2DDC">
              <w:rPr>
                <w:noProof/>
                <w:webHidden/>
              </w:rPr>
              <w:t>9</w:t>
            </w:r>
            <w:r w:rsidR="006A675C">
              <w:rPr>
                <w:noProof/>
                <w:webHidden/>
              </w:rPr>
              <w:fldChar w:fldCharType="end"/>
            </w:r>
          </w:hyperlink>
        </w:p>
        <w:p w14:paraId="73C38B21" w14:textId="270572E0" w:rsidR="00E9593E" w:rsidRDefault="00E9593E">
          <w:r>
            <w:rPr>
              <w:b/>
              <w:bCs/>
              <w:noProof/>
            </w:rPr>
            <w:fldChar w:fldCharType="end"/>
          </w:r>
        </w:p>
      </w:sdtContent>
    </w:sdt>
    <w:p w14:paraId="524D823E" w14:textId="77777777" w:rsidR="00191A08" w:rsidRPr="001F42FB" w:rsidRDefault="00191A08" w:rsidP="00191A08"/>
    <w:p w14:paraId="2F597324" w14:textId="6F0214E4" w:rsidR="00E51640" w:rsidRDefault="00E51640" w:rsidP="00E51640">
      <w:r>
        <w:t>Everyone knows that the process of procurement is complex and takes time. It is easy to overlook certain details, even with the best of intentions. Accessibility is one of those details</w:t>
      </w:r>
      <w:r w:rsidR="00FC46E3">
        <w:t>. A</w:t>
      </w:r>
      <w:r>
        <w:t>s with any other aspect of procurement hygiene, it is important to ensure that all stages of procurement incorporate your university’s commitment to a more accessible, and thereby equitable</w:t>
      </w:r>
      <w:r w:rsidR="0005695F">
        <w:t>,</w:t>
      </w:r>
      <w:r>
        <w:t xml:space="preserve"> place to work and study.</w:t>
      </w:r>
    </w:p>
    <w:p w14:paraId="15A2ED0B" w14:textId="6CBB15B6" w:rsidR="00E51640" w:rsidRDefault="00E51640" w:rsidP="00E51640">
      <w:r>
        <w:lastRenderedPageBreak/>
        <w:t xml:space="preserve">Ensure that accessibility is considered throughout the </w:t>
      </w:r>
      <w:r w:rsidR="001A2DDC">
        <w:t xml:space="preserve">procurement </w:t>
      </w:r>
      <w:r>
        <w:t>process. It is not helpful if one stage is strong on requirements, while later in the process those same requirements are either forgotten about or relegated to a lesser status.</w:t>
      </w:r>
    </w:p>
    <w:p w14:paraId="266C84FB" w14:textId="77777777" w:rsidR="00E51640" w:rsidRDefault="00E51640" w:rsidP="00E51640">
      <w:r>
        <w:t xml:space="preserve">This document highlights some of the key stages of procurement and suggests ways to ensure that the requirements of digital accessibility are captured throughout. </w:t>
      </w:r>
    </w:p>
    <w:p w14:paraId="2C365DB0" w14:textId="77777777" w:rsidR="00E51640" w:rsidRDefault="00E51640" w:rsidP="00E51640">
      <w:r>
        <w:t>It should be read in conjunction with the other documents in this guide, specifically those giving examples of text to include in various documents in the process, as well as questions to ask vendors and those reviewing responses from vendors.</w:t>
      </w:r>
    </w:p>
    <w:p w14:paraId="3CB4EDDF" w14:textId="77777777" w:rsidR="00E51640" w:rsidRDefault="00E51640" w:rsidP="00E51640">
      <w:pPr>
        <w:pStyle w:val="Heading2"/>
      </w:pPr>
      <w:bookmarkStart w:id="12" w:name="_Toc110437954"/>
      <w:r w:rsidRPr="00862308">
        <w:t>Creating</w:t>
      </w:r>
      <w:r>
        <w:t xml:space="preserve"> the necessary organisational support</w:t>
      </w:r>
      <w:bookmarkEnd w:id="12"/>
    </w:p>
    <w:p w14:paraId="0416620D" w14:textId="77777777" w:rsidR="00E51640" w:rsidRDefault="00E51640" w:rsidP="00E51640">
      <w:r>
        <w:t>Accessible procurement does not occur in isolation. Ideally, it is part of a wider approach to accessibility.</w:t>
      </w:r>
      <w:r w:rsidR="004346CD">
        <w:t xml:space="preserve"> Identify existing support mechanisms and policies at your institution, such as a Disability Action Plan</w:t>
      </w:r>
      <w:r w:rsidR="009E0D19">
        <w:t xml:space="preserve"> or accessibility training</w:t>
      </w:r>
      <w:r w:rsidR="00715C12">
        <w:t>.</w:t>
      </w:r>
    </w:p>
    <w:p w14:paraId="17926E7C" w14:textId="3ACC49F9" w:rsidR="004F4985" w:rsidRDefault="004F4985" w:rsidP="004F4985">
      <w:r>
        <w:t>Develop an Accessibility Policy</w:t>
      </w:r>
      <w:r>
        <w:rPr>
          <w:rStyle w:val="FootnoteReference"/>
        </w:rPr>
        <w:footnoteReference w:id="2"/>
      </w:r>
      <w:r>
        <w:t xml:space="preserve">. This provides the governance framework for what follows and enables those involved in procurement to point to the university’s public commitment to being an accessible place </w:t>
      </w:r>
      <w:r w:rsidR="00807497">
        <w:t>to</w:t>
      </w:r>
      <w:r>
        <w:t xml:space="preserve"> work and study.</w:t>
      </w:r>
    </w:p>
    <w:p w14:paraId="69BC3E9F" w14:textId="2B5DD50D" w:rsidR="00E51640" w:rsidRDefault="00E51640" w:rsidP="00E51640">
      <w:r>
        <w:t>Get</w:t>
      </w:r>
      <w:r w:rsidR="004F4985">
        <w:t xml:space="preserve"> policy endorsement </w:t>
      </w:r>
      <w:r w:rsidR="001171B2">
        <w:t>and buy</w:t>
      </w:r>
      <w:r>
        <w:t xml:space="preserve">-in from the Leadership Team or Executive. They need to understand that accessibility doesn’t mean more work, it's an effective business practice. </w:t>
      </w:r>
    </w:p>
    <w:p w14:paraId="75BB58E9" w14:textId="77777777" w:rsidR="00E51640" w:rsidRDefault="00E51640" w:rsidP="00E51640">
      <w:r>
        <w:t>A named person in that team should become the accessibility sponsor.</w:t>
      </w:r>
    </w:p>
    <w:p w14:paraId="1ACEACB4" w14:textId="739BE850" w:rsidR="00BB6278" w:rsidRDefault="00590B48" w:rsidP="00E51640">
      <w:r>
        <w:t>Create groups and roles that can assist with implementation, such as:</w:t>
      </w:r>
    </w:p>
    <w:p w14:paraId="4CC8F99B" w14:textId="2B2A0BED" w:rsidR="00590B48" w:rsidRDefault="00590B48" w:rsidP="00353A8E">
      <w:pPr>
        <w:pStyle w:val="ListParagraph"/>
        <w:numPr>
          <w:ilvl w:val="0"/>
          <w:numId w:val="35"/>
        </w:numPr>
      </w:pPr>
      <w:r>
        <w:t xml:space="preserve">A dedicated accessibility role responsible for guiding accessibility efforts across the organisation </w:t>
      </w:r>
    </w:p>
    <w:p w14:paraId="2F4EEC37" w14:textId="6E1C6F36" w:rsidR="00E51640" w:rsidRDefault="00E51640" w:rsidP="00232CCF">
      <w:pPr>
        <w:pStyle w:val="ListParagraph"/>
        <w:numPr>
          <w:ilvl w:val="0"/>
          <w:numId w:val="35"/>
        </w:numPr>
      </w:pPr>
      <w:r>
        <w:t>An Accessibility Steering Group to provide a strategic overview across the organisation</w:t>
      </w:r>
    </w:p>
    <w:p w14:paraId="0B69256C" w14:textId="7CAEBF2E" w:rsidR="005D5DF8" w:rsidRDefault="00E51640" w:rsidP="00232CCF">
      <w:pPr>
        <w:pStyle w:val="ListParagraph"/>
        <w:numPr>
          <w:ilvl w:val="0"/>
          <w:numId w:val="35"/>
        </w:numPr>
      </w:pPr>
      <w:r>
        <w:t>A network of Accessibility Champions to carry the work forward on a day-to-day</w:t>
      </w:r>
    </w:p>
    <w:p w14:paraId="01C8C058" w14:textId="250D27E5" w:rsidR="00E51640" w:rsidRDefault="009153DA" w:rsidP="00232CCF">
      <w:pPr>
        <w:pStyle w:val="ListParagraph"/>
        <w:numPr>
          <w:ilvl w:val="0"/>
          <w:numId w:val="35"/>
        </w:numPr>
      </w:pPr>
      <w:r>
        <w:t xml:space="preserve">Consider establishing a group of </w:t>
      </w:r>
      <w:r w:rsidR="002479F6">
        <w:t>staff</w:t>
      </w:r>
      <w:r>
        <w:t xml:space="preserve"> an</w:t>
      </w:r>
      <w:r w:rsidR="00B03028">
        <w:t>d</w:t>
      </w:r>
      <w:r w:rsidR="002479F6">
        <w:t>/or</w:t>
      </w:r>
      <w:r>
        <w:t xml:space="preserve"> students</w:t>
      </w:r>
      <w:r w:rsidR="002479F6">
        <w:t xml:space="preserve"> to provide direct feedback on digital accessibility </w:t>
      </w:r>
      <w:r w:rsidR="008E5B10">
        <w:t xml:space="preserve">issues </w:t>
      </w:r>
      <w:r w:rsidR="002479F6">
        <w:t>encountered.</w:t>
      </w:r>
    </w:p>
    <w:p w14:paraId="63DDFE44" w14:textId="130FBC1A" w:rsidR="00500668" w:rsidRDefault="00500668" w:rsidP="00500668">
      <w:r>
        <w:t>In some institutions, it may be appropriate to use existing organisational structures around disability and accessibility if they are sufficiently developed and capable of absorbing these roles</w:t>
      </w:r>
    </w:p>
    <w:p w14:paraId="1DC1C32D" w14:textId="11BF918F" w:rsidR="0053507E" w:rsidRDefault="0053507E" w:rsidP="0053507E">
      <w:r>
        <w:t>People with lived experience of disability should be actively sought to fulfil roles in these structures where possible.</w:t>
      </w:r>
    </w:p>
    <w:p w14:paraId="2EEA2EF7" w14:textId="6FA3B8A9" w:rsidR="00322D55" w:rsidRDefault="00322D55" w:rsidP="00322D55">
      <w:pPr>
        <w:pStyle w:val="Heading2"/>
      </w:pPr>
      <w:bookmarkStart w:id="13" w:name="_Toc110437955"/>
      <w:r>
        <w:t>Add Accessibility to the planning process</w:t>
      </w:r>
      <w:bookmarkEnd w:id="13"/>
    </w:p>
    <w:p w14:paraId="69187991" w14:textId="5BA138F6" w:rsidR="00322D55" w:rsidRDefault="00322D55" w:rsidP="00322D55">
      <w:r>
        <w:t>Accessible procurement should be included within your organisation’s Disability Action Plan.</w:t>
      </w:r>
    </w:p>
    <w:p w14:paraId="53132A8E" w14:textId="68A0FDE3" w:rsidR="00322D55" w:rsidRDefault="00322D55" w:rsidP="00322D55">
      <w:r w:rsidRPr="00322D55">
        <w:lastRenderedPageBreak/>
        <w:t>Disability Action Plans have the capacity to produce the systemic change which is required to eliminate disability discrimination whether it be direct, or unintentional and indirect.</w:t>
      </w:r>
      <w:r w:rsidR="00807F14">
        <w:rPr>
          <w:rStyle w:val="FootnoteReference"/>
        </w:rPr>
        <w:footnoteReference w:id="3"/>
      </w:r>
    </w:p>
    <w:p w14:paraId="0338CF53" w14:textId="78D27998" w:rsidR="00807F14" w:rsidRDefault="00807F14" w:rsidP="00322D55">
      <w:r>
        <w:t xml:space="preserve">Action Plans may incorporate both broad </w:t>
      </w:r>
      <w:r w:rsidR="00EC7063">
        <w:t>goals</w:t>
      </w:r>
      <w:r>
        <w:t>:</w:t>
      </w:r>
    </w:p>
    <w:p w14:paraId="409C76F6" w14:textId="53D8D6B7" w:rsidR="00807F14" w:rsidRDefault="00EC7063" w:rsidP="00353A8E">
      <w:pPr>
        <w:ind w:left="720"/>
      </w:pPr>
      <w:r>
        <w:t>“</w:t>
      </w:r>
      <w:r w:rsidR="00807F14">
        <w:t xml:space="preserve">Adopt a </w:t>
      </w:r>
      <w:proofErr w:type="gramStart"/>
      <w:r w:rsidR="00807F14">
        <w:t>human rights</w:t>
      </w:r>
      <w:proofErr w:type="gramEnd"/>
      <w:r w:rsidR="00807F14">
        <w:t xml:space="preserve"> by design approach to the provision of digital services and facilities: from concept, research and design, testing and production through to implementation and use.</w:t>
      </w:r>
      <w:r>
        <w:t>”</w:t>
      </w:r>
    </w:p>
    <w:p w14:paraId="4D8CA11F" w14:textId="7AA66EEA" w:rsidR="00807F14" w:rsidRDefault="00807F14" w:rsidP="00807F14">
      <w:r>
        <w:t xml:space="preserve">and </w:t>
      </w:r>
      <w:r w:rsidR="00EC7063">
        <w:t>more specific actions.</w:t>
      </w:r>
    </w:p>
    <w:p w14:paraId="356F967B" w14:textId="65010E89" w:rsidR="00322D55" w:rsidRDefault="00EC7063" w:rsidP="00353A8E">
      <w:pPr>
        <w:ind w:left="720"/>
      </w:pPr>
      <w:r>
        <w:t>“</w:t>
      </w:r>
      <w:r w:rsidR="00807F14">
        <w:t>Embed accessibility requirements as standard for procurement of software, digital resources and platforms.</w:t>
      </w:r>
      <w:r>
        <w:t>”</w:t>
      </w:r>
    </w:p>
    <w:p w14:paraId="250F5B30" w14:textId="77777777" w:rsidR="00E51640" w:rsidRDefault="00E51640" w:rsidP="00E51640">
      <w:pPr>
        <w:pStyle w:val="Heading2"/>
      </w:pPr>
      <w:bookmarkStart w:id="14" w:name="_Toc110437956"/>
      <w:r>
        <w:t>Apply Accessibility to the procurement process</w:t>
      </w:r>
      <w:bookmarkEnd w:id="14"/>
    </w:p>
    <w:p w14:paraId="592A10FC" w14:textId="1584F949" w:rsidR="00E51640" w:rsidRDefault="000D5E12" w:rsidP="00E51640">
      <w:r>
        <w:t>Once</w:t>
      </w:r>
      <w:r w:rsidR="00E51640">
        <w:t xml:space="preserve"> you have your organisational commitment and infrastructure taken care of, you can begin to apply it in real-world scenarios, such as in procurement.</w:t>
      </w:r>
    </w:p>
    <w:p w14:paraId="3DDA7780" w14:textId="7D2A3D09" w:rsidR="00E51640" w:rsidRDefault="00E51640" w:rsidP="00E51640">
      <w:r>
        <w:t xml:space="preserve">Your </w:t>
      </w:r>
      <w:r w:rsidR="00B7563A">
        <w:t>institution</w:t>
      </w:r>
      <w:r>
        <w:t xml:space="preserve"> will almost certainly already have a dedicated procurement policy. </w:t>
      </w:r>
    </w:p>
    <w:p w14:paraId="01274F2F" w14:textId="1357B526" w:rsidR="00E51640" w:rsidRDefault="00E51640" w:rsidP="00E51640">
      <w:r>
        <w:t xml:space="preserve">Write accessibility into that procurement policy. See the </w:t>
      </w:r>
      <w:r w:rsidR="00B90F9E">
        <w:t>‘</w:t>
      </w:r>
      <w:r w:rsidRPr="009311A1">
        <w:rPr>
          <w:b/>
          <w:bCs/>
        </w:rPr>
        <w:t>Clause Bank</w:t>
      </w:r>
      <w:r w:rsidR="00B90F9E">
        <w:t>’</w:t>
      </w:r>
      <w:r>
        <w:t xml:space="preserve"> document for some suggested text to include in a procurement policy. </w:t>
      </w:r>
    </w:p>
    <w:p w14:paraId="5C155DD8" w14:textId="77777777" w:rsidR="00E51640" w:rsidRDefault="00E51640" w:rsidP="00E51640">
      <w:r>
        <w:t>You might also consider a dedicated policy on accessible procurement. We have included good examples upon which such a policy could be based in the Resources document in this guide. However, even with a dedicated policy on accessible procurement in place, it is still advisable to include accessibility requirements explicitly in the main procurement policy so that they are seen as equal considerations alongside other criteria such as security and privacy.</w:t>
      </w:r>
    </w:p>
    <w:p w14:paraId="3ABE01E9" w14:textId="77777777" w:rsidR="00E51640" w:rsidRDefault="00E51640" w:rsidP="00E51640">
      <w:r>
        <w:t>Recognise that the average user does not exist except as a statistic, and so trying to obtain equipment for the average user is a fool's errand which will result in more work, equipment not fit for purpose and more expense.</w:t>
      </w:r>
    </w:p>
    <w:p w14:paraId="265C0FCD" w14:textId="3FB9DAF7" w:rsidR="00E51640" w:rsidRDefault="00E51640" w:rsidP="00E51640">
      <w:r>
        <w:t xml:space="preserve">Determine the standards you want to work to: e.g., </w:t>
      </w:r>
      <w:r w:rsidR="004B177D">
        <w:t xml:space="preserve">WCAG </w:t>
      </w:r>
      <w:r w:rsidR="002D680C">
        <w:t xml:space="preserve">or </w:t>
      </w:r>
      <w:r>
        <w:t>AS EN 301 549. You will refer to these in all RFP and contracts.</w:t>
      </w:r>
    </w:p>
    <w:p w14:paraId="77A04DAF" w14:textId="0B816900" w:rsidR="001C20F4" w:rsidRDefault="001C20F4" w:rsidP="00E51640">
      <w:r>
        <w:t>WCAG, the Web Content accessibility Guidelines</w:t>
      </w:r>
      <w:r w:rsidR="003A1009">
        <w:t>,</w:t>
      </w:r>
      <w:r w:rsidR="001E274B">
        <w:t xml:space="preserve"> is the standard that s</w:t>
      </w:r>
      <w:r w:rsidR="00EA0386">
        <w:t>h</w:t>
      </w:r>
      <w:r w:rsidR="001E274B">
        <w:t>ould be applied to all website</w:t>
      </w:r>
      <w:r w:rsidR="00405A6B">
        <w:t xml:space="preserve">s. This includes </w:t>
      </w:r>
      <w:r w:rsidR="00941215">
        <w:t xml:space="preserve">content as well as online services </w:t>
      </w:r>
      <w:r w:rsidR="000B3523">
        <w:t>and</w:t>
      </w:r>
      <w:r w:rsidR="00941215">
        <w:t xml:space="preserve"> applications with browser interfaces</w:t>
      </w:r>
      <w:r w:rsidR="000B3523">
        <w:t>.</w:t>
      </w:r>
      <w:r w:rsidR="00941215">
        <w:t xml:space="preserve"> </w:t>
      </w:r>
    </w:p>
    <w:p w14:paraId="6E98FDB0" w14:textId="696F8DD0" w:rsidR="001E4AEA" w:rsidRDefault="001E4AEA" w:rsidP="00E51640">
      <w:r w:rsidRPr="001E4AEA">
        <w:t>'AS EN 301 549:2020</w:t>
      </w:r>
      <w:r w:rsidR="0008189D">
        <w:t xml:space="preserve"> –</w:t>
      </w:r>
      <w:r w:rsidRPr="001E4AEA">
        <w:t xml:space="preserve"> Accessibility requirements </w:t>
      </w:r>
      <w:r w:rsidR="006C58A0">
        <w:t>for</w:t>
      </w:r>
      <w:r w:rsidRPr="001E4AEA">
        <w:t xml:space="preserve"> ICT products and services' is an Australian Standard which provides functional performance statements and requirements for ICT products and services. It incorporates the Web Content Accessibility Guidelines (WCAG) 2.1 and applies the Guidelines to non-web documents and software. In addition, it </w:t>
      </w:r>
      <w:r w:rsidRPr="001E4AEA">
        <w:lastRenderedPageBreak/>
        <w:t>includes requirements in relation to hardware, two-way voice communication, video, product documentation and support. Test procedures and evaluation methodology are provided for each accessibility requirement.</w:t>
      </w:r>
    </w:p>
    <w:p w14:paraId="377DC50A" w14:textId="77777777" w:rsidR="00E51640" w:rsidRDefault="00E51640" w:rsidP="00E51640">
      <w:r>
        <w:t>Assemble a procurement team which includes accessibility expertise. You'll want their advice and input to the wording of RFPs, contracts etc, and to help evaluate the responses from vendors and negotiations for contracts. Make this a standard part of your procurement process.</w:t>
      </w:r>
    </w:p>
    <w:p w14:paraId="743DFDD9" w14:textId="77777777" w:rsidR="00E51640" w:rsidRDefault="00E51640" w:rsidP="00E51640">
      <w:r>
        <w:t>Include accessibility requirements throughout the RFI, RFP or RFQ. Don't leave accessibility out on its own. Including accessibility references throughout the document sends a message that you're serious about accessibility and you expect the vendor to be, and that you will be paying close attention to how they respond.</w:t>
      </w:r>
    </w:p>
    <w:p w14:paraId="094056F6" w14:textId="77777777" w:rsidR="00E51640" w:rsidRDefault="00E51640" w:rsidP="00E51640">
      <w:r>
        <w:t>Make sure you explain which standards you are expecting the vendor to meet; do not expect them to know. Your vendors may not know about accessibility – you may have to enlighten them.</w:t>
      </w:r>
    </w:p>
    <w:p w14:paraId="0454C8DA" w14:textId="31E084E2" w:rsidR="00E51640" w:rsidRDefault="00E51640" w:rsidP="00E51640">
      <w:r>
        <w:t xml:space="preserve">Highlight your own organisation's commitment to accessibility and to </w:t>
      </w:r>
      <w:r w:rsidR="00C1400C">
        <w:t xml:space="preserve">human rights by </w:t>
      </w:r>
      <w:r>
        <w:t xml:space="preserve">design so that your systems are </w:t>
      </w:r>
      <w:r w:rsidR="00C1400C">
        <w:t xml:space="preserve">inclusive and </w:t>
      </w:r>
      <w:r>
        <w:t>accessible to disabled people.</w:t>
      </w:r>
    </w:p>
    <w:p w14:paraId="43AA107D" w14:textId="77777777" w:rsidR="00E51640" w:rsidRDefault="00E51640" w:rsidP="00E51640">
      <w:r>
        <w:t>And of critical importance: walk the talk. Ensure that your own RFI/RFP/RFQ documentation is itself accessible. If it isn't, you're sending a clear message to the vendors that you're not that serious.</w:t>
      </w:r>
    </w:p>
    <w:p w14:paraId="6E475536" w14:textId="7BBCED47" w:rsidR="00E51640" w:rsidRDefault="00E51640" w:rsidP="00E51640">
      <w:r>
        <w:t>Ensure accessibility-related criteria are clearly included in the Requirements section of your RFI/RFP/RFQ.</w:t>
      </w:r>
      <w:r w:rsidR="009C32A4" w:rsidRPr="009C32A4">
        <w:t xml:space="preserve"> </w:t>
      </w:r>
      <w:r w:rsidR="009C32A4">
        <w:t xml:space="preserve">Use one of the suggested samples of text in the </w:t>
      </w:r>
      <w:r w:rsidR="00713FCD">
        <w:t>‘</w:t>
      </w:r>
      <w:r w:rsidR="009C32A4" w:rsidRPr="00FE5C76">
        <w:rPr>
          <w:b/>
          <w:bCs/>
        </w:rPr>
        <w:t>Clause Bank</w:t>
      </w:r>
      <w:r w:rsidR="00713FCD">
        <w:t>’</w:t>
      </w:r>
      <w:r w:rsidR="009C32A4" w:rsidRPr="00713FCD">
        <w:t xml:space="preserve"> document</w:t>
      </w:r>
      <w:r w:rsidR="009C32A4">
        <w:t xml:space="preserve"> to make your expectations clear</w:t>
      </w:r>
      <w:r w:rsidR="00AF6ACD">
        <w:t>.</w:t>
      </w:r>
    </w:p>
    <w:p w14:paraId="673AD52B" w14:textId="77777777" w:rsidR="00AF6ACD" w:rsidRDefault="00AF6ACD" w:rsidP="00AF6ACD">
      <w:r>
        <w:t>Ensure that you clearly state that the accessibility criteria will be closely examined during the evaluation stage.</w:t>
      </w:r>
    </w:p>
    <w:p w14:paraId="419CF599" w14:textId="623C92BB" w:rsidR="00E51640" w:rsidRDefault="00E51640" w:rsidP="00E51640">
      <w:r>
        <w:t>Use the suggested questions</w:t>
      </w:r>
      <w:r w:rsidR="0006045A">
        <w:t xml:space="preserve"> described</w:t>
      </w:r>
      <w:r>
        <w:t xml:space="preserve"> </w:t>
      </w:r>
      <w:r w:rsidR="001B2840">
        <w:t>elsewhere</w:t>
      </w:r>
      <w:r w:rsidR="008B6DE2">
        <w:t xml:space="preserve"> </w:t>
      </w:r>
      <w:r w:rsidR="00697A7F">
        <w:t>in this guide</w:t>
      </w:r>
      <w:r>
        <w:t xml:space="preserve"> </w:t>
      </w:r>
      <w:r w:rsidR="001B2840">
        <w:t>(</w:t>
      </w:r>
      <w:r w:rsidR="00EB7F7C">
        <w:t xml:space="preserve">see </w:t>
      </w:r>
      <w:r w:rsidR="00A159B8">
        <w:t xml:space="preserve">document </w:t>
      </w:r>
      <w:r w:rsidR="00630281">
        <w:t>entitled</w:t>
      </w:r>
      <w:r w:rsidR="00A159B8">
        <w:t xml:space="preserve"> “</w:t>
      </w:r>
      <w:r w:rsidR="00630281" w:rsidRPr="00CE6820">
        <w:rPr>
          <w:b/>
          <w:bCs/>
        </w:rPr>
        <w:t>Accessibility</w:t>
      </w:r>
      <w:r w:rsidR="00F3451A" w:rsidRPr="00CE6820">
        <w:rPr>
          <w:b/>
          <w:bCs/>
        </w:rPr>
        <w:t xml:space="preserve"> Procurement Questions</w:t>
      </w:r>
      <w:r w:rsidR="00F3451A">
        <w:t>”)</w:t>
      </w:r>
      <w:r>
        <w:t xml:space="preserve"> to ensure you get the responses you need to make an informed assessment of vendors’ approach to accessibility.</w:t>
      </w:r>
    </w:p>
    <w:p w14:paraId="1FE6AEFC" w14:textId="77777777" w:rsidR="00E51640" w:rsidRDefault="00E51640" w:rsidP="00E51640">
      <w:r>
        <w:t>It is imperative that the responses made by vendors to questions concerning digital accessibility are appropriately evaluated by the procurement team. To that end, it is best practice to ensure that subject matter personnel are included and that vendors understand that this is the university’s practice.</w:t>
      </w:r>
    </w:p>
    <w:p w14:paraId="6FD3C359" w14:textId="77777777" w:rsidR="00E51640" w:rsidRDefault="00E51640" w:rsidP="00E51640">
      <w:r>
        <w:t>Information from the vendor should include:</w:t>
      </w:r>
    </w:p>
    <w:p w14:paraId="29FA2A50" w14:textId="64A46A64" w:rsidR="00E51640" w:rsidRDefault="00E51640" w:rsidP="00551F93">
      <w:pPr>
        <w:pStyle w:val="ListBullet"/>
        <w:numPr>
          <w:ilvl w:val="0"/>
          <w:numId w:val="34"/>
        </w:numPr>
      </w:pPr>
      <w:r>
        <w:t>Accessibility test results including automated and manual testing as well as usability testing</w:t>
      </w:r>
      <w:r w:rsidR="00CE6820">
        <w:rPr>
          <w:rStyle w:val="FootnoteReference"/>
        </w:rPr>
        <w:footnoteReference w:id="4"/>
      </w:r>
      <w:r>
        <w:t>.</w:t>
      </w:r>
    </w:p>
    <w:p w14:paraId="7D361800" w14:textId="77777777" w:rsidR="00E51640" w:rsidRDefault="00E51640" w:rsidP="00551F93">
      <w:pPr>
        <w:pStyle w:val="ListBullet"/>
        <w:numPr>
          <w:ilvl w:val="0"/>
          <w:numId w:val="34"/>
        </w:numPr>
      </w:pPr>
      <w:r>
        <w:t>Documentation of features provided to help achieve accessibility and usability for persons with disability.</w:t>
      </w:r>
    </w:p>
    <w:p w14:paraId="1F43A925" w14:textId="77777777" w:rsidR="00E51640" w:rsidRDefault="00E51640" w:rsidP="00551F93">
      <w:pPr>
        <w:pStyle w:val="ListBullet"/>
        <w:numPr>
          <w:ilvl w:val="0"/>
          <w:numId w:val="34"/>
        </w:numPr>
      </w:pPr>
      <w:r>
        <w:lastRenderedPageBreak/>
        <w:t>Documentation of core functions that cannot be accessed by persons with disability.</w:t>
      </w:r>
    </w:p>
    <w:p w14:paraId="01BCAEB6" w14:textId="77777777" w:rsidR="00E51640" w:rsidRDefault="00E51640" w:rsidP="00551F93">
      <w:pPr>
        <w:pStyle w:val="ListBullet"/>
        <w:numPr>
          <w:ilvl w:val="0"/>
          <w:numId w:val="34"/>
        </w:numPr>
      </w:pPr>
      <w:r>
        <w:t>Documentation on how to install, activate and configure the ICT item to support accessibility.</w:t>
      </w:r>
    </w:p>
    <w:p w14:paraId="3E872D6C" w14:textId="1E856894" w:rsidR="00E51640" w:rsidRDefault="00E51640" w:rsidP="00E51640">
      <w:r>
        <w:t xml:space="preserve">When an ICT </w:t>
      </w:r>
      <w:r w:rsidR="00286247">
        <w:t>product</w:t>
      </w:r>
      <w:r>
        <w:t xml:space="preserve"> is an authoring tool that generates content (including documents, reports, videos, multimedia productions, web content, etc.), the vendor should provide information on how the </w:t>
      </w:r>
      <w:r w:rsidR="00613CCC">
        <w:t>product</w:t>
      </w:r>
      <w:r>
        <w:t xml:space="preserve"> enables the creation of accessible electronic content which itself conforms to WCAG or AS EN 301 549, including the range of accessible user interface elements the tool can create. </w:t>
      </w:r>
      <w:r w:rsidR="00D34C45">
        <w:t>An</w:t>
      </w:r>
      <w:r>
        <w:t xml:space="preserve"> authoring tool also needs to be accessible to people creating the content and hence conform to the Authoring Tool Accessibility Guidelines</w:t>
      </w:r>
      <w:r w:rsidR="00613CCC">
        <w:t xml:space="preserve"> (ATAG</w:t>
      </w:r>
      <w:r>
        <w:rPr>
          <w:rStyle w:val="FootnoteReference"/>
        </w:rPr>
        <w:footnoteReference w:id="5"/>
      </w:r>
      <w:r w:rsidR="00613CCC">
        <w:t>)</w:t>
      </w:r>
      <w:r>
        <w:t>.</w:t>
      </w:r>
    </w:p>
    <w:p w14:paraId="62E64FA4" w14:textId="3DC27234" w:rsidR="00E51640" w:rsidRDefault="00E51640" w:rsidP="00E51640">
      <w:r>
        <w:t xml:space="preserve">Prospective vendors should understand that, before final acceptance, the preferred vendor will be expected to provide a fully working demonstration of the completed ICT Item to validate conformance to the institution’s accessibility requirements. The demonstration </w:t>
      </w:r>
      <w:r w:rsidR="0041056C">
        <w:t>should</w:t>
      </w:r>
      <w:r>
        <w:t xml:space="preserve"> expose where such conformance is and is not achieved.</w:t>
      </w:r>
    </w:p>
    <w:p w14:paraId="388A3B64" w14:textId="77777777" w:rsidR="00E51640" w:rsidRDefault="00E51640" w:rsidP="00E51640">
      <w:pPr>
        <w:pStyle w:val="Heading3"/>
      </w:pPr>
      <w:bookmarkStart w:id="15" w:name="_Toc110437957"/>
      <w:r>
        <w:t>Roadmap to accessibility</w:t>
      </w:r>
      <w:bookmarkEnd w:id="15"/>
    </w:p>
    <w:p w14:paraId="2A154BFD" w14:textId="47D4A6AB" w:rsidR="00E51640" w:rsidRDefault="00E51640" w:rsidP="00E51640">
      <w:r>
        <w:t xml:space="preserve">It is quite possible that vendors will either not be, or will not yet be, able to provide a product which meets your accessibility requirements. While we would strongly urge that accessibility is an </w:t>
      </w:r>
      <w:proofErr w:type="gramStart"/>
      <w:r>
        <w:t>essential criteria</w:t>
      </w:r>
      <w:proofErr w:type="gramEnd"/>
      <w:r>
        <w:t xml:space="preserve"> when selecting a vendor, there will be times when the other business priorities mean that it may be advantageous to seek a roadmap by which the vendor intends to make their product compliant with your accessibility requirements. Requiring a roadmap also provides an opportunity to discuss with the vendor how temporary </w:t>
      </w:r>
      <w:proofErr w:type="gramStart"/>
      <w:r>
        <w:t>work-arounds</w:t>
      </w:r>
      <w:proofErr w:type="gramEnd"/>
      <w:r>
        <w:t xml:space="preserve"> will be put in place while the product is being made accessible. It will also ensure that the vendor stays true to any commitments they have made in order to win the contract.</w:t>
      </w:r>
      <w:r w:rsidR="006173AC">
        <w:t xml:space="preserve"> </w:t>
      </w:r>
      <w:r w:rsidR="007A2AEF">
        <w:t>Ensure that a named person</w:t>
      </w:r>
      <w:r w:rsidR="000D58DA">
        <w:t xml:space="preserve">, maybe </w:t>
      </w:r>
      <w:r w:rsidR="008D3659">
        <w:t>someone</w:t>
      </w:r>
      <w:r w:rsidR="000D58DA">
        <w:t xml:space="preserve"> from the Steering Committee if your </w:t>
      </w:r>
      <w:r w:rsidR="008D3659">
        <w:t>university</w:t>
      </w:r>
      <w:r w:rsidR="000D58DA">
        <w:t xml:space="preserve"> has one,</w:t>
      </w:r>
      <w:r w:rsidR="007A2AEF">
        <w:t xml:space="preserve"> is given responsibility </w:t>
      </w:r>
      <w:r w:rsidR="00836BC3">
        <w:t>to confirm</w:t>
      </w:r>
      <w:r w:rsidR="007A2AEF">
        <w:t xml:space="preserve"> that</w:t>
      </w:r>
      <w:r w:rsidR="002072CD">
        <w:t xml:space="preserve"> commitments made by the vendor are followed up and implemented. </w:t>
      </w:r>
    </w:p>
    <w:p w14:paraId="0E10E887" w14:textId="77777777" w:rsidR="00E51640" w:rsidRDefault="00E51640" w:rsidP="00E51640">
      <w:r>
        <w:t>Remember this will also protect the institution. It will show that the institution continues to take its own commitments to accessibility seriously, and will provide it with documentary evidence that it is making efforts to bring ICT which it is procuring in line with accessibility standards.</w:t>
      </w:r>
    </w:p>
    <w:p w14:paraId="78B0F491" w14:textId="1A0D8A21" w:rsidR="00634207" w:rsidRDefault="00FF7AA3" w:rsidP="00E51640">
      <w:r>
        <w:t>Accessibility</w:t>
      </w:r>
      <w:r w:rsidR="00DC7C35">
        <w:t xml:space="preserve"> r</w:t>
      </w:r>
      <w:r w:rsidR="00634207">
        <w:t xml:space="preserve">emediation involves several </w:t>
      </w:r>
      <w:r w:rsidR="00DC7C35">
        <w:t>steps</w:t>
      </w:r>
      <w:r w:rsidR="00634207">
        <w:t>:</w:t>
      </w:r>
    </w:p>
    <w:p w14:paraId="5A1212DD" w14:textId="3482AE89" w:rsidR="00634207" w:rsidRDefault="00634207" w:rsidP="00353A8E">
      <w:pPr>
        <w:pStyle w:val="ListParagraph"/>
        <w:numPr>
          <w:ilvl w:val="0"/>
          <w:numId w:val="37"/>
        </w:numPr>
      </w:pPr>
      <w:r>
        <w:t>Conducting an audit of the product</w:t>
      </w:r>
    </w:p>
    <w:p w14:paraId="146E8435" w14:textId="0D29A848" w:rsidR="0075081B" w:rsidRDefault="0075081B" w:rsidP="00353A8E">
      <w:pPr>
        <w:pStyle w:val="ListParagraph"/>
        <w:numPr>
          <w:ilvl w:val="0"/>
          <w:numId w:val="37"/>
        </w:numPr>
      </w:pPr>
      <w:r>
        <w:t>Logging and tracking defects</w:t>
      </w:r>
    </w:p>
    <w:p w14:paraId="3574AED7" w14:textId="1EBB72E8" w:rsidR="0028410A" w:rsidRDefault="00566167" w:rsidP="00353A8E">
      <w:pPr>
        <w:pStyle w:val="ListParagraph"/>
        <w:numPr>
          <w:ilvl w:val="0"/>
          <w:numId w:val="37"/>
        </w:numPr>
      </w:pPr>
      <w:r>
        <w:t>Prioritise</w:t>
      </w:r>
      <w:r w:rsidR="0028410A">
        <w:t xml:space="preserve"> </w:t>
      </w:r>
      <w:r w:rsidR="00DE06FA">
        <w:t xml:space="preserve">the defects </w:t>
      </w:r>
      <w:r w:rsidR="00597386">
        <w:t xml:space="preserve">of </w:t>
      </w:r>
      <w:r w:rsidR="00E76F5F">
        <w:t>remediation</w:t>
      </w:r>
    </w:p>
    <w:p w14:paraId="3C8FACEC" w14:textId="1D0E4775" w:rsidR="00E76F5F" w:rsidRDefault="00B7621A" w:rsidP="005A33B2">
      <w:pPr>
        <w:pStyle w:val="ListParagraph"/>
        <w:numPr>
          <w:ilvl w:val="1"/>
          <w:numId w:val="37"/>
        </w:numPr>
      </w:pPr>
      <w:r>
        <w:t>This will depend on severity</w:t>
      </w:r>
      <w:r w:rsidR="00566167">
        <w:t>, impact and number of people affected</w:t>
      </w:r>
    </w:p>
    <w:p w14:paraId="6CE22A2F" w14:textId="75C3D519" w:rsidR="00634207" w:rsidRDefault="00634207" w:rsidP="00353A8E">
      <w:pPr>
        <w:pStyle w:val="ListParagraph"/>
        <w:numPr>
          <w:ilvl w:val="0"/>
          <w:numId w:val="37"/>
        </w:numPr>
      </w:pPr>
      <w:r>
        <w:t>Establishing a remediation timeline</w:t>
      </w:r>
    </w:p>
    <w:p w14:paraId="74D30C6D" w14:textId="0E199B10" w:rsidR="00634207" w:rsidRDefault="00634207" w:rsidP="00353A8E">
      <w:pPr>
        <w:pStyle w:val="ListParagraph"/>
        <w:numPr>
          <w:ilvl w:val="0"/>
          <w:numId w:val="37"/>
        </w:numPr>
      </w:pPr>
      <w:r>
        <w:t>Identifying possible workarounds</w:t>
      </w:r>
    </w:p>
    <w:p w14:paraId="2704B8B6" w14:textId="77777777" w:rsidR="000E1650" w:rsidRDefault="000E1650" w:rsidP="00353A8E">
      <w:pPr>
        <w:pStyle w:val="ListParagraph"/>
        <w:numPr>
          <w:ilvl w:val="0"/>
          <w:numId w:val="37"/>
        </w:numPr>
      </w:pPr>
      <w:r>
        <w:lastRenderedPageBreak/>
        <w:t>Fixing the defects</w:t>
      </w:r>
    </w:p>
    <w:p w14:paraId="3AD646B0" w14:textId="48BD737F" w:rsidR="00634207" w:rsidRDefault="0075081B" w:rsidP="00353A8E">
      <w:pPr>
        <w:pStyle w:val="ListParagraph"/>
        <w:numPr>
          <w:ilvl w:val="0"/>
          <w:numId w:val="37"/>
        </w:numPr>
      </w:pPr>
      <w:r>
        <w:t>Releasing updates</w:t>
      </w:r>
    </w:p>
    <w:p w14:paraId="42BCB138" w14:textId="3D098CF1" w:rsidR="0075081B" w:rsidRDefault="00813757" w:rsidP="0075081B">
      <w:r>
        <w:t xml:space="preserve">Each of these </w:t>
      </w:r>
      <w:r w:rsidR="00DC7C35">
        <w:t>steps</w:t>
      </w:r>
      <w:r>
        <w:t xml:space="preserve"> takes time. The </w:t>
      </w:r>
      <w:r w:rsidR="008717DE">
        <w:t>fewer</w:t>
      </w:r>
      <w:r>
        <w:t xml:space="preserve"> </w:t>
      </w:r>
      <w:r w:rsidR="00DC7C35">
        <w:t>steps</w:t>
      </w:r>
      <w:r>
        <w:t xml:space="preserve"> that a vendor has undertaken, the longer it will take to deliver an accessible product, </w:t>
      </w:r>
    </w:p>
    <w:p w14:paraId="39B53EB0" w14:textId="121A6EB7" w:rsidR="00E51640" w:rsidRDefault="00306D05" w:rsidP="00E51640">
      <w:r>
        <w:t>S</w:t>
      </w:r>
      <w:r w:rsidR="007865AF">
        <w:t xml:space="preserve">ee </w:t>
      </w:r>
      <w:r w:rsidR="008335E7" w:rsidRPr="00DA0EF4">
        <w:rPr>
          <w:u w:val="single"/>
        </w:rPr>
        <w:fldChar w:fldCharType="begin"/>
      </w:r>
      <w:r w:rsidR="008335E7" w:rsidRPr="00DA0EF4">
        <w:rPr>
          <w:u w:val="single"/>
        </w:rPr>
        <w:instrText xml:space="preserve"> REF _Ref115341518 \h </w:instrText>
      </w:r>
      <w:r w:rsidR="00DA0EF4">
        <w:rPr>
          <w:u w:val="single"/>
        </w:rPr>
        <w:instrText xml:space="preserve"> \* MERGEFORMAT </w:instrText>
      </w:r>
      <w:r w:rsidR="008335E7" w:rsidRPr="00DA0EF4">
        <w:rPr>
          <w:u w:val="single"/>
        </w:rPr>
      </w:r>
      <w:r w:rsidR="008335E7" w:rsidRPr="00DA0EF4">
        <w:rPr>
          <w:u w:val="single"/>
        </w:rPr>
        <w:fldChar w:fldCharType="separate"/>
      </w:r>
      <w:r w:rsidR="008335E7" w:rsidRPr="00DA0EF4">
        <w:rPr>
          <w:u w:val="single"/>
        </w:rPr>
        <w:t>Further reading</w:t>
      </w:r>
      <w:r w:rsidR="008335E7" w:rsidRPr="00DA0EF4">
        <w:rPr>
          <w:u w:val="single"/>
        </w:rPr>
        <w:fldChar w:fldCharType="end"/>
      </w:r>
      <w:r w:rsidR="00DA0EF4">
        <w:t xml:space="preserve"> </w:t>
      </w:r>
      <w:r w:rsidR="007865AF">
        <w:t xml:space="preserve">for </w:t>
      </w:r>
      <w:r w:rsidR="000E1650">
        <w:t>examples. There</w:t>
      </w:r>
      <w:r w:rsidR="00E51640">
        <w:t xml:space="preserve"> is an excellent example of an Accessibility Roadmap template</w:t>
      </w:r>
      <w:r w:rsidR="00E51640">
        <w:rPr>
          <w:rStyle w:val="FootnoteReference"/>
        </w:rPr>
        <w:footnoteReference w:id="6"/>
      </w:r>
      <w:r w:rsidR="00E51640">
        <w:t xml:space="preserve"> at the California State University Accessible Technology Initiative.</w:t>
      </w:r>
    </w:p>
    <w:p w14:paraId="7932AFE3" w14:textId="0272FA67" w:rsidR="00E51640" w:rsidRDefault="00E51640" w:rsidP="00E51640">
      <w:pPr>
        <w:pStyle w:val="Heading2"/>
      </w:pPr>
      <w:bookmarkStart w:id="16" w:name="_Toc110437958"/>
      <w:r>
        <w:t>Evaluation process</w:t>
      </w:r>
      <w:bookmarkEnd w:id="16"/>
    </w:p>
    <w:p w14:paraId="2892A262" w14:textId="32309A83" w:rsidR="00E51640" w:rsidRDefault="00E51640" w:rsidP="00E51640">
      <w:r>
        <w:t xml:space="preserve">It is extremely important to evaluate vendors’ accessibility-related claims. This is because it is probable that the procurement team will not necessarily be accessibility experts. And the vendor may or may not have been accurate with their assessments. This could be because they genuinely do not have the expertise, or because they want to ‘over-egg their accessibility pudding’. </w:t>
      </w:r>
    </w:p>
    <w:p w14:paraId="1C6C5A74" w14:textId="0D56ACD8" w:rsidR="00E51640" w:rsidRDefault="00E51640" w:rsidP="00E51640">
      <w:r>
        <w:t>Assemble a team which includes digital accessibility subject matter experts. They should be capable of assessing the vendors' Accessibility Conformance Report</w:t>
      </w:r>
      <w:r>
        <w:rPr>
          <w:rStyle w:val="FootnoteReference"/>
        </w:rPr>
        <w:footnoteReference w:id="7"/>
      </w:r>
      <w:r>
        <w:t xml:space="preserve"> (if they have completed one, and you should ask them to do so in the RFP/RFQ process). You can also seek the advice of an external expert if you do not have </w:t>
      </w:r>
      <w:r w:rsidR="0048326C">
        <w:t xml:space="preserve">sufficient expertise </w:t>
      </w:r>
      <w:r>
        <w:t xml:space="preserve">in-house.  </w:t>
      </w:r>
    </w:p>
    <w:p w14:paraId="03D6C73F" w14:textId="77777777" w:rsidR="00E51640" w:rsidRDefault="00E51640" w:rsidP="00E51640">
      <w:r>
        <w:t xml:space="preserve">Vendors who appear to have met digital accessibility requirements should be questioned the same way vendors are evaluated for security and privacy issues. Digital accessibility should be seen as part of digital hygiene in the same way as they are. </w:t>
      </w:r>
    </w:p>
    <w:p w14:paraId="61A66AB7" w14:textId="77777777" w:rsidR="00E51640" w:rsidRDefault="00E51640" w:rsidP="00E51640">
      <w:r>
        <w:t xml:space="preserve">You need to satisfy yourself that they can demonstrate their product is accessible. </w:t>
      </w:r>
    </w:p>
    <w:p w14:paraId="4858DC7A" w14:textId="77777777" w:rsidR="00E51640" w:rsidRDefault="00E51640" w:rsidP="00E51640">
      <w:pPr>
        <w:pStyle w:val="ListParagraph"/>
        <w:numPr>
          <w:ilvl w:val="0"/>
          <w:numId w:val="33"/>
        </w:numPr>
      </w:pPr>
      <w:r>
        <w:t xml:space="preserve">On which tests and standards do they base their response? </w:t>
      </w:r>
    </w:p>
    <w:p w14:paraId="140F00AD" w14:textId="77777777" w:rsidR="00E51640" w:rsidRDefault="00E51640" w:rsidP="00E51640">
      <w:pPr>
        <w:pStyle w:val="ListParagraph"/>
        <w:numPr>
          <w:ilvl w:val="0"/>
          <w:numId w:val="33"/>
        </w:numPr>
      </w:pPr>
      <w:r>
        <w:t>Will they share test results with you?</w:t>
      </w:r>
    </w:p>
    <w:p w14:paraId="1E99A3D9" w14:textId="6685B157" w:rsidR="00E51640" w:rsidRDefault="00E51640" w:rsidP="00E51640">
      <w:r>
        <w:t xml:space="preserve">Pay close attention to the language they have used in Accessibility Conformance Reports </w:t>
      </w:r>
      <w:r w:rsidR="00D514D5">
        <w:t>(from</w:t>
      </w:r>
      <w:r>
        <w:t xml:space="preserve"> VPATs</w:t>
      </w:r>
      <w:r w:rsidR="00D514D5">
        <w:t>).</w:t>
      </w:r>
      <w:r>
        <w:t xml:space="preserve"> </w:t>
      </w:r>
    </w:p>
    <w:p w14:paraId="072F7BC0" w14:textId="628EFE95" w:rsidR="00E51640" w:rsidRDefault="00E51640" w:rsidP="00E51640">
      <w:r>
        <w:t xml:space="preserve">It is important to read and understand what the vendor is saying in these documents. Take careful note how they answer specific questions. Providing an accessible online option is not the same as requiring a user to contact you by phone for example. If they are relying on alternative </w:t>
      </w:r>
      <w:r w:rsidR="00E46A93">
        <w:t>means,</w:t>
      </w:r>
      <w:r>
        <w:t xml:space="preserve"> then they should say so.</w:t>
      </w:r>
    </w:p>
    <w:p w14:paraId="30C60732" w14:textId="51318CAC" w:rsidR="00E51640" w:rsidRDefault="00E51640" w:rsidP="00E51640">
      <w:r>
        <w:t xml:space="preserve">A partially met criteria means that some aspect of the criteria has not been met, and you need to determine whether that is important to your </w:t>
      </w:r>
      <w:r w:rsidR="00392EF4">
        <w:t>institution</w:t>
      </w:r>
      <w:r w:rsidR="0036386F">
        <w:t xml:space="preserve"> </w:t>
      </w:r>
      <w:r>
        <w:t>in this instance.</w:t>
      </w:r>
    </w:p>
    <w:p w14:paraId="09BD0A54" w14:textId="69094B30" w:rsidR="003E7356" w:rsidRDefault="0045444D" w:rsidP="00E51640">
      <w:r>
        <w:t>De</w:t>
      </w:r>
      <w:r w:rsidR="003E7356">
        <w:t xml:space="preserve">pending on the </w:t>
      </w:r>
      <w:r>
        <w:t>risk level and the responses you’ve received to your accessibility questions</w:t>
      </w:r>
      <w:r w:rsidR="00F01C5B">
        <w:t xml:space="preserve"> it could also be necessary to undertake</w:t>
      </w:r>
      <w:r w:rsidR="00B51ABE">
        <w:t xml:space="preserve"> in-house testing of the claims. T</w:t>
      </w:r>
      <w:r w:rsidR="00955B0B">
        <w:t>h</w:t>
      </w:r>
      <w:r w:rsidR="00B51ABE">
        <w:t>is</w:t>
      </w:r>
      <w:r w:rsidR="00955B0B">
        <w:t xml:space="preserve"> would </w:t>
      </w:r>
      <w:r w:rsidR="00955B0B">
        <w:lastRenderedPageBreak/>
        <w:t>likely be</w:t>
      </w:r>
      <w:r w:rsidR="00F01C5B">
        <w:t xml:space="preserve"> </w:t>
      </w:r>
      <w:r w:rsidR="00291207">
        <w:t xml:space="preserve">a technical </w:t>
      </w:r>
      <w:r w:rsidR="000E601F">
        <w:t>accessibility audit against the</w:t>
      </w:r>
      <w:r w:rsidR="00487AFB">
        <w:t xml:space="preserve"> appropriate standard</w:t>
      </w:r>
      <w:r w:rsidR="000E601F">
        <w:t xml:space="preserve"> and some usability testing</w:t>
      </w:r>
      <w:r w:rsidR="00487AFB">
        <w:t xml:space="preserve"> with staff or students with disability that might be using the </w:t>
      </w:r>
      <w:r w:rsidR="00B51ABE">
        <w:t xml:space="preserve">ICT </w:t>
      </w:r>
      <w:r w:rsidR="00487AFB">
        <w:t>produc</w:t>
      </w:r>
      <w:r w:rsidR="00B51ABE">
        <w:t>t or service.</w:t>
      </w:r>
    </w:p>
    <w:p w14:paraId="17D9EEC1" w14:textId="14CAE634" w:rsidR="00E51640" w:rsidRDefault="00E51640" w:rsidP="00E51640">
      <w:pPr>
        <w:pStyle w:val="Heading2"/>
      </w:pPr>
      <w:bookmarkStart w:id="17" w:name="_Toc110437959"/>
      <w:r>
        <w:t xml:space="preserve">Digital Accessibility should be </w:t>
      </w:r>
      <w:r w:rsidR="00362081">
        <w:t>part of</w:t>
      </w:r>
      <w:r>
        <w:t xml:space="preserve"> the Contract</w:t>
      </w:r>
      <w:bookmarkEnd w:id="17"/>
    </w:p>
    <w:p w14:paraId="1EA921CE" w14:textId="77777777" w:rsidR="00E51640" w:rsidRDefault="00E51640" w:rsidP="00E51640">
      <w:r>
        <w:t xml:space="preserve">Once a vendor is identified that can meet other criteria and deliver an accessible product, accessibility details should be clearly set down in the contract. </w:t>
      </w:r>
    </w:p>
    <w:p w14:paraId="59829E72" w14:textId="1DDA8257" w:rsidR="00E51640" w:rsidRDefault="007C057A" w:rsidP="00E51640">
      <w:pPr>
        <w:pStyle w:val="ListParagraph"/>
        <w:numPr>
          <w:ilvl w:val="0"/>
          <w:numId w:val="32"/>
        </w:numPr>
      </w:pPr>
      <w:r>
        <w:t xml:space="preserve">State </w:t>
      </w:r>
      <w:r w:rsidR="00E51640">
        <w:t>the accessibility standard (e.g., AS EN 301</w:t>
      </w:r>
      <w:r>
        <w:t xml:space="preserve"> </w:t>
      </w:r>
      <w:r w:rsidR="00E51640">
        <w:t>549</w:t>
      </w:r>
      <w:r>
        <w:t>:2020</w:t>
      </w:r>
      <w:r w:rsidR="00E51640">
        <w:t xml:space="preserve"> or WCAG 2.1 Level AA</w:t>
      </w:r>
      <w:proofErr w:type="gramStart"/>
      <w:r w:rsidR="00E51640">
        <w:t>);</w:t>
      </w:r>
      <w:proofErr w:type="gramEnd"/>
    </w:p>
    <w:p w14:paraId="0305679D" w14:textId="06ED67B3" w:rsidR="00E51640" w:rsidRDefault="007C057A" w:rsidP="00E51640">
      <w:pPr>
        <w:pStyle w:val="ListParagraph"/>
        <w:numPr>
          <w:ilvl w:val="0"/>
          <w:numId w:val="32"/>
        </w:numPr>
      </w:pPr>
      <w:r>
        <w:t xml:space="preserve">State </w:t>
      </w:r>
      <w:r w:rsidR="00E51640">
        <w:t xml:space="preserve">how and when the technology will be </w:t>
      </w:r>
      <w:proofErr w:type="gramStart"/>
      <w:r w:rsidR="00E51640">
        <w:t>tested;</w:t>
      </w:r>
      <w:proofErr w:type="gramEnd"/>
    </w:p>
    <w:p w14:paraId="0164B09B" w14:textId="65D927A3" w:rsidR="00E51640" w:rsidRDefault="007C057A" w:rsidP="00E51640">
      <w:pPr>
        <w:pStyle w:val="ListParagraph"/>
        <w:numPr>
          <w:ilvl w:val="0"/>
          <w:numId w:val="32"/>
        </w:numPr>
      </w:pPr>
      <w:r>
        <w:t xml:space="preserve">Hold </w:t>
      </w:r>
      <w:r w:rsidR="00E51640">
        <w:t xml:space="preserve">the vendor responsible if the product turns out not to be accessible by requiring the vendor to remediate problems or deliver a new product. </w:t>
      </w:r>
    </w:p>
    <w:p w14:paraId="0ED7D121" w14:textId="77777777" w:rsidR="00E51640" w:rsidRDefault="00E51640" w:rsidP="00E51640">
      <w:pPr>
        <w:pStyle w:val="ListParagraph"/>
        <w:numPr>
          <w:ilvl w:val="1"/>
          <w:numId w:val="32"/>
        </w:numPr>
      </w:pPr>
      <w:r>
        <w:t>Part payment may be withheld until you are satisfied.</w:t>
      </w:r>
    </w:p>
    <w:p w14:paraId="087E868C" w14:textId="1CBFAFD8" w:rsidR="00E51640" w:rsidRDefault="007C057A" w:rsidP="00E51640">
      <w:pPr>
        <w:pStyle w:val="ListParagraph"/>
        <w:numPr>
          <w:ilvl w:val="0"/>
          <w:numId w:val="32"/>
        </w:numPr>
      </w:pPr>
      <w:r>
        <w:t xml:space="preserve">Indicate </w:t>
      </w:r>
      <w:r w:rsidR="00E51640">
        <w:t>the acceptable turn-around time for addressing any accessibility issues</w:t>
      </w:r>
    </w:p>
    <w:p w14:paraId="78FC6BF9" w14:textId="5686DE85" w:rsidR="00E51640" w:rsidRDefault="007C057A" w:rsidP="00E51640">
      <w:pPr>
        <w:pStyle w:val="ListParagraph"/>
        <w:numPr>
          <w:ilvl w:val="0"/>
          <w:numId w:val="32"/>
        </w:numPr>
      </w:pPr>
      <w:r>
        <w:t xml:space="preserve">Ensure </w:t>
      </w:r>
      <w:r w:rsidR="00E51640">
        <w:t>that the contract requires the vendor to remedy any accessibility issues which may be discovered within a reasonable period after signing. This is particularly important since it may be that some accessibility barriers may not be discovered immediately</w:t>
      </w:r>
    </w:p>
    <w:p w14:paraId="3F4E927E" w14:textId="78B4E34F" w:rsidR="00AB3670" w:rsidRDefault="007C057A" w:rsidP="00E51640">
      <w:pPr>
        <w:pStyle w:val="ListParagraph"/>
        <w:numPr>
          <w:ilvl w:val="0"/>
          <w:numId w:val="32"/>
        </w:numPr>
      </w:pPr>
      <w:r>
        <w:t xml:space="preserve">Ensure </w:t>
      </w:r>
      <w:r w:rsidR="00697B38">
        <w:t xml:space="preserve">that specific people </w:t>
      </w:r>
      <w:r w:rsidR="00DC5663">
        <w:t>or roles</w:t>
      </w:r>
      <w:r w:rsidR="00697B38">
        <w:t xml:space="preserve"> </w:t>
      </w:r>
      <w:r w:rsidR="00045443">
        <w:t xml:space="preserve">in both parties </w:t>
      </w:r>
      <w:r w:rsidR="00697B38">
        <w:t xml:space="preserve">are identified </w:t>
      </w:r>
      <w:r w:rsidR="00E10B6F">
        <w:t xml:space="preserve">who will </w:t>
      </w:r>
      <w:r w:rsidR="004F08EE">
        <w:t xml:space="preserve">take </w:t>
      </w:r>
      <w:r w:rsidR="00E10B6F">
        <w:t>responsib</w:t>
      </w:r>
      <w:r w:rsidR="004F08EE">
        <w:t>ility</w:t>
      </w:r>
      <w:r w:rsidR="00E10B6F">
        <w:t xml:space="preserve"> for </w:t>
      </w:r>
      <w:r w:rsidR="000564E0">
        <w:t>the implementation of accessibility</w:t>
      </w:r>
      <w:r w:rsidR="002A4A4E">
        <w:t xml:space="preserve"> once the contract has been signed</w:t>
      </w:r>
      <w:r w:rsidR="00045443">
        <w:t>.</w:t>
      </w:r>
    </w:p>
    <w:p w14:paraId="721C530C" w14:textId="33CCB63B" w:rsidR="007944EF" w:rsidRDefault="009B5C95" w:rsidP="007944EF">
      <w:pPr>
        <w:pStyle w:val="Heading2"/>
      </w:pPr>
      <w:bookmarkStart w:id="18" w:name="_Toc110437960"/>
      <w:r>
        <w:t>What if the procured ICT isn’t fully accessible</w:t>
      </w:r>
      <w:bookmarkEnd w:id="18"/>
    </w:p>
    <w:p w14:paraId="269C4A14" w14:textId="3AF3D31C" w:rsidR="009E1842" w:rsidRPr="009E1842" w:rsidRDefault="009E1842" w:rsidP="00ED256A">
      <w:pPr>
        <w:rPr>
          <w:b/>
        </w:rPr>
      </w:pPr>
      <w:r w:rsidRPr="009E1842">
        <w:t>Despite best efforts during the procurement process, there will be times when software is purchased that falls short of accessibility standards. In these cases</w:t>
      </w:r>
      <w:r>
        <w:t>,</w:t>
      </w:r>
      <w:r w:rsidRPr="009E1842">
        <w:t xml:space="preserve"> it is important that the purpose and limitations of the software are clearly articulated, along with alternative means of access for users.</w:t>
      </w:r>
    </w:p>
    <w:p w14:paraId="3266B7BC" w14:textId="40F8397C" w:rsidR="009E1842" w:rsidRPr="009E1842" w:rsidRDefault="009E1842" w:rsidP="00ED256A">
      <w:pPr>
        <w:rPr>
          <w:b/>
        </w:rPr>
      </w:pPr>
      <w:r w:rsidRPr="009E1842">
        <w:t xml:space="preserve">An Equally Effective Alternate Access Plan, or Plan B, is a document that describes how information and services will be made available to individuals with disabilities until they can be made accessible. The plan does not require the person to have an identical experience but should offer an experience that can provide a similar </w:t>
      </w:r>
      <w:r w:rsidR="009C72B9">
        <w:t>service or</w:t>
      </w:r>
      <w:r w:rsidRPr="009E1842">
        <w:t xml:space="preserve"> body of knowledge and learning opportunit</w:t>
      </w:r>
      <w:r w:rsidR="007C2777">
        <w:t>y</w:t>
      </w:r>
      <w:r w:rsidRPr="009E1842">
        <w:t xml:space="preserve"> as that gained by people who do not have the affected disabilities.</w:t>
      </w:r>
    </w:p>
    <w:p w14:paraId="7CC9B97C" w14:textId="40F5E585" w:rsidR="009E1842" w:rsidRPr="009E1842" w:rsidRDefault="009E1842" w:rsidP="00ED256A">
      <w:pPr>
        <w:rPr>
          <w:b/>
        </w:rPr>
      </w:pPr>
      <w:r w:rsidRPr="009E1842">
        <w:t xml:space="preserve">An example of an Equally Effective Alternate Access Plan would be where installation of a </w:t>
      </w:r>
      <w:proofErr w:type="gramStart"/>
      <w:r w:rsidRPr="009E1842">
        <w:t>two factor</w:t>
      </w:r>
      <w:proofErr w:type="gramEnd"/>
      <w:r w:rsidRPr="009E1842">
        <w:t xml:space="preserve"> authentication app requires vision impaired users to scan a QR code with their phone. An alternate method of installing the app might be via the phone or in person via an IT support desk.</w:t>
      </w:r>
    </w:p>
    <w:p w14:paraId="12744425" w14:textId="77777777" w:rsidR="009E1842" w:rsidRPr="009E1842" w:rsidRDefault="009E1842" w:rsidP="00807DDA">
      <w:pPr>
        <w:pStyle w:val="Heading3"/>
        <w:rPr>
          <w:rFonts w:asciiTheme="minorHAnsi" w:hAnsiTheme="minorHAnsi"/>
          <w:b w:val="0"/>
          <w:sz w:val="24"/>
        </w:rPr>
      </w:pPr>
      <w:bookmarkStart w:id="19" w:name="_Toc110437961"/>
      <w:r w:rsidRPr="009E1842">
        <w:t>Benefits of Equally Effective Alternate Access Plans:</w:t>
      </w:r>
      <w:bookmarkEnd w:id="19"/>
    </w:p>
    <w:p w14:paraId="1166F073" w14:textId="20B5B5BD" w:rsidR="009E1842" w:rsidRPr="009E1842" w:rsidRDefault="009E1842" w:rsidP="00F67A36">
      <w:pPr>
        <w:pStyle w:val="ListParagraph"/>
        <w:numPr>
          <w:ilvl w:val="0"/>
          <w:numId w:val="32"/>
        </w:numPr>
        <w:rPr>
          <w:b/>
        </w:rPr>
      </w:pPr>
      <w:r w:rsidRPr="009E1842">
        <w:t>Provide a well thought out solution, rather than an ad hoc workaround</w:t>
      </w:r>
    </w:p>
    <w:p w14:paraId="35231750" w14:textId="00242DEA" w:rsidR="009E1842" w:rsidRPr="009E1842" w:rsidRDefault="009E1842" w:rsidP="00F67A36">
      <w:pPr>
        <w:pStyle w:val="ListParagraph"/>
        <w:numPr>
          <w:ilvl w:val="0"/>
          <w:numId w:val="32"/>
        </w:numPr>
        <w:rPr>
          <w:b/>
        </w:rPr>
      </w:pPr>
      <w:r w:rsidRPr="009E1842">
        <w:t>Focus on the barrier to access, rather than individual users</w:t>
      </w:r>
    </w:p>
    <w:p w14:paraId="1E421FFF" w14:textId="5A99FB97" w:rsidR="009E1842" w:rsidRPr="009E1842" w:rsidRDefault="009E1842" w:rsidP="00F67A36">
      <w:pPr>
        <w:pStyle w:val="ListParagraph"/>
        <w:numPr>
          <w:ilvl w:val="0"/>
          <w:numId w:val="32"/>
        </w:numPr>
        <w:rPr>
          <w:b/>
        </w:rPr>
      </w:pPr>
      <w:r w:rsidRPr="009E1842">
        <w:t>Reduce frustration, by highlighting barriers to access up front</w:t>
      </w:r>
    </w:p>
    <w:p w14:paraId="69D23B7F" w14:textId="05D53509" w:rsidR="009E1842" w:rsidRPr="009E1842" w:rsidRDefault="009E1842" w:rsidP="00F67A36">
      <w:pPr>
        <w:pStyle w:val="ListParagraph"/>
        <w:numPr>
          <w:ilvl w:val="0"/>
          <w:numId w:val="32"/>
        </w:numPr>
        <w:rPr>
          <w:b/>
        </w:rPr>
      </w:pPr>
      <w:r w:rsidRPr="009E1842">
        <w:t>Improve communication between users and support services</w:t>
      </w:r>
    </w:p>
    <w:p w14:paraId="41416A60" w14:textId="6FE6AB61" w:rsidR="009E1842" w:rsidRPr="009E1842" w:rsidRDefault="009E1842" w:rsidP="00F67A36">
      <w:pPr>
        <w:pStyle w:val="ListParagraph"/>
        <w:numPr>
          <w:ilvl w:val="0"/>
          <w:numId w:val="32"/>
        </w:numPr>
        <w:rPr>
          <w:b/>
        </w:rPr>
      </w:pPr>
      <w:r w:rsidRPr="009E1842">
        <w:t xml:space="preserve">Document defects so that they can be included in future planning  </w:t>
      </w:r>
    </w:p>
    <w:p w14:paraId="42B93DB4" w14:textId="501699D3" w:rsidR="009B5C95" w:rsidRPr="009B5C95" w:rsidRDefault="00D26404" w:rsidP="009B5C95">
      <w:r>
        <w:lastRenderedPageBreak/>
        <w:t xml:space="preserve">See the </w:t>
      </w:r>
      <w:r w:rsidR="00E40C48">
        <w:t>further reading</w:t>
      </w:r>
      <w:r w:rsidR="00D26658">
        <w:t xml:space="preserve"> for examples of Alternative Access Plans</w:t>
      </w:r>
      <w:r w:rsidR="00E04DBF">
        <w:t>.</w:t>
      </w:r>
    </w:p>
    <w:p w14:paraId="79F03120" w14:textId="4F3A04DF" w:rsidR="004C3262" w:rsidRDefault="004C3262" w:rsidP="00DF13C8">
      <w:pPr>
        <w:rPr>
          <w:bCs/>
        </w:rPr>
      </w:pPr>
      <w:r w:rsidRPr="000D7AE0">
        <w:t xml:space="preserve">It is important to note that procuring ICT with known defects is not a way of 'getting out' of accessibility obligations. In many cases, the provision of alternate access will require just as much, or more, effort as implementing an accessible </w:t>
      </w:r>
      <w:r>
        <w:rPr>
          <w:bCs/>
        </w:rPr>
        <w:t xml:space="preserve">by default </w:t>
      </w:r>
      <w:r w:rsidRPr="000D7AE0">
        <w:rPr>
          <w:bCs/>
        </w:rPr>
        <w:t>solution</w:t>
      </w:r>
      <w:r w:rsidR="009B5C61">
        <w:rPr>
          <w:bCs/>
        </w:rPr>
        <w:t>.</w:t>
      </w:r>
    </w:p>
    <w:p w14:paraId="0C18BD7C" w14:textId="77777777" w:rsidR="007944EF" w:rsidRDefault="007944EF" w:rsidP="007944EF">
      <w:pPr>
        <w:pStyle w:val="Heading2"/>
      </w:pPr>
      <w:bookmarkStart w:id="20" w:name="_Toc110437962"/>
      <w:r>
        <w:t>Ongoing accessibility</w:t>
      </w:r>
      <w:bookmarkEnd w:id="20"/>
    </w:p>
    <w:p w14:paraId="2239632B" w14:textId="55E2C233" w:rsidR="00E51640" w:rsidRDefault="00E51640" w:rsidP="00E51640">
      <w:r>
        <w:t>Once your product is purchased, the contract is in place and support processes are agreed with the vendor, you need to ensure that the product remains accessible, or that accessibility problems can be addressed quickly. ICT products receive updates many times during their lifetime. It is not unusual for such updates to unintentionally cause accessibility features to be turned off, or for the product not to be correctly configured. It is even possible that an update might stop an accessibility feature from working as it once did. Similarly, you will want to ensure that the product interacts accessibly with other ICT equipment in your institution, or that other such equipment does not prevent the accessible operations of this product.</w:t>
      </w:r>
    </w:p>
    <w:p w14:paraId="0E9E3773" w14:textId="77777777" w:rsidR="00E51640" w:rsidRDefault="00E51640" w:rsidP="00E51640">
      <w:pPr>
        <w:pStyle w:val="ListParagraph"/>
        <w:numPr>
          <w:ilvl w:val="0"/>
          <w:numId w:val="32"/>
        </w:numPr>
      </w:pPr>
      <w:r>
        <w:t>Ensure that users have an easily understood means of reporting such issues and that there is an efficient process in place to respond to such reports.</w:t>
      </w:r>
    </w:p>
    <w:p w14:paraId="66C1ED8C" w14:textId="02FF026B" w:rsidR="00E51640" w:rsidRDefault="00E51640" w:rsidP="00E51640">
      <w:pPr>
        <w:pStyle w:val="ListParagraph"/>
        <w:numPr>
          <w:ilvl w:val="0"/>
          <w:numId w:val="32"/>
        </w:numPr>
      </w:pPr>
      <w:r>
        <w:t>Ensure that all team members understand the institution’s accessibility policy</w:t>
      </w:r>
      <w:r w:rsidR="00297789">
        <w:t>.</w:t>
      </w:r>
    </w:p>
    <w:p w14:paraId="38C30B98" w14:textId="2D572189" w:rsidR="00E51640" w:rsidRDefault="00E51640" w:rsidP="00E51640">
      <w:pPr>
        <w:pStyle w:val="ListParagraph"/>
        <w:numPr>
          <w:ilvl w:val="0"/>
          <w:numId w:val="32"/>
        </w:numPr>
      </w:pPr>
      <w:r>
        <w:t>Make sure that they know who to escalate any such report to if they cannot resolve the issue themselves</w:t>
      </w:r>
      <w:r w:rsidR="0051642F">
        <w:t>.</w:t>
      </w:r>
    </w:p>
    <w:p w14:paraId="6557B1D5" w14:textId="476EB3C4" w:rsidR="00F43B1D" w:rsidRDefault="00F50BA4" w:rsidP="00055698">
      <w:pPr>
        <w:pStyle w:val="ListParagraph"/>
        <w:numPr>
          <w:ilvl w:val="0"/>
          <w:numId w:val="32"/>
        </w:numPr>
      </w:pPr>
      <w:r>
        <w:t>Ensure that</w:t>
      </w:r>
      <w:r w:rsidR="00F43B1D">
        <w:t xml:space="preserve"> any future updates</w:t>
      </w:r>
      <w:r w:rsidR="00781DC5">
        <w:t xml:space="preserve"> </w:t>
      </w:r>
      <w:r w:rsidR="009B5C61">
        <w:t xml:space="preserve">can </w:t>
      </w:r>
      <w:r w:rsidR="00781DC5">
        <w:t xml:space="preserve">be rolled back easily if they introduce unacceptable accessibility </w:t>
      </w:r>
      <w:r w:rsidR="00006346">
        <w:t>issues</w:t>
      </w:r>
      <w:r>
        <w:t>.</w:t>
      </w:r>
    </w:p>
    <w:p w14:paraId="36A10FE9" w14:textId="7F18613F" w:rsidR="00392BFC" w:rsidRDefault="00E51640" w:rsidP="00055698">
      <w:pPr>
        <w:pStyle w:val="ListParagraph"/>
        <w:numPr>
          <w:ilvl w:val="0"/>
          <w:numId w:val="32"/>
        </w:numPr>
      </w:pPr>
      <w:r>
        <w:t>Normalise discussions about accessibility – ensure that everyone knows that your institution cares about accessibility and that it expects everyone, regardless of role or seniority to care as well.</w:t>
      </w:r>
    </w:p>
    <w:p w14:paraId="101A75BD" w14:textId="77777777" w:rsidR="0019558E" w:rsidRDefault="0019558E" w:rsidP="00353A8E">
      <w:pPr>
        <w:pStyle w:val="Heading2"/>
      </w:pPr>
      <w:bookmarkStart w:id="21" w:name="_Toc110437963"/>
      <w:r>
        <w:t>Vendor management</w:t>
      </w:r>
      <w:bookmarkEnd w:id="21"/>
    </w:p>
    <w:p w14:paraId="0A3D41C9" w14:textId="2C10390F" w:rsidR="0019558E" w:rsidRDefault="0019558E" w:rsidP="0019558E">
      <w:r>
        <w:t>It is important to view vendors as a partner in providing accessible software and services. Frequently, vendors will have done some accessibility testing on their product but won</w:t>
      </w:r>
      <w:r w:rsidR="003203D0">
        <w:t>’</w:t>
      </w:r>
      <w:r>
        <w:t>t have considered a full range of guidelines. On many occasions, education institutions are more acutely aware of accessibility defects because they receive direct feedback from users.</w:t>
      </w:r>
    </w:p>
    <w:p w14:paraId="15513F6F" w14:textId="77777777" w:rsidR="0019558E" w:rsidRDefault="0019558E" w:rsidP="0019558E">
      <w:r>
        <w:t>The results of any accessibility audit undertaken by institutions should be shared with vendors. In response vendors should provide institutions with means of tracking known issues (e.g. Jira ticket numbers) and a timeline for remediation.</w:t>
      </w:r>
    </w:p>
    <w:p w14:paraId="0B6543A1" w14:textId="77777777" w:rsidR="0019558E" w:rsidRDefault="0019558E" w:rsidP="0019558E">
      <w:r>
        <w:t>Contract renewal is a formal process in which software and services are reviewed to see if they are meeting expectations. It provides an excellent opportunity to revisit outstanding accessibility issues because:</w:t>
      </w:r>
    </w:p>
    <w:p w14:paraId="46E01D07" w14:textId="1ACB54CF" w:rsidR="0019558E" w:rsidRDefault="0019558E" w:rsidP="00353A8E">
      <w:pPr>
        <w:pStyle w:val="ListParagraph"/>
        <w:numPr>
          <w:ilvl w:val="0"/>
          <w:numId w:val="40"/>
        </w:numPr>
      </w:pPr>
      <w:r>
        <w:t>accessibility defects may have emerged which weren</w:t>
      </w:r>
      <w:r w:rsidR="003203D0">
        <w:t>’</w:t>
      </w:r>
      <w:r>
        <w:t>t considered or weren</w:t>
      </w:r>
      <w:r w:rsidR="003203D0">
        <w:t>’</w:t>
      </w:r>
      <w:r>
        <w:t>t apparent during implementation;</w:t>
      </w:r>
    </w:p>
    <w:p w14:paraId="1EC66F76" w14:textId="0EE4F431" w:rsidR="0019558E" w:rsidRDefault="0019558E" w:rsidP="00353A8E">
      <w:pPr>
        <w:pStyle w:val="ListParagraph"/>
        <w:numPr>
          <w:ilvl w:val="0"/>
          <w:numId w:val="40"/>
        </w:numPr>
      </w:pPr>
      <w:r>
        <w:t>you may have been paying for services that you haven</w:t>
      </w:r>
      <w:r w:rsidR="003203D0">
        <w:t>’</w:t>
      </w:r>
      <w:r>
        <w:t>t received;</w:t>
      </w:r>
    </w:p>
    <w:p w14:paraId="782ED4D7" w14:textId="2E5F746E" w:rsidR="00392BFC" w:rsidRDefault="0019558E" w:rsidP="00B51C99">
      <w:pPr>
        <w:pStyle w:val="ListParagraph"/>
        <w:numPr>
          <w:ilvl w:val="0"/>
          <w:numId w:val="40"/>
        </w:numPr>
      </w:pPr>
      <w:r>
        <w:t>vendors are strongly motivated to resolving areas of dispute.</w:t>
      </w:r>
    </w:p>
    <w:p w14:paraId="2C901DAB" w14:textId="0DACF95B" w:rsidR="00D551D3" w:rsidRDefault="00D551D3" w:rsidP="00D551D3">
      <w:pPr>
        <w:pStyle w:val="Heading2"/>
      </w:pPr>
      <w:bookmarkStart w:id="22" w:name="_Toc110437964"/>
      <w:bookmarkStart w:id="23" w:name="_Ref115341518"/>
      <w:r>
        <w:lastRenderedPageBreak/>
        <w:t>Further reading</w:t>
      </w:r>
      <w:bookmarkEnd w:id="22"/>
      <w:bookmarkEnd w:id="23"/>
    </w:p>
    <w:p w14:paraId="6146ABF3" w14:textId="134153B9" w:rsidR="00C6143B" w:rsidRPr="00C6143B" w:rsidRDefault="002123ED" w:rsidP="00B05AC7">
      <w:pPr>
        <w:pStyle w:val="Heading3"/>
      </w:pPr>
      <w:r>
        <w:t>Roadmap</w:t>
      </w:r>
      <w:r w:rsidR="00B05AC7">
        <w:t>s</w:t>
      </w:r>
    </w:p>
    <w:p w14:paraId="3551E81C" w14:textId="27FE8A27" w:rsidR="001B5765" w:rsidRPr="00477EE5" w:rsidRDefault="0049311D" w:rsidP="00F45128">
      <w:pPr>
        <w:pStyle w:val="ListParagraph"/>
        <w:numPr>
          <w:ilvl w:val="0"/>
          <w:numId w:val="44"/>
        </w:numPr>
        <w:rPr>
          <w:rStyle w:val="Hyperlink"/>
          <w:u w:val="none"/>
        </w:rPr>
      </w:pPr>
      <w:hyperlink r:id="rId12" w:history="1">
        <w:r w:rsidR="001F784F">
          <w:rPr>
            <w:rStyle w:val="Hyperlink"/>
          </w:rPr>
          <w:t>Accessibility Roadmap Template (PDF)</w:t>
        </w:r>
      </w:hyperlink>
      <w:r w:rsidR="001F784F" w:rsidRPr="001F784F">
        <w:rPr>
          <w:rStyle w:val="Hyperlink"/>
          <w:u w:val="none"/>
        </w:rPr>
        <w:t xml:space="preserve"> – California State University</w:t>
      </w:r>
    </w:p>
    <w:p w14:paraId="599556CD" w14:textId="5D48C546" w:rsidR="00477EE5" w:rsidRDefault="0049311D" w:rsidP="00F45128">
      <w:pPr>
        <w:pStyle w:val="ListParagraph"/>
        <w:numPr>
          <w:ilvl w:val="0"/>
          <w:numId w:val="44"/>
        </w:numPr>
      </w:pPr>
      <w:hyperlink r:id="rId13" w:history="1">
        <w:r w:rsidR="00477EE5" w:rsidRPr="00ED15CA">
          <w:rPr>
            <w:rStyle w:val="Hyperlink"/>
          </w:rPr>
          <w:t>Building Accessibility into Your Procurement Process</w:t>
        </w:r>
      </w:hyperlink>
      <w:r w:rsidR="00477EE5">
        <w:t xml:space="preserve"> – US Section508</w:t>
      </w:r>
    </w:p>
    <w:p w14:paraId="0CC75C6A" w14:textId="7AB23CAE" w:rsidR="008E20E3" w:rsidRPr="00C6143B" w:rsidRDefault="0049311D" w:rsidP="00F45128">
      <w:pPr>
        <w:pStyle w:val="ListParagraph"/>
        <w:numPr>
          <w:ilvl w:val="0"/>
          <w:numId w:val="44"/>
        </w:numPr>
      </w:pPr>
      <w:hyperlink r:id="rId14" w:history="1">
        <w:r w:rsidR="008E20E3" w:rsidRPr="005B07A6">
          <w:rPr>
            <w:rStyle w:val="Hyperlink"/>
          </w:rPr>
          <w:t>Procurement and accessibility</w:t>
        </w:r>
        <w:r w:rsidR="005B07A6">
          <w:rPr>
            <w:rStyle w:val="Hyperlink"/>
          </w:rPr>
          <w:t>:</w:t>
        </w:r>
        <w:r w:rsidR="008E20E3" w:rsidRPr="005B07A6">
          <w:rPr>
            <w:rStyle w:val="Hyperlink"/>
          </w:rPr>
          <w:t xml:space="preserve"> </w:t>
        </w:r>
        <w:r w:rsidR="005B07A6">
          <w:rPr>
            <w:rStyle w:val="Hyperlink"/>
          </w:rPr>
          <w:t>P</w:t>
        </w:r>
        <w:r w:rsidR="008E20E3" w:rsidRPr="005B07A6">
          <w:rPr>
            <w:rStyle w:val="Hyperlink"/>
          </w:rPr>
          <w:t>rocesses</w:t>
        </w:r>
      </w:hyperlink>
      <w:r w:rsidR="005B07A6">
        <w:t xml:space="preserve"> – National Disability Authority, Ireland</w:t>
      </w:r>
    </w:p>
    <w:p w14:paraId="3D99DCEF" w14:textId="6160EA3B" w:rsidR="00D551D3" w:rsidRDefault="00D551D3" w:rsidP="00626AC9">
      <w:pPr>
        <w:pStyle w:val="Heading3"/>
      </w:pPr>
      <w:bookmarkStart w:id="24" w:name="_Toc110437965"/>
      <w:r>
        <w:t>Evaluating a</w:t>
      </w:r>
      <w:r w:rsidR="006F2296">
        <w:t>n</w:t>
      </w:r>
      <w:r w:rsidR="003D08DF">
        <w:t xml:space="preserve"> Accessibility Conformance Reports (or VPAT)</w:t>
      </w:r>
      <w:r w:rsidR="00FE2E21">
        <w:t>:</w:t>
      </w:r>
      <w:bookmarkEnd w:id="24"/>
    </w:p>
    <w:p w14:paraId="24750ABF" w14:textId="65736CB2" w:rsidR="00741798" w:rsidRDefault="0049311D" w:rsidP="00741798">
      <w:pPr>
        <w:pStyle w:val="ListParagraph"/>
        <w:numPr>
          <w:ilvl w:val="0"/>
          <w:numId w:val="42"/>
        </w:numPr>
      </w:pPr>
      <w:hyperlink r:id="rId15" w:history="1">
        <w:r w:rsidR="00C253CB">
          <w:rPr>
            <w:rStyle w:val="Hyperlink"/>
          </w:rPr>
          <w:t>How to Read a VPAT: Assessing Accessibility Conformance Reports</w:t>
        </w:r>
      </w:hyperlink>
      <w:r w:rsidR="003203D0">
        <w:t xml:space="preserve"> – University of Washington</w:t>
      </w:r>
      <w:r w:rsidR="00741798">
        <w:t xml:space="preserve">  </w:t>
      </w:r>
    </w:p>
    <w:p w14:paraId="392A1947" w14:textId="181DD503" w:rsidR="00741798" w:rsidRDefault="0049311D" w:rsidP="00741798">
      <w:pPr>
        <w:pStyle w:val="ListParagraph"/>
        <w:numPr>
          <w:ilvl w:val="0"/>
          <w:numId w:val="42"/>
        </w:numPr>
      </w:pPr>
      <w:hyperlink r:id="rId16" w:history="1">
        <w:r w:rsidR="000A3E6C">
          <w:rPr>
            <w:rStyle w:val="Hyperlink"/>
          </w:rPr>
          <w:t>How do I interpret a VPAT?</w:t>
        </w:r>
      </w:hyperlink>
      <w:r w:rsidR="000A3E6C">
        <w:t xml:space="preserve"> – Sonoma State University</w:t>
      </w:r>
      <w:r w:rsidR="00741798">
        <w:t xml:space="preserve"> </w:t>
      </w:r>
    </w:p>
    <w:p w14:paraId="1F18951B" w14:textId="4B81A097" w:rsidR="00741798" w:rsidRDefault="0049311D" w:rsidP="00741798">
      <w:pPr>
        <w:pStyle w:val="ListParagraph"/>
        <w:numPr>
          <w:ilvl w:val="0"/>
          <w:numId w:val="42"/>
        </w:numPr>
      </w:pPr>
      <w:hyperlink r:id="rId17" w:history="1">
        <w:r w:rsidR="00F568C7">
          <w:rPr>
            <w:rStyle w:val="Hyperlink"/>
          </w:rPr>
          <w:t>Accessibility in Procurement: How to Read a VPAT</w:t>
        </w:r>
      </w:hyperlink>
      <w:r w:rsidR="00741798">
        <w:t xml:space="preserve"> </w:t>
      </w:r>
      <w:r w:rsidR="00FB435B">
        <w:t>–</w:t>
      </w:r>
      <w:r w:rsidR="004C3434">
        <w:t xml:space="preserve"> </w:t>
      </w:r>
      <w:r w:rsidR="00FB435B" w:rsidRPr="00FB435B">
        <w:t>Northwest Higher Education Accessibility Technology Group</w:t>
      </w:r>
    </w:p>
    <w:p w14:paraId="0D1CFE42" w14:textId="46FAAC27" w:rsidR="00741798" w:rsidRDefault="0049311D" w:rsidP="00741798">
      <w:pPr>
        <w:pStyle w:val="ListParagraph"/>
        <w:numPr>
          <w:ilvl w:val="0"/>
          <w:numId w:val="42"/>
        </w:numPr>
      </w:pPr>
      <w:hyperlink r:id="rId18" w:history="1">
        <w:r w:rsidR="008A2816">
          <w:rPr>
            <w:rStyle w:val="Hyperlink"/>
          </w:rPr>
          <w:t>Understanding the VPAT</w:t>
        </w:r>
      </w:hyperlink>
      <w:r w:rsidR="008A2816">
        <w:t xml:space="preserve"> - </w:t>
      </w:r>
      <w:r w:rsidR="00741798">
        <w:t xml:space="preserve"> </w:t>
      </w:r>
      <w:r w:rsidR="0063762A" w:rsidRPr="0063762A">
        <w:t>National Center on Accessible Educational Materials for Learning at CAST</w:t>
      </w:r>
    </w:p>
    <w:p w14:paraId="49DAC04A" w14:textId="19AB3235" w:rsidR="00FE2E21" w:rsidRDefault="0049311D" w:rsidP="00741798">
      <w:pPr>
        <w:pStyle w:val="ListParagraph"/>
        <w:numPr>
          <w:ilvl w:val="0"/>
          <w:numId w:val="42"/>
        </w:numPr>
      </w:pPr>
      <w:hyperlink r:id="rId19" w:history="1">
        <w:r w:rsidR="00CB72CC" w:rsidRPr="00CE0E8B">
          <w:rPr>
            <w:rStyle w:val="Hyperlink"/>
          </w:rPr>
          <w:t>Verifying Vendor Information</w:t>
        </w:r>
      </w:hyperlink>
      <w:r w:rsidR="00CB72CC">
        <w:t xml:space="preserve"> </w:t>
      </w:r>
      <w:r w:rsidR="00CE0E8B">
        <w:t>–</w:t>
      </w:r>
      <w:r w:rsidR="00CB72CC">
        <w:t xml:space="preserve"> </w:t>
      </w:r>
      <w:r w:rsidR="00CE0E8B">
        <w:t>University of Oregon</w:t>
      </w:r>
    </w:p>
    <w:p w14:paraId="005B3479" w14:textId="1BFDA59D" w:rsidR="009C4D77" w:rsidRDefault="009C4D77" w:rsidP="00626AC9">
      <w:pPr>
        <w:pStyle w:val="Heading3"/>
      </w:pPr>
      <w:bookmarkStart w:id="25" w:name="_Toc110437966"/>
      <w:r>
        <w:t xml:space="preserve">Plan B </w:t>
      </w:r>
      <w:r w:rsidR="004127E5">
        <w:t>–</w:t>
      </w:r>
      <w:r>
        <w:t xml:space="preserve"> </w:t>
      </w:r>
      <w:r w:rsidR="00626AC9">
        <w:t xml:space="preserve">Equally </w:t>
      </w:r>
      <w:r w:rsidR="004127E5">
        <w:t xml:space="preserve">Effective </w:t>
      </w:r>
      <w:r w:rsidR="0097614F">
        <w:t xml:space="preserve">Alternative </w:t>
      </w:r>
      <w:r w:rsidR="004127E5">
        <w:t>Access Plans</w:t>
      </w:r>
      <w:bookmarkEnd w:id="25"/>
    </w:p>
    <w:p w14:paraId="2D1F1404" w14:textId="57B1CD28" w:rsidR="00977EC5" w:rsidRDefault="0049311D" w:rsidP="004127E5">
      <w:pPr>
        <w:pStyle w:val="ListParagraph"/>
        <w:numPr>
          <w:ilvl w:val="0"/>
          <w:numId w:val="43"/>
        </w:numPr>
      </w:pPr>
      <w:hyperlink r:id="rId20" w:history="1">
        <w:r w:rsidR="001761C5">
          <w:rPr>
            <w:rStyle w:val="Hyperlink"/>
          </w:rPr>
          <w:t>Creating an Equally Effective Alternate Access Plan (EEAAP)</w:t>
        </w:r>
      </w:hyperlink>
      <w:r w:rsidR="00A42FE4">
        <w:t xml:space="preserve"> – Harvard University</w:t>
      </w:r>
      <w:r w:rsidR="00977EC5">
        <w:t xml:space="preserve"> </w:t>
      </w:r>
    </w:p>
    <w:p w14:paraId="0031338B" w14:textId="5B185052" w:rsidR="00960758" w:rsidRDefault="0049311D" w:rsidP="004127E5">
      <w:pPr>
        <w:pStyle w:val="ListParagraph"/>
        <w:numPr>
          <w:ilvl w:val="0"/>
          <w:numId w:val="43"/>
        </w:numPr>
      </w:pPr>
      <w:hyperlink r:id="rId21" w:history="1">
        <w:r w:rsidR="00960758" w:rsidRPr="006409D2">
          <w:rPr>
            <w:rStyle w:val="Hyperlink"/>
          </w:rPr>
          <w:t>Equally Effective Alternative Access Plan</w:t>
        </w:r>
      </w:hyperlink>
      <w:r w:rsidR="00960758">
        <w:t xml:space="preserve"> – </w:t>
      </w:r>
      <w:r w:rsidR="008B5526">
        <w:t xml:space="preserve">University </w:t>
      </w:r>
      <w:r w:rsidR="00960758">
        <w:t>of Oregon</w:t>
      </w:r>
    </w:p>
    <w:sectPr w:rsidR="00960758" w:rsidSect="00D12D86">
      <w:headerReference w:type="default" r:id="rId22"/>
      <w:footerReference w:type="default" r:id="rId23"/>
      <w:headerReference w:type="first" r:id="rId24"/>
      <w:footerReference w:type="first" r:id="rId25"/>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3AC1C" w14:textId="77777777" w:rsidR="005B5429" w:rsidRDefault="005B5429" w:rsidP="00CD050C">
      <w:pPr>
        <w:spacing w:after="0" w:line="240" w:lineRule="auto"/>
      </w:pPr>
      <w:r>
        <w:separator/>
      </w:r>
    </w:p>
    <w:p w14:paraId="356EA336" w14:textId="77777777" w:rsidR="005B5429" w:rsidRDefault="005B5429"/>
  </w:endnote>
  <w:endnote w:type="continuationSeparator" w:id="0">
    <w:p w14:paraId="4B227448" w14:textId="77777777" w:rsidR="005B5429" w:rsidRDefault="005B5429" w:rsidP="00CD050C">
      <w:pPr>
        <w:spacing w:after="0" w:line="240" w:lineRule="auto"/>
      </w:pPr>
      <w:r>
        <w:continuationSeparator/>
      </w:r>
    </w:p>
    <w:p w14:paraId="03D3C933" w14:textId="77777777" w:rsidR="005B5429" w:rsidRDefault="005B5429"/>
  </w:endnote>
  <w:endnote w:type="continuationNotice" w:id="1">
    <w:p w14:paraId="486B7557" w14:textId="77777777" w:rsidR="005B5429" w:rsidRDefault="005B54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fortaa">
    <w:altName w:val="Calibri"/>
    <w:charset w:val="00"/>
    <w:family w:val="swiss"/>
    <w:pitch w:val="variable"/>
    <w:sig w:usb0="A00002BF" w:usb1="50000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2546" w14:textId="7B4F519A" w:rsidR="00812F4B" w:rsidRPr="00077C9F" w:rsidRDefault="00812F4B" w:rsidP="00B5269C">
    <w:pPr>
      <w:pStyle w:val="Footer"/>
      <w:tabs>
        <w:tab w:val="clear" w:pos="4513"/>
        <w:tab w:val="clear" w:pos="9026"/>
        <w:tab w:val="right" w:pos="13697"/>
      </w:tabs>
    </w:pPr>
    <w:r w:rsidRPr="00077C9F">
      <w:rPr>
        <w:rFonts w:ascii="Comfortaa" w:hAnsi="Comfortaa"/>
        <w:color w:val="D3420D" w:themeColor="accent1"/>
        <w:spacing w:val="24"/>
      </w:rPr>
      <w:t>intopia.digital</w:t>
    </w:r>
    <w:r>
      <w:rPr>
        <w:color w:val="D3420D" w:themeColor="accent1"/>
      </w:rPr>
      <w:tab/>
    </w:r>
    <w:r w:rsidR="009D1561">
      <w:rPr>
        <w:color w:val="D3420D" w:themeColor="accent1"/>
      </w:rPr>
      <w:t xml:space="preserve">Page </w:t>
    </w:r>
    <w:r w:rsidRPr="006A4AFF">
      <w:rPr>
        <w:color w:val="D3420D" w:themeColor="accent1"/>
      </w:rPr>
      <w:fldChar w:fldCharType="begin"/>
    </w:r>
    <w:r w:rsidRPr="006A4AFF">
      <w:rPr>
        <w:color w:val="D3420D" w:themeColor="accent1"/>
      </w:rPr>
      <w:instrText xml:space="preserve"> PAGE   \* MERGEFORMAT </w:instrText>
    </w:r>
    <w:r w:rsidRPr="006A4AFF">
      <w:rPr>
        <w:color w:val="D3420D" w:themeColor="accent1"/>
      </w:rPr>
      <w:fldChar w:fldCharType="separate"/>
    </w:r>
    <w:r w:rsidR="00734B5E" w:rsidRPr="006A4AFF">
      <w:rPr>
        <w:color w:val="D3420D" w:themeColor="accent1"/>
      </w:rPr>
      <w:t>9</w:t>
    </w:r>
    <w:r w:rsidRPr="006A4AFF">
      <w:rPr>
        <w:color w:val="D3420D" w:themeColor="accent1"/>
      </w:rPr>
      <w:fldChar w:fldCharType="end"/>
    </w:r>
    <w:r w:rsidR="006A4AFF" w:rsidRPr="006A4AFF">
      <w:rPr>
        <w:color w:val="D3420D" w:themeColor="accent1"/>
      </w:rPr>
      <w:t>/</w:t>
    </w:r>
    <w:r w:rsidR="006A4AFF" w:rsidRPr="006A4AFF">
      <w:rPr>
        <w:color w:val="D3420D" w:themeColor="accent1"/>
      </w:rPr>
      <w:fldChar w:fldCharType="begin"/>
    </w:r>
    <w:r w:rsidR="006A4AFF" w:rsidRPr="006A4AFF">
      <w:rPr>
        <w:color w:val="D3420D" w:themeColor="accent1"/>
      </w:rPr>
      <w:instrText xml:space="preserve"> NUMPAGES   \* MERGEFORMAT </w:instrText>
    </w:r>
    <w:r w:rsidR="006A4AFF" w:rsidRPr="006A4AFF">
      <w:rPr>
        <w:color w:val="D3420D" w:themeColor="accent1"/>
      </w:rPr>
      <w:fldChar w:fldCharType="separate"/>
    </w:r>
    <w:r w:rsidR="006A4AFF" w:rsidRPr="006A4AFF">
      <w:rPr>
        <w:color w:val="D3420D" w:themeColor="accent1"/>
      </w:rPr>
      <w:t>2</w:t>
    </w:r>
    <w:r w:rsidR="006A4AFF" w:rsidRPr="006A4AFF">
      <w:rPr>
        <w:color w:val="D3420D"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9AC8" w14:textId="166A467F" w:rsidR="00812F4B" w:rsidRPr="00E84807" w:rsidRDefault="00812F4B" w:rsidP="00D12D86">
    <w:pPr>
      <w:pStyle w:val="Footer"/>
      <w:tabs>
        <w:tab w:val="clear" w:pos="4513"/>
      </w:tabs>
      <w:spacing w:after="600"/>
      <w:rPr>
        <w:rFonts w:ascii="Comfortaa" w:hAnsi="Comfortaa"/>
        <w:color w:val="D3420D" w:themeColor="accent1"/>
        <w:sz w:val="30"/>
        <w:szCs w:val="28"/>
      </w:rPr>
    </w:pPr>
    <w:r w:rsidRPr="00E84807">
      <w:rPr>
        <w:rFonts w:ascii="Comfortaa" w:hAnsi="Comfortaa"/>
        <w:color w:val="D3420D" w:themeColor="accent1"/>
        <w:sz w:val="30"/>
        <w:szCs w:val="28"/>
      </w:rPr>
      <w:t>intopia.digital</w:t>
    </w:r>
    <w:r w:rsidR="00D12D86">
      <w:rPr>
        <w:rFonts w:ascii="Comfortaa" w:hAnsi="Comfortaa"/>
        <w:color w:val="D3420D" w:themeColor="accent1"/>
        <w:sz w:val="30"/>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9C71D" w14:textId="77777777" w:rsidR="005B5429" w:rsidRDefault="005B5429" w:rsidP="00CD050C">
      <w:pPr>
        <w:spacing w:after="0" w:line="240" w:lineRule="auto"/>
      </w:pPr>
      <w:r>
        <w:separator/>
      </w:r>
    </w:p>
    <w:p w14:paraId="5058A875" w14:textId="77777777" w:rsidR="005B5429" w:rsidRDefault="005B5429"/>
  </w:footnote>
  <w:footnote w:type="continuationSeparator" w:id="0">
    <w:p w14:paraId="5AAC741F" w14:textId="77777777" w:rsidR="005B5429" w:rsidRDefault="005B5429" w:rsidP="00CD050C">
      <w:pPr>
        <w:spacing w:after="0" w:line="240" w:lineRule="auto"/>
      </w:pPr>
      <w:r>
        <w:continuationSeparator/>
      </w:r>
    </w:p>
    <w:p w14:paraId="24EFA700" w14:textId="77777777" w:rsidR="005B5429" w:rsidRDefault="005B5429"/>
  </w:footnote>
  <w:footnote w:type="continuationNotice" w:id="1">
    <w:p w14:paraId="5A19509A" w14:textId="77777777" w:rsidR="005B5429" w:rsidRDefault="005B5429">
      <w:pPr>
        <w:spacing w:after="0" w:line="240" w:lineRule="auto"/>
      </w:pPr>
    </w:p>
  </w:footnote>
  <w:footnote w:id="2">
    <w:p w14:paraId="67A55A3E" w14:textId="77777777" w:rsidR="004F4985" w:rsidRPr="0090218D" w:rsidRDefault="004F4985" w:rsidP="004F4985">
      <w:pPr>
        <w:pStyle w:val="FootnoteText"/>
      </w:pPr>
      <w:r>
        <w:rPr>
          <w:rStyle w:val="FootnoteReference"/>
        </w:rPr>
        <w:footnoteRef/>
      </w:r>
      <w:r>
        <w:t xml:space="preserve"> </w:t>
      </w:r>
      <w:r w:rsidRPr="00D329D7">
        <w:t>https://www.w3.org/WAI/planning/org-policies/</w:t>
      </w:r>
    </w:p>
  </w:footnote>
  <w:footnote w:id="3">
    <w:p w14:paraId="02C8F3C5" w14:textId="48B74419" w:rsidR="00807F14" w:rsidRDefault="00807F14">
      <w:pPr>
        <w:pStyle w:val="FootnoteText"/>
      </w:pPr>
      <w:r>
        <w:rPr>
          <w:rStyle w:val="FootnoteReference"/>
        </w:rPr>
        <w:footnoteRef/>
      </w:r>
      <w:r>
        <w:t xml:space="preserve"> </w:t>
      </w:r>
      <w:r w:rsidRPr="00807F14">
        <w:t>https://humanrights.gov.au/our-work/disability-rights/disability-discrimination-act-action-plans-guide-tertiary-education</w:t>
      </w:r>
    </w:p>
  </w:footnote>
  <w:footnote w:id="4">
    <w:p w14:paraId="12926535" w14:textId="78A36AD6" w:rsidR="00CE6820" w:rsidRPr="00CE6820" w:rsidRDefault="00CE6820">
      <w:pPr>
        <w:pStyle w:val="FootnoteText"/>
        <w:rPr>
          <w:lang w:val="en-US"/>
        </w:rPr>
      </w:pPr>
      <w:r>
        <w:rPr>
          <w:rStyle w:val="FootnoteReference"/>
        </w:rPr>
        <w:footnoteRef/>
      </w:r>
      <w:r>
        <w:t xml:space="preserve"> </w:t>
      </w:r>
      <w:r w:rsidR="009B660F">
        <w:rPr>
          <w:lang w:val="en-US"/>
        </w:rPr>
        <w:t xml:space="preserve">This may be provided as an </w:t>
      </w:r>
      <w:r w:rsidR="009B660F" w:rsidRPr="009B660F">
        <w:rPr>
          <w:b/>
          <w:bCs/>
          <w:lang w:val="en-US"/>
        </w:rPr>
        <w:t>Accessibility Conformance Report</w:t>
      </w:r>
      <w:r w:rsidR="009B660F">
        <w:rPr>
          <w:lang w:val="en-US"/>
        </w:rPr>
        <w:t xml:space="preserve"> (from a VPAT)</w:t>
      </w:r>
    </w:p>
  </w:footnote>
  <w:footnote w:id="5">
    <w:p w14:paraId="11AB0F11" w14:textId="77777777" w:rsidR="00E51640" w:rsidRPr="004E0808" w:rsidRDefault="00E51640" w:rsidP="00E51640">
      <w:pPr>
        <w:pStyle w:val="FootnoteText"/>
      </w:pPr>
      <w:r>
        <w:rPr>
          <w:rStyle w:val="FootnoteReference"/>
        </w:rPr>
        <w:footnoteRef/>
      </w:r>
      <w:r>
        <w:t xml:space="preserve"> </w:t>
      </w:r>
      <w:hyperlink r:id="rId1" w:history="1">
        <w:r w:rsidRPr="001E2F0B">
          <w:rPr>
            <w:rStyle w:val="Hyperlink"/>
          </w:rPr>
          <w:t>https://www.w3.org/WAI/standards-guidelines/atag/</w:t>
        </w:r>
      </w:hyperlink>
      <w:r>
        <w:t xml:space="preserve"> </w:t>
      </w:r>
    </w:p>
  </w:footnote>
  <w:footnote w:id="6">
    <w:p w14:paraId="6A6DBF63" w14:textId="77777777" w:rsidR="00E51640" w:rsidRPr="002B6D0D" w:rsidRDefault="00E51640" w:rsidP="00E51640">
      <w:pPr>
        <w:pStyle w:val="FootnoteText"/>
      </w:pPr>
      <w:r>
        <w:rPr>
          <w:rStyle w:val="FootnoteReference"/>
        </w:rPr>
        <w:footnoteRef/>
      </w:r>
      <w:r>
        <w:t xml:space="preserve"> </w:t>
      </w:r>
      <w:hyperlink r:id="rId2" w:history="1">
        <w:r w:rsidRPr="00F06C7F">
          <w:rPr>
            <w:rStyle w:val="Hyperlink"/>
          </w:rPr>
          <w:t>https://www.csus.edu/information-resources-technology/files/accessibility-roadmap.pdf</w:t>
        </w:r>
      </w:hyperlink>
    </w:p>
  </w:footnote>
  <w:footnote w:id="7">
    <w:p w14:paraId="0F542C5C" w14:textId="77777777" w:rsidR="00E51640" w:rsidRPr="006724A4" w:rsidRDefault="00E51640" w:rsidP="00E51640">
      <w:pPr>
        <w:pStyle w:val="FootnoteText"/>
      </w:pPr>
      <w:r>
        <w:rPr>
          <w:rStyle w:val="FootnoteReference"/>
        </w:rPr>
        <w:footnoteRef/>
      </w:r>
      <w:r>
        <w:t xml:space="preserve"> </w:t>
      </w:r>
      <w:hyperlink r:id="rId3" w:history="1">
        <w:r w:rsidRPr="00711080">
          <w:rPr>
            <w:rStyle w:val="Hyperlink"/>
          </w:rPr>
          <w:t>https://www.itic.org/policy/accessibility/vpat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9EAD" w14:textId="408E6FEE" w:rsidR="00812F4B" w:rsidRPr="00077C9F" w:rsidRDefault="00B7563A" w:rsidP="00E6187A">
    <w:pPr>
      <w:pStyle w:val="Header"/>
      <w:tabs>
        <w:tab w:val="left" w:pos="3660"/>
      </w:tabs>
      <w:rPr>
        <w:color w:val="D3420D" w:themeColor="accent1"/>
      </w:rPr>
    </w:pPr>
    <w:r w:rsidRPr="00B7563A">
      <w:rPr>
        <w:color w:val="D3420D" w:themeColor="accent1"/>
      </w:rPr>
      <w:t>Waypoints in the process of Accessible Procurement</w:t>
    </w:r>
    <w:r w:rsidR="00E6187A">
      <w:rPr>
        <w:color w:val="D3420D" w:themeColor="accent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25E0" w14:textId="36DB1ADE" w:rsidR="00812F4B" w:rsidRDefault="00C3550C">
    <w:pPr>
      <w:pStyle w:val="Header"/>
    </w:pPr>
    <w:r>
      <w:rPr>
        <w:noProof/>
        <w:lang w:eastAsia="en-AU"/>
      </w:rPr>
      <w:tab/>
    </w:r>
    <w:r>
      <w:rPr>
        <w:noProof/>
        <w:lang w:eastAsia="en-AU"/>
      </w:rPr>
      <w:tab/>
    </w:r>
    <w:r>
      <w:rPr>
        <w:noProof/>
        <w:lang w:eastAsia="en-AU"/>
      </w:rPr>
      <w:drawing>
        <wp:inline distT="0" distB="0" distL="0" distR="0" wp14:anchorId="422AABDC" wp14:editId="7A0FF94D">
          <wp:extent cx="1256334" cy="393554"/>
          <wp:effectExtent l="0" t="0" r="1270" b="6985"/>
          <wp:docPr id="1" name="Picture 1" descr="Intop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StewartHay\AppData\Local\Microsoft\Windows\INetCacheContent.Word\Intopi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889" cy="4021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6EFAAA"/>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E148381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040953"/>
    <w:multiLevelType w:val="hybridMultilevel"/>
    <w:tmpl w:val="C6068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0B0AD3"/>
    <w:multiLevelType w:val="hybridMultilevel"/>
    <w:tmpl w:val="4F1A02AC"/>
    <w:lvl w:ilvl="0" w:tplc="1B0867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112B4D"/>
    <w:multiLevelType w:val="hybridMultilevel"/>
    <w:tmpl w:val="EC38D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E17451"/>
    <w:multiLevelType w:val="hybridMultilevel"/>
    <w:tmpl w:val="25A23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452289"/>
    <w:multiLevelType w:val="hybridMultilevel"/>
    <w:tmpl w:val="5876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B70030"/>
    <w:multiLevelType w:val="hybridMultilevel"/>
    <w:tmpl w:val="D4D44B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556830"/>
    <w:multiLevelType w:val="hybridMultilevel"/>
    <w:tmpl w:val="ACCA6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2F1ACB"/>
    <w:multiLevelType w:val="hybridMultilevel"/>
    <w:tmpl w:val="0D548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A432B4"/>
    <w:multiLevelType w:val="hybridMultilevel"/>
    <w:tmpl w:val="3FF2AC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41111CD"/>
    <w:multiLevelType w:val="hybridMultilevel"/>
    <w:tmpl w:val="F9B41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2157C5"/>
    <w:multiLevelType w:val="hybridMultilevel"/>
    <w:tmpl w:val="78E215B6"/>
    <w:lvl w:ilvl="0" w:tplc="C3A8B2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3A5B2F"/>
    <w:multiLevelType w:val="hybridMultilevel"/>
    <w:tmpl w:val="CCC41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FF4450"/>
    <w:multiLevelType w:val="hybridMultilevel"/>
    <w:tmpl w:val="DA5EF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945BC0"/>
    <w:multiLevelType w:val="hybridMultilevel"/>
    <w:tmpl w:val="46AEC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152EEB"/>
    <w:multiLevelType w:val="hybridMultilevel"/>
    <w:tmpl w:val="21809C42"/>
    <w:lvl w:ilvl="0" w:tplc="1B0867D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0D686E"/>
    <w:multiLevelType w:val="hybridMultilevel"/>
    <w:tmpl w:val="34DC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5C168E"/>
    <w:multiLevelType w:val="hybridMultilevel"/>
    <w:tmpl w:val="DDBCF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321E06"/>
    <w:multiLevelType w:val="hybridMultilevel"/>
    <w:tmpl w:val="E3142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430D70"/>
    <w:multiLevelType w:val="hybridMultilevel"/>
    <w:tmpl w:val="766A3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730204"/>
    <w:multiLevelType w:val="hybridMultilevel"/>
    <w:tmpl w:val="0CF4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8D4E7D"/>
    <w:multiLevelType w:val="hybridMultilevel"/>
    <w:tmpl w:val="6CBE0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6A7125"/>
    <w:multiLevelType w:val="hybridMultilevel"/>
    <w:tmpl w:val="2A6489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CC768E1"/>
    <w:multiLevelType w:val="hybridMultilevel"/>
    <w:tmpl w:val="7788F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9E5DD6"/>
    <w:multiLevelType w:val="hybridMultilevel"/>
    <w:tmpl w:val="620E1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042A3E"/>
    <w:multiLevelType w:val="hybridMultilevel"/>
    <w:tmpl w:val="8EE20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C25338"/>
    <w:multiLevelType w:val="hybridMultilevel"/>
    <w:tmpl w:val="B2EC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9B248A"/>
    <w:multiLevelType w:val="hybridMultilevel"/>
    <w:tmpl w:val="0A5EF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F63A5D"/>
    <w:multiLevelType w:val="hybridMultilevel"/>
    <w:tmpl w:val="7BD04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D62A68"/>
    <w:multiLevelType w:val="hybridMultilevel"/>
    <w:tmpl w:val="2486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11219B"/>
    <w:multiLevelType w:val="hybridMultilevel"/>
    <w:tmpl w:val="1514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71011C"/>
    <w:multiLevelType w:val="hybridMultilevel"/>
    <w:tmpl w:val="342856DE"/>
    <w:lvl w:ilvl="0" w:tplc="B5027F9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72197E"/>
    <w:multiLevelType w:val="hybridMultilevel"/>
    <w:tmpl w:val="CFC2C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132C32"/>
    <w:multiLevelType w:val="hybridMultilevel"/>
    <w:tmpl w:val="8124D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5806E5"/>
    <w:multiLevelType w:val="hybridMultilevel"/>
    <w:tmpl w:val="557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97E8B"/>
    <w:multiLevelType w:val="multilevel"/>
    <w:tmpl w:val="D29C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44658E"/>
    <w:multiLevelType w:val="hybridMultilevel"/>
    <w:tmpl w:val="89145A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BD55F7"/>
    <w:multiLevelType w:val="hybridMultilevel"/>
    <w:tmpl w:val="564630E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923FEA"/>
    <w:multiLevelType w:val="hybridMultilevel"/>
    <w:tmpl w:val="47027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127078"/>
    <w:multiLevelType w:val="hybridMultilevel"/>
    <w:tmpl w:val="E67CB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5AE72B5"/>
    <w:multiLevelType w:val="hybridMultilevel"/>
    <w:tmpl w:val="5A607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197139"/>
    <w:multiLevelType w:val="hybridMultilevel"/>
    <w:tmpl w:val="C630D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1224C2"/>
    <w:multiLevelType w:val="hybridMultilevel"/>
    <w:tmpl w:val="C3F895F6"/>
    <w:lvl w:ilvl="0" w:tplc="8A3826F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8140035">
    <w:abstractNumId w:val="6"/>
  </w:num>
  <w:num w:numId="2" w16cid:durableId="2132088206">
    <w:abstractNumId w:val="31"/>
  </w:num>
  <w:num w:numId="3" w16cid:durableId="956520571">
    <w:abstractNumId w:val="37"/>
  </w:num>
  <w:num w:numId="4" w16cid:durableId="987367727">
    <w:abstractNumId w:val="5"/>
  </w:num>
  <w:num w:numId="5" w16cid:durableId="720641547">
    <w:abstractNumId w:val="9"/>
  </w:num>
  <w:num w:numId="6" w16cid:durableId="1202745453">
    <w:abstractNumId w:val="24"/>
  </w:num>
  <w:num w:numId="7" w16cid:durableId="968628463">
    <w:abstractNumId w:val="29"/>
  </w:num>
  <w:num w:numId="8" w16cid:durableId="1782722174">
    <w:abstractNumId w:val="34"/>
  </w:num>
  <w:num w:numId="9" w16cid:durableId="990058732">
    <w:abstractNumId w:val="33"/>
  </w:num>
  <w:num w:numId="10" w16cid:durableId="1827284743">
    <w:abstractNumId w:val="19"/>
  </w:num>
  <w:num w:numId="11" w16cid:durableId="1056389568">
    <w:abstractNumId w:val="39"/>
  </w:num>
  <w:num w:numId="12" w16cid:durableId="483279530">
    <w:abstractNumId w:val="21"/>
  </w:num>
  <w:num w:numId="13" w16cid:durableId="591669684">
    <w:abstractNumId w:val="4"/>
  </w:num>
  <w:num w:numId="14" w16cid:durableId="379673077">
    <w:abstractNumId w:val="22"/>
  </w:num>
  <w:num w:numId="15" w16cid:durableId="1750425472">
    <w:abstractNumId w:val="28"/>
  </w:num>
  <w:num w:numId="16" w16cid:durableId="495658632">
    <w:abstractNumId w:val="15"/>
  </w:num>
  <w:num w:numId="17" w16cid:durableId="166795606">
    <w:abstractNumId w:val="10"/>
  </w:num>
  <w:num w:numId="18" w16cid:durableId="1574586865">
    <w:abstractNumId w:val="3"/>
  </w:num>
  <w:num w:numId="19" w16cid:durableId="954289715">
    <w:abstractNumId w:val="16"/>
  </w:num>
  <w:num w:numId="20" w16cid:durableId="2043944722">
    <w:abstractNumId w:val="23"/>
  </w:num>
  <w:num w:numId="21" w16cid:durableId="1449741744">
    <w:abstractNumId w:val="40"/>
  </w:num>
  <w:num w:numId="22" w16cid:durableId="1300379648">
    <w:abstractNumId w:val="18"/>
  </w:num>
  <w:num w:numId="23" w16cid:durableId="1416978336">
    <w:abstractNumId w:val="11"/>
  </w:num>
  <w:num w:numId="24" w16cid:durableId="1755129090">
    <w:abstractNumId w:val="0"/>
  </w:num>
  <w:num w:numId="25" w16cid:durableId="1132094503">
    <w:abstractNumId w:val="43"/>
  </w:num>
  <w:num w:numId="26" w16cid:durableId="639581999">
    <w:abstractNumId w:val="36"/>
  </w:num>
  <w:num w:numId="27" w16cid:durableId="1503007934">
    <w:abstractNumId w:val="41"/>
  </w:num>
  <w:num w:numId="28" w16cid:durableId="1876237073">
    <w:abstractNumId w:val="25"/>
  </w:num>
  <w:num w:numId="29" w16cid:durableId="1546483046">
    <w:abstractNumId w:val="14"/>
  </w:num>
  <w:num w:numId="30" w16cid:durableId="718742134">
    <w:abstractNumId w:val="26"/>
  </w:num>
  <w:num w:numId="31" w16cid:durableId="1104614031">
    <w:abstractNumId w:val="1"/>
  </w:num>
  <w:num w:numId="32" w16cid:durableId="779956065">
    <w:abstractNumId w:val="13"/>
  </w:num>
  <w:num w:numId="33" w16cid:durableId="1386292631">
    <w:abstractNumId w:val="20"/>
  </w:num>
  <w:num w:numId="34" w16cid:durableId="1795170939">
    <w:abstractNumId w:val="2"/>
  </w:num>
  <w:num w:numId="35" w16cid:durableId="191505694">
    <w:abstractNumId w:val="30"/>
  </w:num>
  <w:num w:numId="36" w16cid:durableId="394864026">
    <w:abstractNumId w:val="35"/>
  </w:num>
  <w:num w:numId="37" w16cid:durableId="1367608658">
    <w:abstractNumId w:val="38"/>
  </w:num>
  <w:num w:numId="38" w16cid:durableId="1006785211">
    <w:abstractNumId w:val="27"/>
  </w:num>
  <w:num w:numId="39" w16cid:durableId="602031090">
    <w:abstractNumId w:val="32"/>
  </w:num>
  <w:num w:numId="40" w16cid:durableId="1387752555">
    <w:abstractNumId w:val="7"/>
  </w:num>
  <w:num w:numId="41" w16cid:durableId="557547207">
    <w:abstractNumId w:val="12"/>
  </w:num>
  <w:num w:numId="42" w16cid:durableId="677000220">
    <w:abstractNumId w:val="42"/>
  </w:num>
  <w:num w:numId="43" w16cid:durableId="638656592">
    <w:abstractNumId w:val="17"/>
  </w:num>
  <w:num w:numId="44" w16cid:durableId="20381173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94"/>
    <w:rsid w:val="0000123A"/>
    <w:rsid w:val="00005739"/>
    <w:rsid w:val="0000606D"/>
    <w:rsid w:val="00006346"/>
    <w:rsid w:val="00013C1E"/>
    <w:rsid w:val="00015399"/>
    <w:rsid w:val="000174BE"/>
    <w:rsid w:val="0001786F"/>
    <w:rsid w:val="00024705"/>
    <w:rsid w:val="00032063"/>
    <w:rsid w:val="000320B9"/>
    <w:rsid w:val="00032560"/>
    <w:rsid w:val="00032F97"/>
    <w:rsid w:val="00033195"/>
    <w:rsid w:val="000354BD"/>
    <w:rsid w:val="000405A6"/>
    <w:rsid w:val="00040B81"/>
    <w:rsid w:val="00042710"/>
    <w:rsid w:val="00043738"/>
    <w:rsid w:val="00043742"/>
    <w:rsid w:val="00045443"/>
    <w:rsid w:val="00051106"/>
    <w:rsid w:val="00051932"/>
    <w:rsid w:val="0005431E"/>
    <w:rsid w:val="0005563F"/>
    <w:rsid w:val="00055698"/>
    <w:rsid w:val="000564E0"/>
    <w:rsid w:val="0005695F"/>
    <w:rsid w:val="00056CC3"/>
    <w:rsid w:val="00056EC6"/>
    <w:rsid w:val="0006045A"/>
    <w:rsid w:val="00060831"/>
    <w:rsid w:val="00064818"/>
    <w:rsid w:val="00077C9F"/>
    <w:rsid w:val="0008189D"/>
    <w:rsid w:val="00086725"/>
    <w:rsid w:val="0009312A"/>
    <w:rsid w:val="00096AA4"/>
    <w:rsid w:val="000A1DBD"/>
    <w:rsid w:val="000A3E6C"/>
    <w:rsid w:val="000A6D3B"/>
    <w:rsid w:val="000B3523"/>
    <w:rsid w:val="000B76BA"/>
    <w:rsid w:val="000C121F"/>
    <w:rsid w:val="000D10A8"/>
    <w:rsid w:val="000D3B1F"/>
    <w:rsid w:val="000D4AC1"/>
    <w:rsid w:val="000D56FF"/>
    <w:rsid w:val="000D58DA"/>
    <w:rsid w:val="000D5E12"/>
    <w:rsid w:val="000D7AE0"/>
    <w:rsid w:val="000D7BDF"/>
    <w:rsid w:val="000E037F"/>
    <w:rsid w:val="000E1650"/>
    <w:rsid w:val="000E3C7C"/>
    <w:rsid w:val="000E601F"/>
    <w:rsid w:val="000F2AD8"/>
    <w:rsid w:val="000F7048"/>
    <w:rsid w:val="00107AF5"/>
    <w:rsid w:val="0011187F"/>
    <w:rsid w:val="00111FE3"/>
    <w:rsid w:val="00113505"/>
    <w:rsid w:val="00115207"/>
    <w:rsid w:val="00116FFE"/>
    <w:rsid w:val="001171B2"/>
    <w:rsid w:val="00144C5B"/>
    <w:rsid w:val="001475E7"/>
    <w:rsid w:val="00147B98"/>
    <w:rsid w:val="00147FFE"/>
    <w:rsid w:val="00153A5C"/>
    <w:rsid w:val="00154934"/>
    <w:rsid w:val="001561BA"/>
    <w:rsid w:val="00156B9E"/>
    <w:rsid w:val="00157CFD"/>
    <w:rsid w:val="00160D1F"/>
    <w:rsid w:val="001631E5"/>
    <w:rsid w:val="001632A1"/>
    <w:rsid w:val="00166270"/>
    <w:rsid w:val="0017031B"/>
    <w:rsid w:val="0017154E"/>
    <w:rsid w:val="00171E9E"/>
    <w:rsid w:val="00172843"/>
    <w:rsid w:val="001761C5"/>
    <w:rsid w:val="00177D77"/>
    <w:rsid w:val="0018159B"/>
    <w:rsid w:val="00182C4B"/>
    <w:rsid w:val="00190371"/>
    <w:rsid w:val="00191A08"/>
    <w:rsid w:val="0019558E"/>
    <w:rsid w:val="001A2DDC"/>
    <w:rsid w:val="001B2840"/>
    <w:rsid w:val="001B29A6"/>
    <w:rsid w:val="001B359B"/>
    <w:rsid w:val="001B5765"/>
    <w:rsid w:val="001C10DC"/>
    <w:rsid w:val="001C20F4"/>
    <w:rsid w:val="001C3714"/>
    <w:rsid w:val="001C3969"/>
    <w:rsid w:val="001C69CC"/>
    <w:rsid w:val="001D4165"/>
    <w:rsid w:val="001E161F"/>
    <w:rsid w:val="001E26EF"/>
    <w:rsid w:val="001E274B"/>
    <w:rsid w:val="001E4224"/>
    <w:rsid w:val="001E4AEA"/>
    <w:rsid w:val="001E5FE4"/>
    <w:rsid w:val="001E7913"/>
    <w:rsid w:val="001E7E50"/>
    <w:rsid w:val="001E7EC6"/>
    <w:rsid w:val="001F0FC7"/>
    <w:rsid w:val="001F77A4"/>
    <w:rsid w:val="001F784F"/>
    <w:rsid w:val="00206ACB"/>
    <w:rsid w:val="002072CD"/>
    <w:rsid w:val="002123ED"/>
    <w:rsid w:val="00216D0A"/>
    <w:rsid w:val="00216E3C"/>
    <w:rsid w:val="0022241F"/>
    <w:rsid w:val="002245F2"/>
    <w:rsid w:val="00232CCF"/>
    <w:rsid w:val="002479F6"/>
    <w:rsid w:val="00251F01"/>
    <w:rsid w:val="002578D7"/>
    <w:rsid w:val="0026240B"/>
    <w:rsid w:val="00266419"/>
    <w:rsid w:val="00277C76"/>
    <w:rsid w:val="00277D63"/>
    <w:rsid w:val="0028410A"/>
    <w:rsid w:val="00285994"/>
    <w:rsid w:val="00286247"/>
    <w:rsid w:val="00291207"/>
    <w:rsid w:val="00291864"/>
    <w:rsid w:val="00297789"/>
    <w:rsid w:val="002A15A1"/>
    <w:rsid w:val="002A4A4E"/>
    <w:rsid w:val="002A6C70"/>
    <w:rsid w:val="002B4C6E"/>
    <w:rsid w:val="002B6B63"/>
    <w:rsid w:val="002C1DEA"/>
    <w:rsid w:val="002D06AB"/>
    <w:rsid w:val="002D3643"/>
    <w:rsid w:val="002D47BD"/>
    <w:rsid w:val="002D680C"/>
    <w:rsid w:val="002D6C6E"/>
    <w:rsid w:val="002E5A67"/>
    <w:rsid w:val="002F39D8"/>
    <w:rsid w:val="00303665"/>
    <w:rsid w:val="00303683"/>
    <w:rsid w:val="00306D05"/>
    <w:rsid w:val="003203D0"/>
    <w:rsid w:val="00322D55"/>
    <w:rsid w:val="00324AC6"/>
    <w:rsid w:val="003307DC"/>
    <w:rsid w:val="003332A2"/>
    <w:rsid w:val="00333959"/>
    <w:rsid w:val="0033415F"/>
    <w:rsid w:val="00341A19"/>
    <w:rsid w:val="003439F7"/>
    <w:rsid w:val="003448F3"/>
    <w:rsid w:val="00353A8E"/>
    <w:rsid w:val="00354595"/>
    <w:rsid w:val="00355F30"/>
    <w:rsid w:val="00361052"/>
    <w:rsid w:val="003610E0"/>
    <w:rsid w:val="00361476"/>
    <w:rsid w:val="00362081"/>
    <w:rsid w:val="0036386F"/>
    <w:rsid w:val="00363E3D"/>
    <w:rsid w:val="003643D7"/>
    <w:rsid w:val="00364631"/>
    <w:rsid w:val="00366F25"/>
    <w:rsid w:val="003730EC"/>
    <w:rsid w:val="0037611E"/>
    <w:rsid w:val="003775A6"/>
    <w:rsid w:val="003775F0"/>
    <w:rsid w:val="003820F7"/>
    <w:rsid w:val="00385444"/>
    <w:rsid w:val="00391A4C"/>
    <w:rsid w:val="00392BFC"/>
    <w:rsid w:val="00392EF4"/>
    <w:rsid w:val="003951D3"/>
    <w:rsid w:val="00395479"/>
    <w:rsid w:val="00395F3C"/>
    <w:rsid w:val="003A1009"/>
    <w:rsid w:val="003A7BB1"/>
    <w:rsid w:val="003B1D9F"/>
    <w:rsid w:val="003B4D5B"/>
    <w:rsid w:val="003B6FB1"/>
    <w:rsid w:val="003C1018"/>
    <w:rsid w:val="003C3FFE"/>
    <w:rsid w:val="003C48DC"/>
    <w:rsid w:val="003D08DF"/>
    <w:rsid w:val="003D096A"/>
    <w:rsid w:val="003D42D5"/>
    <w:rsid w:val="003D5383"/>
    <w:rsid w:val="003D5CC4"/>
    <w:rsid w:val="003E0AD2"/>
    <w:rsid w:val="003E0F22"/>
    <w:rsid w:val="003E518C"/>
    <w:rsid w:val="003E6286"/>
    <w:rsid w:val="003E65AE"/>
    <w:rsid w:val="003E7356"/>
    <w:rsid w:val="003E7B98"/>
    <w:rsid w:val="003F01DC"/>
    <w:rsid w:val="003F1CEC"/>
    <w:rsid w:val="003F2840"/>
    <w:rsid w:val="003F3868"/>
    <w:rsid w:val="003F5511"/>
    <w:rsid w:val="003F5604"/>
    <w:rsid w:val="0040019C"/>
    <w:rsid w:val="00402DA8"/>
    <w:rsid w:val="00402E89"/>
    <w:rsid w:val="00405A6B"/>
    <w:rsid w:val="0041056C"/>
    <w:rsid w:val="00411861"/>
    <w:rsid w:val="004127E5"/>
    <w:rsid w:val="00414CF4"/>
    <w:rsid w:val="00417392"/>
    <w:rsid w:val="00417526"/>
    <w:rsid w:val="004178E2"/>
    <w:rsid w:val="00424A7F"/>
    <w:rsid w:val="00426E0A"/>
    <w:rsid w:val="00431015"/>
    <w:rsid w:val="00431816"/>
    <w:rsid w:val="00431D04"/>
    <w:rsid w:val="004346CD"/>
    <w:rsid w:val="00440D52"/>
    <w:rsid w:val="00440E6D"/>
    <w:rsid w:val="00441DAE"/>
    <w:rsid w:val="004430AF"/>
    <w:rsid w:val="004437FC"/>
    <w:rsid w:val="004519D8"/>
    <w:rsid w:val="0045444D"/>
    <w:rsid w:val="00457C83"/>
    <w:rsid w:val="00461791"/>
    <w:rsid w:val="00466802"/>
    <w:rsid w:val="00467C67"/>
    <w:rsid w:val="00477EE5"/>
    <w:rsid w:val="0048326C"/>
    <w:rsid w:val="0048671D"/>
    <w:rsid w:val="00487AFB"/>
    <w:rsid w:val="00491C3C"/>
    <w:rsid w:val="00492570"/>
    <w:rsid w:val="0049311D"/>
    <w:rsid w:val="00493A8A"/>
    <w:rsid w:val="004A2A9D"/>
    <w:rsid w:val="004B0787"/>
    <w:rsid w:val="004B177D"/>
    <w:rsid w:val="004B1BCE"/>
    <w:rsid w:val="004B1DAD"/>
    <w:rsid w:val="004B2D79"/>
    <w:rsid w:val="004C321A"/>
    <w:rsid w:val="004C3262"/>
    <w:rsid w:val="004C3434"/>
    <w:rsid w:val="004C3F4D"/>
    <w:rsid w:val="004C5231"/>
    <w:rsid w:val="004C6D2E"/>
    <w:rsid w:val="004D10A7"/>
    <w:rsid w:val="004D6580"/>
    <w:rsid w:val="004D7D7B"/>
    <w:rsid w:val="004E3341"/>
    <w:rsid w:val="004E3F87"/>
    <w:rsid w:val="004F0006"/>
    <w:rsid w:val="004F08EE"/>
    <w:rsid w:val="004F33EC"/>
    <w:rsid w:val="004F3816"/>
    <w:rsid w:val="004F4985"/>
    <w:rsid w:val="004F5F55"/>
    <w:rsid w:val="004F63FA"/>
    <w:rsid w:val="004F757F"/>
    <w:rsid w:val="00500668"/>
    <w:rsid w:val="00500C55"/>
    <w:rsid w:val="00504CA8"/>
    <w:rsid w:val="005107CF"/>
    <w:rsid w:val="0051323D"/>
    <w:rsid w:val="0051642F"/>
    <w:rsid w:val="005177D0"/>
    <w:rsid w:val="005326CB"/>
    <w:rsid w:val="0053507E"/>
    <w:rsid w:val="0053710D"/>
    <w:rsid w:val="005500B0"/>
    <w:rsid w:val="0055097C"/>
    <w:rsid w:val="00551F93"/>
    <w:rsid w:val="005534BC"/>
    <w:rsid w:val="005534F9"/>
    <w:rsid w:val="005535F7"/>
    <w:rsid w:val="00553BCC"/>
    <w:rsid w:val="0055735A"/>
    <w:rsid w:val="00562DB0"/>
    <w:rsid w:val="00566167"/>
    <w:rsid w:val="005671A0"/>
    <w:rsid w:val="005704DB"/>
    <w:rsid w:val="00570C62"/>
    <w:rsid w:val="00570D93"/>
    <w:rsid w:val="0057182B"/>
    <w:rsid w:val="0057667A"/>
    <w:rsid w:val="00590B48"/>
    <w:rsid w:val="00591B58"/>
    <w:rsid w:val="00596FAF"/>
    <w:rsid w:val="00597386"/>
    <w:rsid w:val="00597FC9"/>
    <w:rsid w:val="005A3061"/>
    <w:rsid w:val="005A33B2"/>
    <w:rsid w:val="005A4DA7"/>
    <w:rsid w:val="005A63B5"/>
    <w:rsid w:val="005B07A6"/>
    <w:rsid w:val="005B5429"/>
    <w:rsid w:val="005B5F89"/>
    <w:rsid w:val="005D095E"/>
    <w:rsid w:val="005D5DF8"/>
    <w:rsid w:val="005D5EF1"/>
    <w:rsid w:val="005D629C"/>
    <w:rsid w:val="005D6529"/>
    <w:rsid w:val="005E02B4"/>
    <w:rsid w:val="005E2939"/>
    <w:rsid w:val="005E76C6"/>
    <w:rsid w:val="005F45C3"/>
    <w:rsid w:val="005F6254"/>
    <w:rsid w:val="005F6331"/>
    <w:rsid w:val="005F7FCE"/>
    <w:rsid w:val="0060676B"/>
    <w:rsid w:val="006067DF"/>
    <w:rsid w:val="006070BA"/>
    <w:rsid w:val="00611401"/>
    <w:rsid w:val="006134C0"/>
    <w:rsid w:val="00613969"/>
    <w:rsid w:val="00613CCC"/>
    <w:rsid w:val="006173AC"/>
    <w:rsid w:val="00626AC9"/>
    <w:rsid w:val="00630281"/>
    <w:rsid w:val="00634207"/>
    <w:rsid w:val="00635142"/>
    <w:rsid w:val="0063762A"/>
    <w:rsid w:val="006409D2"/>
    <w:rsid w:val="0064251D"/>
    <w:rsid w:val="00647C50"/>
    <w:rsid w:val="00651C21"/>
    <w:rsid w:val="00652A26"/>
    <w:rsid w:val="0066216C"/>
    <w:rsid w:val="0066415A"/>
    <w:rsid w:val="00667B70"/>
    <w:rsid w:val="00667D3F"/>
    <w:rsid w:val="00674AE5"/>
    <w:rsid w:val="00675C7E"/>
    <w:rsid w:val="00681A43"/>
    <w:rsid w:val="006850BF"/>
    <w:rsid w:val="00695F6E"/>
    <w:rsid w:val="00697A7F"/>
    <w:rsid w:val="00697B38"/>
    <w:rsid w:val="006A0FF6"/>
    <w:rsid w:val="006A2FF4"/>
    <w:rsid w:val="006A4AFF"/>
    <w:rsid w:val="006A5E09"/>
    <w:rsid w:val="006A675C"/>
    <w:rsid w:val="006A6E8F"/>
    <w:rsid w:val="006B0F4F"/>
    <w:rsid w:val="006B59F7"/>
    <w:rsid w:val="006C19E7"/>
    <w:rsid w:val="006C58A0"/>
    <w:rsid w:val="006D0073"/>
    <w:rsid w:val="006E33E2"/>
    <w:rsid w:val="006E66E9"/>
    <w:rsid w:val="006F2042"/>
    <w:rsid w:val="006F2296"/>
    <w:rsid w:val="006F2C76"/>
    <w:rsid w:val="006F7790"/>
    <w:rsid w:val="00702CD1"/>
    <w:rsid w:val="007108FD"/>
    <w:rsid w:val="007123BD"/>
    <w:rsid w:val="00713442"/>
    <w:rsid w:val="00713FCD"/>
    <w:rsid w:val="00715C12"/>
    <w:rsid w:val="00720FC8"/>
    <w:rsid w:val="007212DB"/>
    <w:rsid w:val="0072244A"/>
    <w:rsid w:val="007261FF"/>
    <w:rsid w:val="00734B5E"/>
    <w:rsid w:val="00734E40"/>
    <w:rsid w:val="00735A70"/>
    <w:rsid w:val="00735AC3"/>
    <w:rsid w:val="0073794E"/>
    <w:rsid w:val="00741798"/>
    <w:rsid w:val="00747115"/>
    <w:rsid w:val="007502B7"/>
    <w:rsid w:val="0075081B"/>
    <w:rsid w:val="00753173"/>
    <w:rsid w:val="00754981"/>
    <w:rsid w:val="00755DD5"/>
    <w:rsid w:val="007569CF"/>
    <w:rsid w:val="0076198E"/>
    <w:rsid w:val="007624C7"/>
    <w:rsid w:val="007626D3"/>
    <w:rsid w:val="00772F96"/>
    <w:rsid w:val="00781DC5"/>
    <w:rsid w:val="007865AF"/>
    <w:rsid w:val="007944EF"/>
    <w:rsid w:val="00794FCA"/>
    <w:rsid w:val="00795318"/>
    <w:rsid w:val="007A08E2"/>
    <w:rsid w:val="007A2AEF"/>
    <w:rsid w:val="007A3594"/>
    <w:rsid w:val="007A3D6F"/>
    <w:rsid w:val="007A7F03"/>
    <w:rsid w:val="007B05CD"/>
    <w:rsid w:val="007B0D8B"/>
    <w:rsid w:val="007B3762"/>
    <w:rsid w:val="007B4539"/>
    <w:rsid w:val="007C057A"/>
    <w:rsid w:val="007C2777"/>
    <w:rsid w:val="007D57D3"/>
    <w:rsid w:val="007E0B0D"/>
    <w:rsid w:val="007E0FF4"/>
    <w:rsid w:val="007E29CC"/>
    <w:rsid w:val="007E2AD3"/>
    <w:rsid w:val="007E4BCE"/>
    <w:rsid w:val="007E6515"/>
    <w:rsid w:val="007E6A39"/>
    <w:rsid w:val="007F2DE5"/>
    <w:rsid w:val="007F3882"/>
    <w:rsid w:val="007F4B80"/>
    <w:rsid w:val="007F4E66"/>
    <w:rsid w:val="007F7817"/>
    <w:rsid w:val="00805721"/>
    <w:rsid w:val="00806AC3"/>
    <w:rsid w:val="00806F9F"/>
    <w:rsid w:val="00807497"/>
    <w:rsid w:val="00807DDA"/>
    <w:rsid w:val="00807F14"/>
    <w:rsid w:val="00812F4B"/>
    <w:rsid w:val="00813757"/>
    <w:rsid w:val="008137D0"/>
    <w:rsid w:val="00813A7B"/>
    <w:rsid w:val="008165D9"/>
    <w:rsid w:val="00817D7C"/>
    <w:rsid w:val="00821220"/>
    <w:rsid w:val="00821901"/>
    <w:rsid w:val="00830776"/>
    <w:rsid w:val="00830DC2"/>
    <w:rsid w:val="008317C5"/>
    <w:rsid w:val="00832F1B"/>
    <w:rsid w:val="008335E7"/>
    <w:rsid w:val="00836BC3"/>
    <w:rsid w:val="00837633"/>
    <w:rsid w:val="00842EB7"/>
    <w:rsid w:val="00845FB8"/>
    <w:rsid w:val="00856B72"/>
    <w:rsid w:val="00857748"/>
    <w:rsid w:val="008606C6"/>
    <w:rsid w:val="00863704"/>
    <w:rsid w:val="008717DE"/>
    <w:rsid w:val="008768E5"/>
    <w:rsid w:val="00881E95"/>
    <w:rsid w:val="00881F1E"/>
    <w:rsid w:val="00882DD0"/>
    <w:rsid w:val="008865F1"/>
    <w:rsid w:val="008875C3"/>
    <w:rsid w:val="008914CE"/>
    <w:rsid w:val="0089371F"/>
    <w:rsid w:val="00896B9F"/>
    <w:rsid w:val="008971C6"/>
    <w:rsid w:val="008A16BA"/>
    <w:rsid w:val="008A1F9B"/>
    <w:rsid w:val="008A2816"/>
    <w:rsid w:val="008A6ACB"/>
    <w:rsid w:val="008B5526"/>
    <w:rsid w:val="008B6C07"/>
    <w:rsid w:val="008B6DE2"/>
    <w:rsid w:val="008C0CFA"/>
    <w:rsid w:val="008C5182"/>
    <w:rsid w:val="008D2AF8"/>
    <w:rsid w:val="008D3659"/>
    <w:rsid w:val="008D6B58"/>
    <w:rsid w:val="008E20E3"/>
    <w:rsid w:val="008E316E"/>
    <w:rsid w:val="008E5B10"/>
    <w:rsid w:val="008F1DAD"/>
    <w:rsid w:val="008F49FE"/>
    <w:rsid w:val="008F4B52"/>
    <w:rsid w:val="00906312"/>
    <w:rsid w:val="00907722"/>
    <w:rsid w:val="009100CD"/>
    <w:rsid w:val="00910D2F"/>
    <w:rsid w:val="009116DE"/>
    <w:rsid w:val="00912C3B"/>
    <w:rsid w:val="00914D4B"/>
    <w:rsid w:val="00914E46"/>
    <w:rsid w:val="009153DA"/>
    <w:rsid w:val="009161D5"/>
    <w:rsid w:val="009244DD"/>
    <w:rsid w:val="00924817"/>
    <w:rsid w:val="00925CB2"/>
    <w:rsid w:val="00926942"/>
    <w:rsid w:val="009311A1"/>
    <w:rsid w:val="00932DAD"/>
    <w:rsid w:val="00933B08"/>
    <w:rsid w:val="00935416"/>
    <w:rsid w:val="00941215"/>
    <w:rsid w:val="00955B0B"/>
    <w:rsid w:val="00955B97"/>
    <w:rsid w:val="00956AAB"/>
    <w:rsid w:val="00957419"/>
    <w:rsid w:val="00960758"/>
    <w:rsid w:val="00962332"/>
    <w:rsid w:val="00966432"/>
    <w:rsid w:val="009665EA"/>
    <w:rsid w:val="00966866"/>
    <w:rsid w:val="00967FAE"/>
    <w:rsid w:val="0097066C"/>
    <w:rsid w:val="00971206"/>
    <w:rsid w:val="009727C6"/>
    <w:rsid w:val="0097431A"/>
    <w:rsid w:val="00974D7C"/>
    <w:rsid w:val="0097614F"/>
    <w:rsid w:val="00977EC5"/>
    <w:rsid w:val="00992F6E"/>
    <w:rsid w:val="009937BC"/>
    <w:rsid w:val="009A27E7"/>
    <w:rsid w:val="009A2DA3"/>
    <w:rsid w:val="009A53B3"/>
    <w:rsid w:val="009A598C"/>
    <w:rsid w:val="009B478C"/>
    <w:rsid w:val="009B5C4A"/>
    <w:rsid w:val="009B5C61"/>
    <w:rsid w:val="009B5C95"/>
    <w:rsid w:val="009B660F"/>
    <w:rsid w:val="009C32A4"/>
    <w:rsid w:val="009C4D77"/>
    <w:rsid w:val="009C72B9"/>
    <w:rsid w:val="009D0E72"/>
    <w:rsid w:val="009D1561"/>
    <w:rsid w:val="009D76DA"/>
    <w:rsid w:val="009E0D19"/>
    <w:rsid w:val="009E0F1E"/>
    <w:rsid w:val="009E1842"/>
    <w:rsid w:val="009E210E"/>
    <w:rsid w:val="009E3360"/>
    <w:rsid w:val="009E38C4"/>
    <w:rsid w:val="009E5F89"/>
    <w:rsid w:val="009E640A"/>
    <w:rsid w:val="009F0838"/>
    <w:rsid w:val="00A05215"/>
    <w:rsid w:val="00A053EE"/>
    <w:rsid w:val="00A10EE4"/>
    <w:rsid w:val="00A13352"/>
    <w:rsid w:val="00A1379F"/>
    <w:rsid w:val="00A159B8"/>
    <w:rsid w:val="00A15D4A"/>
    <w:rsid w:val="00A26B89"/>
    <w:rsid w:val="00A30559"/>
    <w:rsid w:val="00A33C2A"/>
    <w:rsid w:val="00A34906"/>
    <w:rsid w:val="00A36003"/>
    <w:rsid w:val="00A379A1"/>
    <w:rsid w:val="00A42BA7"/>
    <w:rsid w:val="00A42FE4"/>
    <w:rsid w:val="00A54A63"/>
    <w:rsid w:val="00A54DCD"/>
    <w:rsid w:val="00A60912"/>
    <w:rsid w:val="00A704CF"/>
    <w:rsid w:val="00A71C20"/>
    <w:rsid w:val="00A74650"/>
    <w:rsid w:val="00A7466A"/>
    <w:rsid w:val="00A90E3C"/>
    <w:rsid w:val="00A925B0"/>
    <w:rsid w:val="00A97817"/>
    <w:rsid w:val="00AA2377"/>
    <w:rsid w:val="00AA3FD9"/>
    <w:rsid w:val="00AB0678"/>
    <w:rsid w:val="00AB3670"/>
    <w:rsid w:val="00AB73FF"/>
    <w:rsid w:val="00AC578B"/>
    <w:rsid w:val="00AD4625"/>
    <w:rsid w:val="00AD6818"/>
    <w:rsid w:val="00AD6D9E"/>
    <w:rsid w:val="00AE531B"/>
    <w:rsid w:val="00AF5EA8"/>
    <w:rsid w:val="00AF6ACD"/>
    <w:rsid w:val="00B00B6B"/>
    <w:rsid w:val="00B00D73"/>
    <w:rsid w:val="00B03028"/>
    <w:rsid w:val="00B05AC7"/>
    <w:rsid w:val="00B06799"/>
    <w:rsid w:val="00B07FFA"/>
    <w:rsid w:val="00B117DC"/>
    <w:rsid w:val="00B31207"/>
    <w:rsid w:val="00B40068"/>
    <w:rsid w:val="00B4747C"/>
    <w:rsid w:val="00B51ABE"/>
    <w:rsid w:val="00B51C99"/>
    <w:rsid w:val="00B5269C"/>
    <w:rsid w:val="00B54C34"/>
    <w:rsid w:val="00B556D2"/>
    <w:rsid w:val="00B60102"/>
    <w:rsid w:val="00B62FC7"/>
    <w:rsid w:val="00B67373"/>
    <w:rsid w:val="00B71EA9"/>
    <w:rsid w:val="00B7343C"/>
    <w:rsid w:val="00B7563A"/>
    <w:rsid w:val="00B75814"/>
    <w:rsid w:val="00B7621A"/>
    <w:rsid w:val="00B85475"/>
    <w:rsid w:val="00B90F9E"/>
    <w:rsid w:val="00B95455"/>
    <w:rsid w:val="00B95837"/>
    <w:rsid w:val="00BA2AC6"/>
    <w:rsid w:val="00BA421C"/>
    <w:rsid w:val="00BA7F3A"/>
    <w:rsid w:val="00BB0013"/>
    <w:rsid w:val="00BB137A"/>
    <w:rsid w:val="00BB3082"/>
    <w:rsid w:val="00BB6278"/>
    <w:rsid w:val="00BC2A9D"/>
    <w:rsid w:val="00BC50DA"/>
    <w:rsid w:val="00BC5428"/>
    <w:rsid w:val="00BE22EA"/>
    <w:rsid w:val="00BF2644"/>
    <w:rsid w:val="00BF7071"/>
    <w:rsid w:val="00C018D5"/>
    <w:rsid w:val="00C046FE"/>
    <w:rsid w:val="00C05DAD"/>
    <w:rsid w:val="00C07CC6"/>
    <w:rsid w:val="00C10327"/>
    <w:rsid w:val="00C1400C"/>
    <w:rsid w:val="00C144A9"/>
    <w:rsid w:val="00C153D2"/>
    <w:rsid w:val="00C24250"/>
    <w:rsid w:val="00C253CB"/>
    <w:rsid w:val="00C329AE"/>
    <w:rsid w:val="00C32A6A"/>
    <w:rsid w:val="00C349BA"/>
    <w:rsid w:val="00C3550C"/>
    <w:rsid w:val="00C375DF"/>
    <w:rsid w:val="00C4550E"/>
    <w:rsid w:val="00C462EF"/>
    <w:rsid w:val="00C467CA"/>
    <w:rsid w:val="00C558EB"/>
    <w:rsid w:val="00C55DB7"/>
    <w:rsid w:val="00C6119D"/>
    <w:rsid w:val="00C6143B"/>
    <w:rsid w:val="00C63D81"/>
    <w:rsid w:val="00C64B8F"/>
    <w:rsid w:val="00C654A1"/>
    <w:rsid w:val="00C82025"/>
    <w:rsid w:val="00C85170"/>
    <w:rsid w:val="00C87A91"/>
    <w:rsid w:val="00C925C6"/>
    <w:rsid w:val="00CA0CC5"/>
    <w:rsid w:val="00CA302B"/>
    <w:rsid w:val="00CA7D2F"/>
    <w:rsid w:val="00CB2709"/>
    <w:rsid w:val="00CB69EB"/>
    <w:rsid w:val="00CB6A5C"/>
    <w:rsid w:val="00CB72CC"/>
    <w:rsid w:val="00CC3308"/>
    <w:rsid w:val="00CC4E80"/>
    <w:rsid w:val="00CD050C"/>
    <w:rsid w:val="00CD350D"/>
    <w:rsid w:val="00CE0E8B"/>
    <w:rsid w:val="00CE3E2B"/>
    <w:rsid w:val="00CE4014"/>
    <w:rsid w:val="00CE6820"/>
    <w:rsid w:val="00D02BF6"/>
    <w:rsid w:val="00D042B9"/>
    <w:rsid w:val="00D10375"/>
    <w:rsid w:val="00D1164E"/>
    <w:rsid w:val="00D123ED"/>
    <w:rsid w:val="00D12D86"/>
    <w:rsid w:val="00D1484E"/>
    <w:rsid w:val="00D14D41"/>
    <w:rsid w:val="00D16F1C"/>
    <w:rsid w:val="00D26404"/>
    <w:rsid w:val="00D26658"/>
    <w:rsid w:val="00D26A63"/>
    <w:rsid w:val="00D27CC7"/>
    <w:rsid w:val="00D3338F"/>
    <w:rsid w:val="00D334D6"/>
    <w:rsid w:val="00D34C45"/>
    <w:rsid w:val="00D415ED"/>
    <w:rsid w:val="00D437FD"/>
    <w:rsid w:val="00D514D5"/>
    <w:rsid w:val="00D52676"/>
    <w:rsid w:val="00D551D3"/>
    <w:rsid w:val="00D5679D"/>
    <w:rsid w:val="00D57A91"/>
    <w:rsid w:val="00D57E9C"/>
    <w:rsid w:val="00D64574"/>
    <w:rsid w:val="00D657C6"/>
    <w:rsid w:val="00D67C95"/>
    <w:rsid w:val="00D717DD"/>
    <w:rsid w:val="00D8460B"/>
    <w:rsid w:val="00D865DA"/>
    <w:rsid w:val="00D876AE"/>
    <w:rsid w:val="00D94344"/>
    <w:rsid w:val="00DA0EF4"/>
    <w:rsid w:val="00DA1B73"/>
    <w:rsid w:val="00DA3ACB"/>
    <w:rsid w:val="00DA5DF5"/>
    <w:rsid w:val="00DA625F"/>
    <w:rsid w:val="00DB0D2B"/>
    <w:rsid w:val="00DB6964"/>
    <w:rsid w:val="00DC1691"/>
    <w:rsid w:val="00DC5663"/>
    <w:rsid w:val="00DC7C35"/>
    <w:rsid w:val="00DC7C6A"/>
    <w:rsid w:val="00DD111D"/>
    <w:rsid w:val="00DD44BF"/>
    <w:rsid w:val="00DD57D7"/>
    <w:rsid w:val="00DE06FA"/>
    <w:rsid w:val="00DE0FBF"/>
    <w:rsid w:val="00DE2862"/>
    <w:rsid w:val="00DE5833"/>
    <w:rsid w:val="00DE5DD8"/>
    <w:rsid w:val="00DF13C8"/>
    <w:rsid w:val="00E03139"/>
    <w:rsid w:val="00E03B12"/>
    <w:rsid w:val="00E04DBF"/>
    <w:rsid w:val="00E067E9"/>
    <w:rsid w:val="00E06C44"/>
    <w:rsid w:val="00E0748E"/>
    <w:rsid w:val="00E10B6F"/>
    <w:rsid w:val="00E115D4"/>
    <w:rsid w:val="00E146C1"/>
    <w:rsid w:val="00E152BC"/>
    <w:rsid w:val="00E1770A"/>
    <w:rsid w:val="00E22188"/>
    <w:rsid w:val="00E22A58"/>
    <w:rsid w:val="00E40C48"/>
    <w:rsid w:val="00E44D42"/>
    <w:rsid w:val="00E46269"/>
    <w:rsid w:val="00E469D3"/>
    <w:rsid w:val="00E46A93"/>
    <w:rsid w:val="00E51640"/>
    <w:rsid w:val="00E54865"/>
    <w:rsid w:val="00E60651"/>
    <w:rsid w:val="00E6187A"/>
    <w:rsid w:val="00E64D25"/>
    <w:rsid w:val="00E7012D"/>
    <w:rsid w:val="00E70E42"/>
    <w:rsid w:val="00E724C0"/>
    <w:rsid w:val="00E76F5F"/>
    <w:rsid w:val="00E84807"/>
    <w:rsid w:val="00E85CE6"/>
    <w:rsid w:val="00E86009"/>
    <w:rsid w:val="00E90D45"/>
    <w:rsid w:val="00E91768"/>
    <w:rsid w:val="00E9593E"/>
    <w:rsid w:val="00EA0386"/>
    <w:rsid w:val="00EA0535"/>
    <w:rsid w:val="00EA2CBF"/>
    <w:rsid w:val="00EA2E03"/>
    <w:rsid w:val="00EB1365"/>
    <w:rsid w:val="00EB167B"/>
    <w:rsid w:val="00EB2DA6"/>
    <w:rsid w:val="00EB45FF"/>
    <w:rsid w:val="00EB7F7C"/>
    <w:rsid w:val="00EB7FC2"/>
    <w:rsid w:val="00EC0F7D"/>
    <w:rsid w:val="00EC1827"/>
    <w:rsid w:val="00EC1E23"/>
    <w:rsid w:val="00EC1F25"/>
    <w:rsid w:val="00EC6602"/>
    <w:rsid w:val="00EC7063"/>
    <w:rsid w:val="00ED097D"/>
    <w:rsid w:val="00ED15CA"/>
    <w:rsid w:val="00ED1EA7"/>
    <w:rsid w:val="00ED256A"/>
    <w:rsid w:val="00ED2C3E"/>
    <w:rsid w:val="00ED48A7"/>
    <w:rsid w:val="00ED516F"/>
    <w:rsid w:val="00ED53C2"/>
    <w:rsid w:val="00ED6BF8"/>
    <w:rsid w:val="00EE0C2B"/>
    <w:rsid w:val="00EE11D6"/>
    <w:rsid w:val="00EE1A07"/>
    <w:rsid w:val="00EE43A5"/>
    <w:rsid w:val="00EE65A6"/>
    <w:rsid w:val="00EF4F7A"/>
    <w:rsid w:val="00EF7493"/>
    <w:rsid w:val="00F01C5B"/>
    <w:rsid w:val="00F05556"/>
    <w:rsid w:val="00F17292"/>
    <w:rsid w:val="00F21B43"/>
    <w:rsid w:val="00F23E38"/>
    <w:rsid w:val="00F3451A"/>
    <w:rsid w:val="00F36B3B"/>
    <w:rsid w:val="00F37F08"/>
    <w:rsid w:val="00F4170F"/>
    <w:rsid w:val="00F42F17"/>
    <w:rsid w:val="00F43B1D"/>
    <w:rsid w:val="00F45128"/>
    <w:rsid w:val="00F50B01"/>
    <w:rsid w:val="00F50BA4"/>
    <w:rsid w:val="00F568C7"/>
    <w:rsid w:val="00F578ED"/>
    <w:rsid w:val="00F67A36"/>
    <w:rsid w:val="00F70BEF"/>
    <w:rsid w:val="00F74F9F"/>
    <w:rsid w:val="00F75C67"/>
    <w:rsid w:val="00F82C4F"/>
    <w:rsid w:val="00F843F8"/>
    <w:rsid w:val="00F96D8B"/>
    <w:rsid w:val="00FA4149"/>
    <w:rsid w:val="00FA5B08"/>
    <w:rsid w:val="00FA5E6F"/>
    <w:rsid w:val="00FB0692"/>
    <w:rsid w:val="00FB18E3"/>
    <w:rsid w:val="00FB34DB"/>
    <w:rsid w:val="00FB435B"/>
    <w:rsid w:val="00FB6843"/>
    <w:rsid w:val="00FC46E3"/>
    <w:rsid w:val="00FD0A03"/>
    <w:rsid w:val="00FD6E2F"/>
    <w:rsid w:val="00FE170E"/>
    <w:rsid w:val="00FE296C"/>
    <w:rsid w:val="00FE2A85"/>
    <w:rsid w:val="00FE2E21"/>
    <w:rsid w:val="00FE5C76"/>
    <w:rsid w:val="00FE5CEC"/>
    <w:rsid w:val="00FF1863"/>
    <w:rsid w:val="00FF3991"/>
    <w:rsid w:val="00FF4904"/>
    <w:rsid w:val="00FF670E"/>
    <w:rsid w:val="00FF6D78"/>
    <w:rsid w:val="00FF76EE"/>
    <w:rsid w:val="00FF79A9"/>
    <w:rsid w:val="00FF7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6B083"/>
  <w15:chartTrackingRefBased/>
  <w15:docId w15:val="{A088B4D5-1C77-4984-9623-0D9AFFA3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F97"/>
  </w:style>
  <w:style w:type="paragraph" w:styleId="Heading1">
    <w:name w:val="heading 1"/>
    <w:basedOn w:val="Normal"/>
    <w:next w:val="Normal"/>
    <w:link w:val="Heading1Char"/>
    <w:uiPriority w:val="9"/>
    <w:qFormat/>
    <w:rsid w:val="00033195"/>
    <w:pPr>
      <w:outlineLvl w:val="0"/>
    </w:pPr>
    <w:rPr>
      <w:rFonts w:ascii="Comfortaa" w:hAnsi="Comfortaa"/>
      <w:b/>
      <w:color w:val="D3420D" w:themeColor="accent1"/>
      <w:sz w:val="48"/>
      <w:szCs w:val="52"/>
    </w:rPr>
  </w:style>
  <w:style w:type="paragraph" w:styleId="Heading2">
    <w:name w:val="heading 2"/>
    <w:basedOn w:val="Normal"/>
    <w:next w:val="Normal"/>
    <w:link w:val="Heading2Char"/>
    <w:uiPriority w:val="9"/>
    <w:unhideWhenUsed/>
    <w:qFormat/>
    <w:rsid w:val="00AD4625"/>
    <w:pPr>
      <w:keepNext/>
      <w:spacing w:before="120" w:after="80"/>
      <w:outlineLvl w:val="1"/>
    </w:pPr>
    <w:rPr>
      <w:rFonts w:asciiTheme="majorHAnsi" w:hAnsiTheme="majorHAnsi"/>
      <w:b/>
      <w:color w:val="D3420D" w:themeColor="accent1"/>
      <w:sz w:val="32"/>
    </w:rPr>
  </w:style>
  <w:style w:type="paragraph" w:styleId="Heading3">
    <w:name w:val="heading 3"/>
    <w:basedOn w:val="Normal"/>
    <w:next w:val="Normal"/>
    <w:link w:val="Heading3Char"/>
    <w:uiPriority w:val="9"/>
    <w:unhideWhenUsed/>
    <w:qFormat/>
    <w:rsid w:val="00AD4625"/>
    <w:pPr>
      <w:keepNext/>
      <w:outlineLvl w:val="2"/>
    </w:pPr>
    <w:rPr>
      <w:rFonts w:asciiTheme="majorHAnsi" w:hAnsiTheme="majorHAnsi"/>
      <w:b/>
      <w:sz w:val="30"/>
    </w:rPr>
  </w:style>
  <w:style w:type="paragraph" w:styleId="Heading4">
    <w:name w:val="heading 4"/>
    <w:basedOn w:val="Normal"/>
    <w:next w:val="Normal"/>
    <w:link w:val="Heading4Char"/>
    <w:uiPriority w:val="9"/>
    <w:unhideWhenUsed/>
    <w:qFormat/>
    <w:rsid w:val="00AD4625"/>
    <w:pPr>
      <w:keepNext/>
      <w:outlineLvl w:val="3"/>
    </w:pPr>
    <w:rPr>
      <w:rFonts w:asciiTheme="majorHAnsi" w:hAnsiTheme="majorHAnsi"/>
      <w:sz w:val="30"/>
    </w:rPr>
  </w:style>
  <w:style w:type="paragraph" w:styleId="Heading5">
    <w:name w:val="heading 5"/>
    <w:basedOn w:val="Normal"/>
    <w:next w:val="Normal"/>
    <w:link w:val="Heading5Char"/>
    <w:uiPriority w:val="9"/>
    <w:unhideWhenUsed/>
    <w:qFormat/>
    <w:rsid w:val="00341A19"/>
    <w:pPr>
      <w:outlineLvl w:val="4"/>
    </w:pPr>
    <w:rPr>
      <w:i/>
      <w:sz w:val="26"/>
    </w:rPr>
  </w:style>
  <w:style w:type="paragraph" w:styleId="Heading6">
    <w:name w:val="heading 6"/>
    <w:basedOn w:val="Normal"/>
    <w:next w:val="Normal"/>
    <w:link w:val="Heading6Char"/>
    <w:uiPriority w:val="9"/>
    <w:semiHidden/>
    <w:unhideWhenUsed/>
    <w:qFormat/>
    <w:rsid w:val="006134C0"/>
    <w:pPr>
      <w:keepNext/>
      <w:keepLines/>
      <w:spacing w:before="40" w:after="0"/>
      <w:outlineLvl w:val="5"/>
    </w:pPr>
    <w:rPr>
      <w:rFonts w:asciiTheme="majorHAnsi" w:eastAsiaTheme="majorEastAsia" w:hAnsiTheme="majorHAnsi" w:cstheme="majorBidi"/>
      <w:i/>
      <w:iCs/>
      <w:caps/>
      <w:color w:val="692106" w:themeColor="accent1" w:themeShade="80"/>
    </w:rPr>
  </w:style>
  <w:style w:type="paragraph" w:styleId="Heading7">
    <w:name w:val="heading 7"/>
    <w:basedOn w:val="Normal"/>
    <w:next w:val="Normal"/>
    <w:link w:val="Heading7Char"/>
    <w:uiPriority w:val="9"/>
    <w:semiHidden/>
    <w:unhideWhenUsed/>
    <w:qFormat/>
    <w:rsid w:val="006134C0"/>
    <w:pPr>
      <w:keepNext/>
      <w:keepLines/>
      <w:spacing w:before="40" w:after="0"/>
      <w:outlineLvl w:val="6"/>
    </w:pPr>
    <w:rPr>
      <w:rFonts w:asciiTheme="majorHAnsi" w:eastAsiaTheme="majorEastAsia" w:hAnsiTheme="majorHAnsi" w:cstheme="majorBidi"/>
      <w:b/>
      <w:bCs/>
      <w:color w:val="692106" w:themeColor="accent1" w:themeShade="80"/>
    </w:rPr>
  </w:style>
  <w:style w:type="paragraph" w:styleId="Heading8">
    <w:name w:val="heading 8"/>
    <w:basedOn w:val="Normal"/>
    <w:next w:val="Normal"/>
    <w:link w:val="Heading8Char"/>
    <w:uiPriority w:val="9"/>
    <w:semiHidden/>
    <w:unhideWhenUsed/>
    <w:qFormat/>
    <w:rsid w:val="006134C0"/>
    <w:pPr>
      <w:keepNext/>
      <w:keepLines/>
      <w:spacing w:before="40" w:after="0"/>
      <w:outlineLvl w:val="7"/>
    </w:pPr>
    <w:rPr>
      <w:rFonts w:asciiTheme="majorHAnsi" w:eastAsiaTheme="majorEastAsia" w:hAnsiTheme="majorHAnsi" w:cstheme="majorBidi"/>
      <w:b/>
      <w:bCs/>
      <w:i/>
      <w:iCs/>
      <w:color w:val="692106" w:themeColor="accent1" w:themeShade="80"/>
    </w:rPr>
  </w:style>
  <w:style w:type="paragraph" w:styleId="Heading9">
    <w:name w:val="heading 9"/>
    <w:basedOn w:val="Normal"/>
    <w:next w:val="Normal"/>
    <w:link w:val="Heading9Char"/>
    <w:uiPriority w:val="9"/>
    <w:semiHidden/>
    <w:unhideWhenUsed/>
    <w:qFormat/>
    <w:rsid w:val="006134C0"/>
    <w:pPr>
      <w:keepNext/>
      <w:keepLines/>
      <w:spacing w:before="40" w:after="0"/>
      <w:outlineLvl w:val="8"/>
    </w:pPr>
    <w:rPr>
      <w:rFonts w:asciiTheme="majorHAnsi" w:eastAsiaTheme="majorEastAsia" w:hAnsiTheme="majorHAnsi" w:cstheme="majorBidi"/>
      <w:i/>
      <w:iCs/>
      <w:color w:val="69210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195"/>
    <w:rPr>
      <w:rFonts w:ascii="Comfortaa" w:hAnsi="Comfortaa"/>
      <w:b/>
      <w:color w:val="D3420D" w:themeColor="accent1"/>
      <w:sz w:val="48"/>
      <w:szCs w:val="52"/>
    </w:rPr>
  </w:style>
  <w:style w:type="character" w:customStyle="1" w:styleId="Heading2Char">
    <w:name w:val="Heading 2 Char"/>
    <w:basedOn w:val="DefaultParagraphFont"/>
    <w:link w:val="Heading2"/>
    <w:uiPriority w:val="9"/>
    <w:rsid w:val="00AD4625"/>
    <w:rPr>
      <w:rFonts w:asciiTheme="majorHAnsi" w:hAnsiTheme="majorHAnsi"/>
      <w:b/>
      <w:color w:val="D3420D" w:themeColor="accent1"/>
      <w:sz w:val="32"/>
    </w:rPr>
  </w:style>
  <w:style w:type="character" w:customStyle="1" w:styleId="Heading3Char">
    <w:name w:val="Heading 3 Char"/>
    <w:basedOn w:val="DefaultParagraphFont"/>
    <w:link w:val="Heading3"/>
    <w:uiPriority w:val="9"/>
    <w:rsid w:val="00AD4625"/>
    <w:rPr>
      <w:rFonts w:asciiTheme="majorHAnsi" w:hAnsiTheme="majorHAnsi"/>
      <w:b/>
      <w:sz w:val="30"/>
    </w:rPr>
  </w:style>
  <w:style w:type="character" w:customStyle="1" w:styleId="Heading4Char">
    <w:name w:val="Heading 4 Char"/>
    <w:basedOn w:val="DefaultParagraphFont"/>
    <w:link w:val="Heading4"/>
    <w:uiPriority w:val="9"/>
    <w:rsid w:val="00AD4625"/>
    <w:rPr>
      <w:rFonts w:asciiTheme="majorHAnsi" w:hAnsiTheme="majorHAnsi"/>
      <w:sz w:val="30"/>
    </w:rPr>
  </w:style>
  <w:style w:type="paragraph" w:styleId="Header">
    <w:name w:val="header"/>
    <w:basedOn w:val="Normal"/>
    <w:link w:val="HeaderChar"/>
    <w:uiPriority w:val="99"/>
    <w:unhideWhenUsed/>
    <w:rsid w:val="00CD0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50C"/>
  </w:style>
  <w:style w:type="paragraph" w:styleId="Footer">
    <w:name w:val="footer"/>
    <w:basedOn w:val="Normal"/>
    <w:link w:val="FooterChar"/>
    <w:uiPriority w:val="99"/>
    <w:unhideWhenUsed/>
    <w:rsid w:val="00CD0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50C"/>
  </w:style>
  <w:style w:type="paragraph" w:styleId="Subtitle">
    <w:name w:val="Subtitle"/>
    <w:basedOn w:val="Normal"/>
    <w:next w:val="Normal"/>
    <w:link w:val="SubtitleChar"/>
    <w:uiPriority w:val="11"/>
    <w:qFormat/>
    <w:rsid w:val="00033195"/>
    <w:pPr>
      <w:spacing w:line="276" w:lineRule="auto"/>
    </w:pPr>
    <w:rPr>
      <w:sz w:val="30"/>
      <w:szCs w:val="32"/>
    </w:rPr>
  </w:style>
  <w:style w:type="character" w:customStyle="1" w:styleId="SubtitleChar">
    <w:name w:val="Subtitle Char"/>
    <w:basedOn w:val="DefaultParagraphFont"/>
    <w:link w:val="Subtitle"/>
    <w:uiPriority w:val="11"/>
    <w:rsid w:val="00033195"/>
    <w:rPr>
      <w:sz w:val="30"/>
      <w:szCs w:val="32"/>
    </w:rPr>
  </w:style>
  <w:style w:type="character" w:customStyle="1" w:styleId="apple-converted-space">
    <w:name w:val="apple-converted-space"/>
    <w:basedOn w:val="DefaultParagraphFont"/>
    <w:rsid w:val="006134C0"/>
  </w:style>
  <w:style w:type="character" w:customStyle="1" w:styleId="Heading5Char">
    <w:name w:val="Heading 5 Char"/>
    <w:basedOn w:val="DefaultParagraphFont"/>
    <w:link w:val="Heading5"/>
    <w:uiPriority w:val="9"/>
    <w:rsid w:val="00341A19"/>
    <w:rPr>
      <w:i/>
      <w:sz w:val="26"/>
    </w:rPr>
  </w:style>
  <w:style w:type="character" w:customStyle="1" w:styleId="Heading6Char">
    <w:name w:val="Heading 6 Char"/>
    <w:basedOn w:val="DefaultParagraphFont"/>
    <w:link w:val="Heading6"/>
    <w:uiPriority w:val="9"/>
    <w:semiHidden/>
    <w:rsid w:val="006134C0"/>
    <w:rPr>
      <w:rFonts w:asciiTheme="majorHAnsi" w:eastAsiaTheme="majorEastAsia" w:hAnsiTheme="majorHAnsi" w:cstheme="majorBidi"/>
      <w:i/>
      <w:iCs/>
      <w:caps/>
      <w:color w:val="692106" w:themeColor="accent1" w:themeShade="80"/>
    </w:rPr>
  </w:style>
  <w:style w:type="character" w:customStyle="1" w:styleId="Heading7Char">
    <w:name w:val="Heading 7 Char"/>
    <w:basedOn w:val="DefaultParagraphFont"/>
    <w:link w:val="Heading7"/>
    <w:uiPriority w:val="9"/>
    <w:semiHidden/>
    <w:rsid w:val="006134C0"/>
    <w:rPr>
      <w:rFonts w:asciiTheme="majorHAnsi" w:eastAsiaTheme="majorEastAsia" w:hAnsiTheme="majorHAnsi" w:cstheme="majorBidi"/>
      <w:b/>
      <w:bCs/>
      <w:color w:val="692106" w:themeColor="accent1" w:themeShade="80"/>
    </w:rPr>
  </w:style>
  <w:style w:type="character" w:customStyle="1" w:styleId="Heading8Char">
    <w:name w:val="Heading 8 Char"/>
    <w:basedOn w:val="DefaultParagraphFont"/>
    <w:link w:val="Heading8"/>
    <w:uiPriority w:val="9"/>
    <w:semiHidden/>
    <w:rsid w:val="006134C0"/>
    <w:rPr>
      <w:rFonts w:asciiTheme="majorHAnsi" w:eastAsiaTheme="majorEastAsia" w:hAnsiTheme="majorHAnsi" w:cstheme="majorBidi"/>
      <w:b/>
      <w:bCs/>
      <w:i/>
      <w:iCs/>
      <w:color w:val="692106" w:themeColor="accent1" w:themeShade="80"/>
    </w:rPr>
  </w:style>
  <w:style w:type="character" w:customStyle="1" w:styleId="Heading9Char">
    <w:name w:val="Heading 9 Char"/>
    <w:basedOn w:val="DefaultParagraphFont"/>
    <w:link w:val="Heading9"/>
    <w:uiPriority w:val="9"/>
    <w:semiHidden/>
    <w:rsid w:val="006134C0"/>
    <w:rPr>
      <w:rFonts w:asciiTheme="majorHAnsi" w:eastAsiaTheme="majorEastAsia" w:hAnsiTheme="majorHAnsi" w:cstheme="majorBidi"/>
      <w:i/>
      <w:iCs/>
      <w:color w:val="692106" w:themeColor="accent1" w:themeShade="80"/>
    </w:rPr>
  </w:style>
  <w:style w:type="paragraph" w:styleId="Caption">
    <w:name w:val="caption"/>
    <w:basedOn w:val="Normal"/>
    <w:next w:val="Normal"/>
    <w:uiPriority w:val="35"/>
    <w:semiHidden/>
    <w:unhideWhenUsed/>
    <w:qFormat/>
    <w:rsid w:val="006134C0"/>
    <w:pPr>
      <w:spacing w:line="240" w:lineRule="auto"/>
    </w:pPr>
    <w:rPr>
      <w:b/>
      <w:bCs/>
      <w:smallCaps/>
      <w:color w:val="44546A" w:themeColor="text2"/>
    </w:rPr>
  </w:style>
  <w:style w:type="paragraph" w:styleId="Title">
    <w:name w:val="Title"/>
    <w:basedOn w:val="Normal"/>
    <w:next w:val="Normal"/>
    <w:link w:val="TitleChar"/>
    <w:uiPriority w:val="10"/>
    <w:qFormat/>
    <w:rsid w:val="008865F1"/>
    <w:rPr>
      <w:rFonts w:ascii="Comfortaa" w:hAnsi="Comfortaa"/>
      <w:color w:val="D3420D" w:themeColor="accent1"/>
      <w:sz w:val="72"/>
      <w:szCs w:val="72"/>
    </w:rPr>
  </w:style>
  <w:style w:type="character" w:customStyle="1" w:styleId="TitleChar">
    <w:name w:val="Title Char"/>
    <w:basedOn w:val="DefaultParagraphFont"/>
    <w:link w:val="Title"/>
    <w:uiPriority w:val="10"/>
    <w:rsid w:val="008865F1"/>
    <w:rPr>
      <w:rFonts w:ascii="Comfortaa" w:hAnsi="Comfortaa"/>
      <w:color w:val="D3420D" w:themeColor="accent1"/>
      <w:sz w:val="72"/>
      <w:szCs w:val="72"/>
    </w:rPr>
  </w:style>
  <w:style w:type="character" w:styleId="Strong">
    <w:name w:val="Strong"/>
    <w:basedOn w:val="DefaultParagraphFont"/>
    <w:uiPriority w:val="22"/>
    <w:qFormat/>
    <w:rsid w:val="006134C0"/>
    <w:rPr>
      <w:b/>
      <w:bCs/>
    </w:rPr>
  </w:style>
  <w:style w:type="character" w:styleId="Emphasis">
    <w:name w:val="Emphasis"/>
    <w:basedOn w:val="DefaultParagraphFont"/>
    <w:uiPriority w:val="20"/>
    <w:qFormat/>
    <w:rsid w:val="006134C0"/>
    <w:rPr>
      <w:i/>
      <w:iCs/>
    </w:rPr>
  </w:style>
  <w:style w:type="paragraph" w:styleId="NoSpacing">
    <w:name w:val="No Spacing"/>
    <w:link w:val="NoSpacingChar"/>
    <w:uiPriority w:val="1"/>
    <w:qFormat/>
    <w:rsid w:val="006134C0"/>
    <w:pPr>
      <w:spacing w:after="0" w:line="240" w:lineRule="auto"/>
    </w:pPr>
  </w:style>
  <w:style w:type="paragraph" w:styleId="Quote">
    <w:name w:val="Quote"/>
    <w:basedOn w:val="Normal"/>
    <w:next w:val="Normal"/>
    <w:link w:val="QuoteChar"/>
    <w:uiPriority w:val="29"/>
    <w:qFormat/>
    <w:rsid w:val="00153A5C"/>
    <w:pPr>
      <w:ind w:left="720" w:right="720"/>
    </w:pPr>
    <w:rPr>
      <w:rFonts w:asciiTheme="majorHAnsi" w:hAnsiTheme="majorHAnsi" w:cstheme="minorHAnsi"/>
      <w:sz w:val="28"/>
    </w:rPr>
  </w:style>
  <w:style w:type="character" w:customStyle="1" w:styleId="QuoteChar">
    <w:name w:val="Quote Char"/>
    <w:basedOn w:val="DefaultParagraphFont"/>
    <w:link w:val="Quote"/>
    <w:uiPriority w:val="29"/>
    <w:rsid w:val="00153A5C"/>
    <w:rPr>
      <w:rFonts w:asciiTheme="majorHAnsi" w:hAnsiTheme="majorHAnsi" w:cstheme="minorHAnsi"/>
      <w:sz w:val="28"/>
    </w:rPr>
  </w:style>
  <w:style w:type="paragraph" w:styleId="IntenseQuote">
    <w:name w:val="Intense Quote"/>
    <w:basedOn w:val="Quote"/>
    <w:next w:val="Normal"/>
    <w:link w:val="IntenseQuoteChar"/>
    <w:uiPriority w:val="30"/>
    <w:qFormat/>
    <w:rsid w:val="002B6B63"/>
    <w:pPr>
      <w:pBdr>
        <w:top w:val="single" w:sz="12" w:space="6" w:color="15828E" w:themeColor="accent4"/>
      </w:pBdr>
      <w:spacing w:before="120" w:after="240" w:line="240" w:lineRule="auto"/>
      <w:jc w:val="center"/>
    </w:pPr>
    <w:rPr>
      <w:rFonts w:eastAsiaTheme="majorEastAsia" w:cstheme="majorBidi"/>
      <w:color w:val="15828E" w:themeColor="accent4"/>
      <w:spacing w:val="-6"/>
      <w:sz w:val="32"/>
      <w:szCs w:val="32"/>
    </w:rPr>
  </w:style>
  <w:style w:type="character" w:customStyle="1" w:styleId="IntenseQuoteChar">
    <w:name w:val="Intense Quote Char"/>
    <w:basedOn w:val="DefaultParagraphFont"/>
    <w:link w:val="IntenseQuote"/>
    <w:uiPriority w:val="30"/>
    <w:rsid w:val="002B6B63"/>
    <w:rPr>
      <w:rFonts w:asciiTheme="majorHAnsi" w:eastAsiaTheme="majorEastAsia" w:hAnsiTheme="majorHAnsi" w:cstheme="majorBidi"/>
      <w:color w:val="15828E" w:themeColor="accent4"/>
      <w:spacing w:val="-6"/>
      <w:sz w:val="32"/>
      <w:szCs w:val="32"/>
    </w:rPr>
  </w:style>
  <w:style w:type="character" w:styleId="SubtleEmphasis">
    <w:name w:val="Subtle Emphasis"/>
    <w:basedOn w:val="DefaultParagraphFont"/>
    <w:uiPriority w:val="19"/>
    <w:semiHidden/>
    <w:qFormat/>
    <w:rsid w:val="006134C0"/>
    <w:rPr>
      <w:i/>
      <w:iCs/>
      <w:color w:val="595959" w:themeColor="text1" w:themeTint="A6"/>
    </w:rPr>
  </w:style>
  <w:style w:type="character" w:styleId="IntenseEmphasis">
    <w:name w:val="Intense Emphasis"/>
    <w:basedOn w:val="DefaultParagraphFont"/>
    <w:uiPriority w:val="21"/>
    <w:semiHidden/>
    <w:qFormat/>
    <w:rsid w:val="006134C0"/>
    <w:rPr>
      <w:b/>
      <w:bCs/>
      <w:i/>
      <w:iCs/>
    </w:rPr>
  </w:style>
  <w:style w:type="character" w:styleId="SubtleReference">
    <w:name w:val="Subtle Reference"/>
    <w:basedOn w:val="DefaultParagraphFont"/>
    <w:uiPriority w:val="31"/>
    <w:qFormat/>
    <w:rsid w:val="008914CE"/>
    <w:rPr>
      <w:rFonts w:asciiTheme="majorHAnsi" w:hAnsiTheme="majorHAnsi"/>
      <w:spacing w:val="10"/>
      <w:u w:color="7F7F7F" w:themeColor="text1" w:themeTint="80"/>
    </w:rPr>
  </w:style>
  <w:style w:type="character" w:styleId="IntenseReference">
    <w:name w:val="Intense Reference"/>
    <w:basedOn w:val="DefaultParagraphFont"/>
    <w:uiPriority w:val="32"/>
    <w:qFormat/>
    <w:rsid w:val="006134C0"/>
    <w:rPr>
      <w:b/>
      <w:bCs/>
      <w:smallCaps/>
      <w:color w:val="44546A" w:themeColor="text2"/>
      <w:u w:val="single"/>
    </w:rPr>
  </w:style>
  <w:style w:type="character" w:styleId="BookTitle">
    <w:name w:val="Book Title"/>
    <w:basedOn w:val="DefaultParagraphFont"/>
    <w:uiPriority w:val="33"/>
    <w:unhideWhenUsed/>
    <w:qFormat/>
    <w:rsid w:val="006134C0"/>
    <w:rPr>
      <w:b/>
      <w:bCs/>
      <w:smallCaps/>
      <w:spacing w:val="10"/>
    </w:rPr>
  </w:style>
  <w:style w:type="paragraph" w:styleId="TOCHeading">
    <w:name w:val="TOC Heading"/>
    <w:basedOn w:val="Heading1"/>
    <w:next w:val="Normal"/>
    <w:uiPriority w:val="39"/>
    <w:unhideWhenUsed/>
    <w:qFormat/>
    <w:rsid w:val="006134C0"/>
    <w:pPr>
      <w:outlineLvl w:val="9"/>
    </w:pPr>
  </w:style>
  <w:style w:type="paragraph" w:styleId="ListParagraph">
    <w:name w:val="List Paragraph"/>
    <w:basedOn w:val="Normal"/>
    <w:uiPriority w:val="34"/>
    <w:qFormat/>
    <w:rsid w:val="008914CE"/>
    <w:pPr>
      <w:ind w:left="720"/>
      <w:contextualSpacing/>
    </w:pPr>
  </w:style>
  <w:style w:type="character" w:styleId="HTMLSample">
    <w:name w:val="HTML Sample"/>
    <w:basedOn w:val="DefaultParagraphFont"/>
    <w:uiPriority w:val="99"/>
    <w:rsid w:val="00EB2DA6"/>
    <w:rPr>
      <w:rFonts w:ascii="Consolas" w:hAnsi="Consolas"/>
      <w:sz w:val="24"/>
      <w:szCs w:val="24"/>
    </w:rPr>
  </w:style>
  <w:style w:type="paragraph" w:styleId="HTMLPreformatted">
    <w:name w:val="HTML Preformatted"/>
    <w:basedOn w:val="Normal"/>
    <w:link w:val="HTMLPreformattedChar"/>
    <w:uiPriority w:val="99"/>
    <w:rsid w:val="00EB2DA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B2DA6"/>
    <w:rPr>
      <w:rFonts w:ascii="Consolas" w:hAnsi="Consolas"/>
      <w:sz w:val="20"/>
      <w:szCs w:val="20"/>
    </w:rPr>
  </w:style>
  <w:style w:type="character" w:styleId="Hyperlink">
    <w:name w:val="Hyperlink"/>
    <w:basedOn w:val="DefaultParagraphFont"/>
    <w:uiPriority w:val="99"/>
    <w:unhideWhenUsed/>
    <w:rsid w:val="00ED6BF8"/>
    <w:rPr>
      <w:rFonts w:asciiTheme="minorHAnsi" w:hAnsiTheme="minorHAnsi"/>
      <w:color w:val="auto"/>
      <w:u w:val="single" w:color="D3420D" w:themeColor="accent1"/>
    </w:rPr>
  </w:style>
  <w:style w:type="paragraph" w:styleId="TOC1">
    <w:name w:val="toc 1"/>
    <w:basedOn w:val="Normal"/>
    <w:next w:val="Normal"/>
    <w:autoRedefine/>
    <w:uiPriority w:val="39"/>
    <w:unhideWhenUsed/>
    <w:rsid w:val="00FE2A85"/>
    <w:pPr>
      <w:tabs>
        <w:tab w:val="right" w:leader="dot" w:pos="6484"/>
      </w:tabs>
      <w:spacing w:before="120" w:after="120" w:line="240" w:lineRule="auto"/>
      <w:ind w:right="2506"/>
    </w:pPr>
    <w:rPr>
      <w:noProof/>
    </w:rPr>
  </w:style>
  <w:style w:type="paragraph" w:styleId="TOC2">
    <w:name w:val="toc 2"/>
    <w:basedOn w:val="Normal"/>
    <w:next w:val="Normal"/>
    <w:autoRedefine/>
    <w:uiPriority w:val="39"/>
    <w:unhideWhenUsed/>
    <w:rsid w:val="00032F97"/>
    <w:pPr>
      <w:spacing w:after="100"/>
      <w:ind w:left="240"/>
    </w:pPr>
  </w:style>
  <w:style w:type="paragraph" w:styleId="TOC3">
    <w:name w:val="toc 3"/>
    <w:basedOn w:val="Normal"/>
    <w:next w:val="Normal"/>
    <w:autoRedefine/>
    <w:uiPriority w:val="39"/>
    <w:unhideWhenUsed/>
    <w:rsid w:val="00032F97"/>
    <w:pPr>
      <w:spacing w:after="100"/>
      <w:ind w:left="480"/>
    </w:pPr>
  </w:style>
  <w:style w:type="character" w:customStyle="1" w:styleId="NoSpacingChar">
    <w:name w:val="No Spacing Char"/>
    <w:basedOn w:val="DefaultParagraphFont"/>
    <w:link w:val="NoSpacing"/>
    <w:uiPriority w:val="1"/>
    <w:rsid w:val="00613969"/>
  </w:style>
  <w:style w:type="character" w:styleId="PlaceholderText">
    <w:name w:val="Placeholder Text"/>
    <w:basedOn w:val="DefaultParagraphFont"/>
    <w:uiPriority w:val="99"/>
    <w:semiHidden/>
    <w:rsid w:val="00ED48A7"/>
    <w:rPr>
      <w:color w:val="808080"/>
    </w:rPr>
  </w:style>
  <w:style w:type="table" w:styleId="TableGrid">
    <w:name w:val="Table Grid"/>
    <w:basedOn w:val="TableNormal"/>
    <w:uiPriority w:val="39"/>
    <w:rsid w:val="00D33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3338F"/>
    <w:pPr>
      <w:spacing w:before="40" w:after="40" w:line="240" w:lineRule="auto"/>
    </w:pPr>
    <w:tblPr>
      <w:tblStyleRowBandSize w:val="1"/>
      <w:tblStyleColBandSize w:val="1"/>
      <w:tblBorders>
        <w:top w:val="single" w:sz="4" w:space="0" w:color="F8AE93" w:themeColor="accent1" w:themeTint="66"/>
        <w:left w:val="single" w:sz="4" w:space="0" w:color="F8AE93" w:themeColor="accent1" w:themeTint="66"/>
        <w:bottom w:val="single" w:sz="4" w:space="0" w:color="F8AE93" w:themeColor="accent1" w:themeTint="66"/>
        <w:right w:val="single" w:sz="4" w:space="0" w:color="F8AE93" w:themeColor="accent1" w:themeTint="66"/>
        <w:insideH w:val="single" w:sz="4" w:space="0" w:color="F8AE93" w:themeColor="accent1" w:themeTint="66"/>
        <w:insideV w:val="single" w:sz="4" w:space="0" w:color="F8AE93" w:themeColor="accent1" w:themeTint="66"/>
      </w:tblBorders>
    </w:tblPr>
    <w:tcPr>
      <w:vAlign w:val="center"/>
    </w:tcPr>
    <w:tblStylePr w:type="firstRow">
      <w:rPr>
        <w:b/>
        <w:bCs/>
      </w:rPr>
      <w:tblPr/>
      <w:tcPr>
        <w:tcBorders>
          <w:bottom w:val="single" w:sz="12" w:space="0" w:color="F5855D" w:themeColor="accent1" w:themeTint="99"/>
        </w:tcBorders>
      </w:tcPr>
    </w:tblStylePr>
    <w:tblStylePr w:type="lastRow">
      <w:rPr>
        <w:b/>
        <w:bCs/>
      </w:rPr>
      <w:tblPr/>
      <w:tcPr>
        <w:tcBorders>
          <w:top w:val="double" w:sz="2" w:space="0" w:color="F5855D"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3338F"/>
    <w:pPr>
      <w:spacing w:before="40" w:after="4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772F96"/>
    <w:pPr>
      <w:spacing w:before="40" w:after="40" w:line="240" w:lineRule="auto"/>
    </w:pPr>
    <w:tblPr>
      <w:tblStyleRowBandSize w:val="1"/>
      <w:tblStyleColBandSize w:val="1"/>
      <w:tblBorders>
        <w:top w:val="single" w:sz="4" w:space="0" w:color="85E2ED" w:themeColor="accent4" w:themeTint="66"/>
        <w:left w:val="single" w:sz="4" w:space="0" w:color="85E2ED" w:themeColor="accent4" w:themeTint="66"/>
        <w:bottom w:val="single" w:sz="4" w:space="0" w:color="85E2ED" w:themeColor="accent4" w:themeTint="66"/>
        <w:right w:val="single" w:sz="4" w:space="0" w:color="85E2ED" w:themeColor="accent4" w:themeTint="66"/>
        <w:insideH w:val="single" w:sz="4" w:space="0" w:color="85E2ED" w:themeColor="accent4" w:themeTint="66"/>
        <w:insideV w:val="single" w:sz="4" w:space="0" w:color="85E2ED" w:themeColor="accent4" w:themeTint="66"/>
      </w:tblBorders>
    </w:tblPr>
    <w:tcPr>
      <w:vAlign w:val="center"/>
    </w:tcPr>
    <w:tblStylePr w:type="firstRow">
      <w:rPr>
        <w:b/>
        <w:bCs/>
      </w:rPr>
      <w:tblPr/>
      <w:tcPr>
        <w:tcBorders>
          <w:bottom w:val="single" w:sz="12" w:space="0" w:color="49D4E4" w:themeColor="accent4" w:themeTint="99"/>
        </w:tcBorders>
      </w:tcPr>
    </w:tblStylePr>
    <w:tblStylePr w:type="lastRow">
      <w:rPr>
        <w:b/>
        <w:bCs/>
      </w:rPr>
      <w:tblPr/>
      <w:tcPr>
        <w:tcBorders>
          <w:top w:val="double" w:sz="2" w:space="0" w:color="49D4E4" w:themeColor="accent4" w:themeTint="99"/>
        </w:tcBorders>
      </w:tcPr>
    </w:tblStylePr>
    <w:tblStylePr w:type="firstCol">
      <w:rPr>
        <w:b/>
        <w:bCs/>
      </w:rPr>
    </w:tblStylePr>
    <w:tblStylePr w:type="lastCol">
      <w:rPr>
        <w:b/>
        <w:bCs/>
      </w:rPr>
    </w:tblStylePr>
  </w:style>
  <w:style w:type="paragraph" w:customStyle="1" w:styleId="Largeparagraph">
    <w:name w:val="Large paragraph"/>
    <w:basedOn w:val="Normal"/>
    <w:link w:val="LargeparagraphChar"/>
    <w:qFormat/>
    <w:rsid w:val="00B5269C"/>
    <w:rPr>
      <w:rFonts w:eastAsiaTheme="minorHAnsi"/>
      <w:sz w:val="28"/>
      <w:szCs w:val="22"/>
    </w:rPr>
  </w:style>
  <w:style w:type="character" w:customStyle="1" w:styleId="LargeparagraphChar">
    <w:name w:val="Large paragraph Char"/>
    <w:basedOn w:val="DefaultParagraphFont"/>
    <w:link w:val="Largeparagraph"/>
    <w:rsid w:val="00B5269C"/>
    <w:rPr>
      <w:rFonts w:eastAsiaTheme="minorHAnsi"/>
      <w:sz w:val="28"/>
      <w:szCs w:val="22"/>
    </w:rPr>
  </w:style>
  <w:style w:type="paragraph" w:styleId="EndnoteText">
    <w:name w:val="endnote text"/>
    <w:basedOn w:val="Normal"/>
    <w:link w:val="EndnoteTextChar"/>
    <w:uiPriority w:val="99"/>
    <w:semiHidden/>
    <w:unhideWhenUsed/>
    <w:rsid w:val="00B526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69C"/>
    <w:rPr>
      <w:sz w:val="20"/>
      <w:szCs w:val="20"/>
    </w:rPr>
  </w:style>
  <w:style w:type="character" w:styleId="EndnoteReference">
    <w:name w:val="endnote reference"/>
    <w:basedOn w:val="DefaultParagraphFont"/>
    <w:uiPriority w:val="99"/>
    <w:semiHidden/>
    <w:unhideWhenUsed/>
    <w:rsid w:val="00B5269C"/>
    <w:rPr>
      <w:vertAlign w:val="superscript"/>
    </w:rPr>
  </w:style>
  <w:style w:type="table" w:styleId="GridTable1Light">
    <w:name w:val="Grid Table 1 Light"/>
    <w:basedOn w:val="TableNormal"/>
    <w:uiPriority w:val="46"/>
    <w:rsid w:val="00B60102"/>
    <w:pPr>
      <w:spacing w:before="40" w:after="40" w:line="240" w:lineRule="auto"/>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tblStylePr w:type="band2Horz">
      <w:tblPr/>
      <w:tcPr>
        <w:shd w:val="clear" w:color="auto" w:fill="E7E6E6" w:themeFill="background2"/>
      </w:tcPr>
    </w:tblStylePr>
  </w:style>
  <w:style w:type="paragraph" w:styleId="FootnoteText">
    <w:name w:val="footnote text"/>
    <w:basedOn w:val="Normal"/>
    <w:link w:val="FootnoteTextChar"/>
    <w:uiPriority w:val="99"/>
    <w:semiHidden/>
    <w:unhideWhenUsed/>
    <w:rsid w:val="00914E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E46"/>
    <w:rPr>
      <w:sz w:val="20"/>
      <w:szCs w:val="20"/>
    </w:rPr>
  </w:style>
  <w:style w:type="character" w:styleId="FootnoteReference">
    <w:name w:val="footnote reference"/>
    <w:basedOn w:val="DefaultParagraphFont"/>
    <w:uiPriority w:val="99"/>
    <w:semiHidden/>
    <w:unhideWhenUsed/>
    <w:rsid w:val="00914E46"/>
    <w:rPr>
      <w:vertAlign w:val="superscript"/>
    </w:rPr>
  </w:style>
  <w:style w:type="table" w:styleId="GridTable2">
    <w:name w:val="Grid Table 2"/>
    <w:basedOn w:val="TableNormal"/>
    <w:uiPriority w:val="47"/>
    <w:rsid w:val="00B6010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ntenseQuoteAuthor">
    <w:name w:val="Intense Quote Author"/>
    <w:basedOn w:val="IntenseQuote"/>
    <w:next w:val="Normal"/>
    <w:qFormat/>
    <w:rsid w:val="002B6B63"/>
    <w:pPr>
      <w:pBdr>
        <w:top w:val="none" w:sz="0" w:space="0" w:color="auto"/>
        <w:bottom w:val="single" w:sz="12" w:space="4" w:color="15828E" w:themeColor="accent4"/>
      </w:pBdr>
    </w:pPr>
    <w:rPr>
      <w:color w:val="000000" w:themeColor="text1"/>
      <w:sz w:val="28"/>
      <w:szCs w:val="28"/>
    </w:rPr>
  </w:style>
  <w:style w:type="paragraph" w:customStyle="1" w:styleId="IntenseQuoteNoAuthor">
    <w:name w:val="Intense Quote No Author"/>
    <w:basedOn w:val="IntenseQuote"/>
    <w:qFormat/>
    <w:rsid w:val="002B6B63"/>
    <w:pPr>
      <w:pBdr>
        <w:bottom w:val="single" w:sz="12" w:space="6" w:color="15828E" w:themeColor="accent4"/>
      </w:pBdr>
    </w:pPr>
  </w:style>
  <w:style w:type="character" w:customStyle="1" w:styleId="normaltextrun">
    <w:name w:val="normaltextrun"/>
    <w:basedOn w:val="DefaultParagraphFont"/>
    <w:rsid w:val="00651C21"/>
  </w:style>
  <w:style w:type="paragraph" w:styleId="BalloonText">
    <w:name w:val="Balloon Text"/>
    <w:basedOn w:val="Normal"/>
    <w:link w:val="BalloonTextChar"/>
    <w:uiPriority w:val="99"/>
    <w:semiHidden/>
    <w:unhideWhenUsed/>
    <w:rsid w:val="00642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51D"/>
    <w:rPr>
      <w:rFonts w:ascii="Segoe UI" w:hAnsi="Segoe UI" w:cs="Segoe UI"/>
      <w:sz w:val="18"/>
      <w:szCs w:val="18"/>
    </w:rPr>
  </w:style>
  <w:style w:type="paragraph" w:styleId="TOC4">
    <w:name w:val="toc 4"/>
    <w:basedOn w:val="Normal"/>
    <w:next w:val="Normal"/>
    <w:autoRedefine/>
    <w:uiPriority w:val="39"/>
    <w:unhideWhenUsed/>
    <w:rsid w:val="00FE2A85"/>
    <w:pPr>
      <w:spacing w:after="100"/>
      <w:ind w:left="720"/>
    </w:pPr>
  </w:style>
  <w:style w:type="paragraph" w:customStyle="1" w:styleId="paragraph">
    <w:name w:val="paragraph"/>
    <w:basedOn w:val="Normal"/>
    <w:rsid w:val="00925CB2"/>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eop">
    <w:name w:val="eop"/>
    <w:basedOn w:val="DefaultParagraphFont"/>
    <w:rsid w:val="00925CB2"/>
  </w:style>
  <w:style w:type="character" w:styleId="CommentReference">
    <w:name w:val="annotation reference"/>
    <w:basedOn w:val="DefaultParagraphFont"/>
    <w:uiPriority w:val="99"/>
    <w:semiHidden/>
    <w:unhideWhenUsed/>
    <w:rsid w:val="00E51640"/>
    <w:rPr>
      <w:sz w:val="16"/>
      <w:szCs w:val="16"/>
    </w:rPr>
  </w:style>
  <w:style w:type="paragraph" w:styleId="CommentText">
    <w:name w:val="annotation text"/>
    <w:basedOn w:val="Normal"/>
    <w:link w:val="CommentTextChar"/>
    <w:uiPriority w:val="99"/>
    <w:unhideWhenUsed/>
    <w:rsid w:val="00E51640"/>
    <w:pPr>
      <w:spacing w:line="240" w:lineRule="auto"/>
    </w:pPr>
    <w:rPr>
      <w:rFonts w:eastAsiaTheme="minorHAnsi"/>
      <w:sz w:val="20"/>
      <w:szCs w:val="20"/>
      <w:lang w:val="en-NZ"/>
    </w:rPr>
  </w:style>
  <w:style w:type="character" w:customStyle="1" w:styleId="CommentTextChar">
    <w:name w:val="Comment Text Char"/>
    <w:basedOn w:val="DefaultParagraphFont"/>
    <w:link w:val="CommentText"/>
    <w:uiPriority w:val="99"/>
    <w:rsid w:val="00E51640"/>
    <w:rPr>
      <w:rFonts w:eastAsiaTheme="minorHAnsi"/>
      <w:sz w:val="20"/>
      <w:szCs w:val="20"/>
      <w:lang w:val="en-NZ"/>
    </w:rPr>
  </w:style>
  <w:style w:type="paragraph" w:styleId="ListBullet">
    <w:name w:val="List Bullet"/>
    <w:basedOn w:val="Normal"/>
    <w:uiPriority w:val="99"/>
    <w:unhideWhenUsed/>
    <w:rsid w:val="00E51640"/>
    <w:pPr>
      <w:numPr>
        <w:numId w:val="31"/>
      </w:numPr>
      <w:contextualSpacing/>
    </w:pPr>
    <w:rPr>
      <w:rFonts w:eastAsiaTheme="minorHAnsi"/>
      <w:sz w:val="22"/>
      <w:szCs w:val="22"/>
      <w:lang w:val="en-NZ"/>
    </w:rPr>
  </w:style>
  <w:style w:type="paragraph" w:styleId="CommentSubject">
    <w:name w:val="annotation subject"/>
    <w:basedOn w:val="CommentText"/>
    <w:next w:val="CommentText"/>
    <w:link w:val="CommentSubjectChar"/>
    <w:uiPriority w:val="99"/>
    <w:semiHidden/>
    <w:unhideWhenUsed/>
    <w:rsid w:val="007A08E2"/>
    <w:rPr>
      <w:rFonts w:eastAsiaTheme="minorEastAsia"/>
      <w:b/>
      <w:bCs/>
      <w:lang w:val="en-AU"/>
    </w:rPr>
  </w:style>
  <w:style w:type="character" w:customStyle="1" w:styleId="CommentSubjectChar">
    <w:name w:val="Comment Subject Char"/>
    <w:basedOn w:val="CommentTextChar"/>
    <w:link w:val="CommentSubject"/>
    <w:uiPriority w:val="99"/>
    <w:semiHidden/>
    <w:rsid w:val="007A08E2"/>
    <w:rPr>
      <w:rFonts w:eastAsiaTheme="minorHAnsi"/>
      <w:b/>
      <w:bCs/>
      <w:sz w:val="20"/>
      <w:szCs w:val="20"/>
      <w:lang w:val="en-NZ"/>
    </w:rPr>
  </w:style>
  <w:style w:type="character" w:styleId="UnresolvedMention">
    <w:name w:val="Unresolved Mention"/>
    <w:basedOn w:val="DefaultParagraphFont"/>
    <w:uiPriority w:val="99"/>
    <w:semiHidden/>
    <w:unhideWhenUsed/>
    <w:rsid w:val="007A08E2"/>
    <w:rPr>
      <w:color w:val="605E5C"/>
      <w:shd w:val="clear" w:color="auto" w:fill="E1DFDD"/>
    </w:rPr>
  </w:style>
  <w:style w:type="character" w:styleId="Mention">
    <w:name w:val="Mention"/>
    <w:basedOn w:val="DefaultParagraphFont"/>
    <w:uiPriority w:val="99"/>
    <w:unhideWhenUsed/>
    <w:rsid w:val="007A08E2"/>
    <w:rPr>
      <w:color w:val="2B579A"/>
      <w:shd w:val="clear" w:color="auto" w:fill="E1DFDD"/>
    </w:rPr>
  </w:style>
  <w:style w:type="paragraph" w:styleId="Revision">
    <w:name w:val="Revision"/>
    <w:hidden/>
    <w:uiPriority w:val="99"/>
    <w:semiHidden/>
    <w:rsid w:val="007A08E2"/>
    <w:pPr>
      <w:spacing w:after="0" w:line="240" w:lineRule="auto"/>
    </w:pPr>
  </w:style>
  <w:style w:type="character" w:styleId="FollowedHyperlink">
    <w:name w:val="FollowedHyperlink"/>
    <w:basedOn w:val="DefaultParagraphFont"/>
    <w:uiPriority w:val="99"/>
    <w:semiHidden/>
    <w:unhideWhenUsed/>
    <w:rsid w:val="004E3F87"/>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0950">
      <w:bodyDiv w:val="1"/>
      <w:marLeft w:val="0"/>
      <w:marRight w:val="0"/>
      <w:marTop w:val="0"/>
      <w:marBottom w:val="0"/>
      <w:divBdr>
        <w:top w:val="none" w:sz="0" w:space="0" w:color="auto"/>
        <w:left w:val="none" w:sz="0" w:space="0" w:color="auto"/>
        <w:bottom w:val="none" w:sz="0" w:space="0" w:color="auto"/>
        <w:right w:val="none" w:sz="0" w:space="0" w:color="auto"/>
      </w:divBdr>
    </w:div>
    <w:div w:id="213738008">
      <w:bodyDiv w:val="1"/>
      <w:marLeft w:val="0"/>
      <w:marRight w:val="0"/>
      <w:marTop w:val="0"/>
      <w:marBottom w:val="0"/>
      <w:divBdr>
        <w:top w:val="none" w:sz="0" w:space="0" w:color="auto"/>
        <w:left w:val="none" w:sz="0" w:space="0" w:color="auto"/>
        <w:bottom w:val="none" w:sz="0" w:space="0" w:color="auto"/>
        <w:right w:val="none" w:sz="0" w:space="0" w:color="auto"/>
      </w:divBdr>
    </w:div>
    <w:div w:id="751270524">
      <w:bodyDiv w:val="1"/>
      <w:marLeft w:val="0"/>
      <w:marRight w:val="0"/>
      <w:marTop w:val="0"/>
      <w:marBottom w:val="0"/>
      <w:divBdr>
        <w:top w:val="none" w:sz="0" w:space="0" w:color="auto"/>
        <w:left w:val="none" w:sz="0" w:space="0" w:color="auto"/>
        <w:bottom w:val="none" w:sz="0" w:space="0" w:color="auto"/>
        <w:right w:val="none" w:sz="0" w:space="0" w:color="auto"/>
      </w:divBdr>
      <w:divsChild>
        <w:div w:id="1889147990">
          <w:marLeft w:val="0"/>
          <w:marRight w:val="0"/>
          <w:marTop w:val="0"/>
          <w:marBottom w:val="0"/>
          <w:divBdr>
            <w:top w:val="none" w:sz="0" w:space="0" w:color="auto"/>
            <w:left w:val="none" w:sz="0" w:space="0" w:color="auto"/>
            <w:bottom w:val="none" w:sz="0" w:space="0" w:color="auto"/>
            <w:right w:val="none" w:sz="0" w:space="0" w:color="auto"/>
          </w:divBdr>
          <w:divsChild>
            <w:div w:id="6366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4248">
      <w:bodyDiv w:val="1"/>
      <w:marLeft w:val="0"/>
      <w:marRight w:val="0"/>
      <w:marTop w:val="0"/>
      <w:marBottom w:val="0"/>
      <w:divBdr>
        <w:top w:val="none" w:sz="0" w:space="0" w:color="auto"/>
        <w:left w:val="none" w:sz="0" w:space="0" w:color="auto"/>
        <w:bottom w:val="none" w:sz="0" w:space="0" w:color="auto"/>
        <w:right w:val="none" w:sz="0" w:space="0" w:color="auto"/>
      </w:divBdr>
    </w:div>
    <w:div w:id="1697653745">
      <w:bodyDiv w:val="1"/>
      <w:marLeft w:val="0"/>
      <w:marRight w:val="0"/>
      <w:marTop w:val="0"/>
      <w:marBottom w:val="0"/>
      <w:divBdr>
        <w:top w:val="none" w:sz="0" w:space="0" w:color="auto"/>
        <w:left w:val="none" w:sz="0" w:space="0" w:color="auto"/>
        <w:bottom w:val="none" w:sz="0" w:space="0" w:color="auto"/>
        <w:right w:val="none" w:sz="0" w:space="0" w:color="auto"/>
      </w:divBdr>
    </w:div>
    <w:div w:id="1702054943">
      <w:bodyDiv w:val="1"/>
      <w:marLeft w:val="0"/>
      <w:marRight w:val="0"/>
      <w:marTop w:val="0"/>
      <w:marBottom w:val="0"/>
      <w:divBdr>
        <w:top w:val="none" w:sz="0" w:space="0" w:color="auto"/>
        <w:left w:val="none" w:sz="0" w:space="0" w:color="auto"/>
        <w:bottom w:val="none" w:sz="0" w:space="0" w:color="auto"/>
        <w:right w:val="none" w:sz="0" w:space="0" w:color="auto"/>
      </w:divBdr>
    </w:div>
    <w:div w:id="20460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ction508.gov/blog/Building-Accessibility-into-your-Procurement-Process/" TargetMode="External"/><Relationship Id="rId18" Type="http://schemas.openxmlformats.org/officeDocument/2006/relationships/hyperlink" Target="https://aem.cast.org/acquire/vpa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igitalaccessibility.uoregon.edu/procurement/eeaap" TargetMode="External"/><Relationship Id="rId7" Type="http://schemas.openxmlformats.org/officeDocument/2006/relationships/styles" Target="styles.xml"/><Relationship Id="rId12" Type="http://schemas.openxmlformats.org/officeDocument/2006/relationships/hyperlink" Target="https://www.csus.edu/information-resources-technology/files/accessibility-roadmap.pdf" TargetMode="External"/><Relationship Id="rId17" Type="http://schemas.openxmlformats.org/officeDocument/2006/relationships/hyperlink" Target="https://www.nwheat.org/event/accessibility-in-procurement-how-to-read-a-vpa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t.sonoma.edu/kb/it-purchasing-requirements/how-do-i-interpret-vpat" TargetMode="External"/><Relationship Id="rId20" Type="http://schemas.openxmlformats.org/officeDocument/2006/relationships/hyperlink" Target="https://accessibility.huit.harvard.edu/creating-equally-effective-alternate-access-plan-eeaa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mw19.mwconf.org/paper/how-to-read-a-vpat-assessing-accessibility-conformance-report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igitalaccessibility.uoregon.edu/procurement/revi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da.ie/good-practice/guidelines/procurement-and-accessibility/3-procurement-process/"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ic.org/policy/accessibility/vpat" TargetMode="External"/><Relationship Id="rId2" Type="http://schemas.openxmlformats.org/officeDocument/2006/relationships/hyperlink" Target="https://www.csus.edu/information-resources-technology/files/accessibility-roadmap.pdf" TargetMode="External"/><Relationship Id="rId1" Type="http://schemas.openxmlformats.org/officeDocument/2006/relationships/hyperlink" Target="https://www.w3.org/WAI/standards-guidelines/ata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rch\Intopia\Account%20Management%20-%20Documents\_Templates\IntopiaBranded%20Word%20Template.dotx" TargetMode="External"/></Relationships>
</file>

<file path=word/theme/theme1.xml><?xml version="1.0" encoding="utf-8"?>
<a:theme xmlns:a="http://schemas.openxmlformats.org/drawingml/2006/main" name="Office Theme">
  <a:themeElements>
    <a:clrScheme name="Intopia">
      <a:dk1>
        <a:sysClr val="windowText" lastClr="000000"/>
      </a:dk1>
      <a:lt1>
        <a:sysClr val="window" lastClr="FFFFFF"/>
      </a:lt1>
      <a:dk2>
        <a:srgbClr val="44546A"/>
      </a:dk2>
      <a:lt2>
        <a:srgbClr val="E7E6E6"/>
      </a:lt2>
      <a:accent1>
        <a:srgbClr val="D3420D"/>
      </a:accent1>
      <a:accent2>
        <a:srgbClr val="E71348"/>
      </a:accent2>
      <a:accent3>
        <a:srgbClr val="FCEE24"/>
      </a:accent3>
      <a:accent4>
        <a:srgbClr val="15828E"/>
      </a:accent4>
      <a:accent5>
        <a:srgbClr val="FFFFFF"/>
      </a:accent5>
      <a:accent6>
        <a:srgbClr val="FFFFF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2017-01-20T00:00:00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561ef7-a68a-4b60-9555-0cd7229d4bfb">
      <Terms xmlns="http://schemas.microsoft.com/office/infopath/2007/PartnerControls"/>
    </lcf76f155ced4ddcb4097134ff3c332f>
    <TaxCatchAll xmlns="79611baa-74e7-4fed-920c-a461155ba2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B9C7C5F0D34C478B598357F78776B5" ma:contentTypeVersion="15" ma:contentTypeDescription="Create a new document." ma:contentTypeScope="" ma:versionID="2eda1d51dfdab8760de389477738dfb3">
  <xsd:schema xmlns:xsd="http://www.w3.org/2001/XMLSchema" xmlns:xs="http://www.w3.org/2001/XMLSchema" xmlns:p="http://schemas.microsoft.com/office/2006/metadata/properties" xmlns:ns2="6f561ef7-a68a-4b60-9555-0cd7229d4bfb" xmlns:ns3="79611baa-74e7-4fed-920c-a461155ba2b1" targetNamespace="http://schemas.microsoft.com/office/2006/metadata/properties" ma:root="true" ma:fieldsID="49001851dafa84e08caf862fe7f59236" ns2:_="" ns3:_="">
    <xsd:import namespace="6f561ef7-a68a-4b60-9555-0cd7229d4bfb"/>
    <xsd:import namespace="79611baa-74e7-4fed-920c-a461155ba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1ef7-a68a-4b60-9555-0cd7229d4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74f33f-e69d-48f8-abd1-40987bf0fe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11baa-74e7-4fed-920c-a461155ba2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d0054a-57ad-4d54-8e0c-96d1320e4a37}" ma:internalName="TaxCatchAll" ma:showField="CatchAllData" ma:web="79611baa-74e7-4fed-920c-a461155ba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DC2609-6B0F-4255-A5C2-E417ADF58638}">
  <ds:schemaRefs>
    <ds:schemaRef ds:uri="http://schemas.microsoft.com/sharepoint/v3/contenttype/forms"/>
  </ds:schemaRefs>
</ds:datastoreItem>
</file>

<file path=customXml/itemProps3.xml><?xml version="1.0" encoding="utf-8"?>
<ds:datastoreItem xmlns:ds="http://schemas.openxmlformats.org/officeDocument/2006/customXml" ds:itemID="{9CB2EDE4-4367-4BF3-B4B1-E4B8CB0F46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3655F3-F305-4CEE-9999-1D4EF9CFD248}"/>
</file>

<file path=customXml/itemProps5.xml><?xml version="1.0" encoding="utf-8"?>
<ds:datastoreItem xmlns:ds="http://schemas.openxmlformats.org/officeDocument/2006/customXml" ds:itemID="{0B5A5438-6E8A-424D-B55D-4A5C8FD0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IntopiaBranded Word Template</Template>
  <TotalTime>31</TotalTime>
  <Pages>9</Pages>
  <Words>3228</Words>
  <Characters>18404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Accessibility procurement waypoints</vt:lpstr>
    </vt:vector>
  </TitlesOfParts>
  <Company>Intopia</Company>
  <LinksUpToDate>false</LinksUpToDate>
  <CharactersWithSpaces>21589</CharactersWithSpaces>
  <SharedDoc>false</SharedDoc>
  <HLinks>
    <vt:vector size="198" baseType="variant">
      <vt:variant>
        <vt:i4>6619185</vt:i4>
      </vt:variant>
      <vt:variant>
        <vt:i4>78</vt:i4>
      </vt:variant>
      <vt:variant>
        <vt:i4>0</vt:i4>
      </vt:variant>
      <vt:variant>
        <vt:i4>5</vt:i4>
      </vt:variant>
      <vt:variant>
        <vt:lpwstr>https://digitalaccessibility.uoregon.edu/procurement/eeaap</vt:lpwstr>
      </vt:variant>
      <vt:variant>
        <vt:lpwstr/>
      </vt:variant>
      <vt:variant>
        <vt:i4>65603</vt:i4>
      </vt:variant>
      <vt:variant>
        <vt:i4>75</vt:i4>
      </vt:variant>
      <vt:variant>
        <vt:i4>0</vt:i4>
      </vt:variant>
      <vt:variant>
        <vt:i4>5</vt:i4>
      </vt:variant>
      <vt:variant>
        <vt:lpwstr>https://accessibility.huit.harvard.edu/creating-equally-effective-alternate-access-plan-eeaap</vt:lpwstr>
      </vt:variant>
      <vt:variant>
        <vt:lpwstr/>
      </vt:variant>
      <vt:variant>
        <vt:i4>7340089</vt:i4>
      </vt:variant>
      <vt:variant>
        <vt:i4>72</vt:i4>
      </vt:variant>
      <vt:variant>
        <vt:i4>0</vt:i4>
      </vt:variant>
      <vt:variant>
        <vt:i4>5</vt:i4>
      </vt:variant>
      <vt:variant>
        <vt:lpwstr>https://digitalaccessibility.uoregon.edu/procurement/review</vt:lpwstr>
      </vt:variant>
      <vt:variant>
        <vt:lpwstr/>
      </vt:variant>
      <vt:variant>
        <vt:i4>4980756</vt:i4>
      </vt:variant>
      <vt:variant>
        <vt:i4>69</vt:i4>
      </vt:variant>
      <vt:variant>
        <vt:i4>0</vt:i4>
      </vt:variant>
      <vt:variant>
        <vt:i4>5</vt:i4>
      </vt:variant>
      <vt:variant>
        <vt:lpwstr>https://aem.cast.org/acquire/vpat</vt:lpwstr>
      </vt:variant>
      <vt:variant>
        <vt:lpwstr/>
      </vt:variant>
      <vt:variant>
        <vt:i4>0</vt:i4>
      </vt:variant>
      <vt:variant>
        <vt:i4>66</vt:i4>
      </vt:variant>
      <vt:variant>
        <vt:i4>0</vt:i4>
      </vt:variant>
      <vt:variant>
        <vt:i4>5</vt:i4>
      </vt:variant>
      <vt:variant>
        <vt:lpwstr>https://www.nwheat.org/event/accessibility-in-procurement-how-to-read-a-vpat/</vt:lpwstr>
      </vt:variant>
      <vt:variant>
        <vt:lpwstr/>
      </vt:variant>
      <vt:variant>
        <vt:i4>2359350</vt:i4>
      </vt:variant>
      <vt:variant>
        <vt:i4>63</vt:i4>
      </vt:variant>
      <vt:variant>
        <vt:i4>0</vt:i4>
      </vt:variant>
      <vt:variant>
        <vt:i4>5</vt:i4>
      </vt:variant>
      <vt:variant>
        <vt:lpwstr>https://it.sonoma.edu/kb/it-purchasing-requirements/how-do-i-interpret-vpat</vt:lpwstr>
      </vt:variant>
      <vt:variant>
        <vt:lpwstr/>
      </vt:variant>
      <vt:variant>
        <vt:i4>5505028</vt:i4>
      </vt:variant>
      <vt:variant>
        <vt:i4>60</vt:i4>
      </vt:variant>
      <vt:variant>
        <vt:i4>0</vt:i4>
      </vt:variant>
      <vt:variant>
        <vt:i4>5</vt:i4>
      </vt:variant>
      <vt:variant>
        <vt:lpwstr>https://mw19.mwconf.org/paper/how-to-read-a-vpat-assessing-accessibility-conformance-reports/</vt:lpwstr>
      </vt:variant>
      <vt:variant>
        <vt:lpwstr/>
      </vt:variant>
      <vt:variant>
        <vt:i4>5963851</vt:i4>
      </vt:variant>
      <vt:variant>
        <vt:i4>57</vt:i4>
      </vt:variant>
      <vt:variant>
        <vt:i4>0</vt:i4>
      </vt:variant>
      <vt:variant>
        <vt:i4>5</vt:i4>
      </vt:variant>
      <vt:variant>
        <vt:lpwstr>https://www.csus.edu/information-resources-technology/files/accessibility-roadmap.pdf</vt:lpwstr>
      </vt:variant>
      <vt:variant>
        <vt:lpwstr/>
      </vt:variant>
      <vt:variant>
        <vt:i4>1441854</vt:i4>
      </vt:variant>
      <vt:variant>
        <vt:i4>50</vt:i4>
      </vt:variant>
      <vt:variant>
        <vt:i4>0</vt:i4>
      </vt:variant>
      <vt:variant>
        <vt:i4>5</vt:i4>
      </vt:variant>
      <vt:variant>
        <vt:lpwstr/>
      </vt:variant>
      <vt:variant>
        <vt:lpwstr>_Toc107487028</vt:lpwstr>
      </vt:variant>
      <vt:variant>
        <vt:i4>1441854</vt:i4>
      </vt:variant>
      <vt:variant>
        <vt:i4>44</vt:i4>
      </vt:variant>
      <vt:variant>
        <vt:i4>0</vt:i4>
      </vt:variant>
      <vt:variant>
        <vt:i4>5</vt:i4>
      </vt:variant>
      <vt:variant>
        <vt:lpwstr/>
      </vt:variant>
      <vt:variant>
        <vt:lpwstr>_Toc107487027</vt:lpwstr>
      </vt:variant>
      <vt:variant>
        <vt:i4>1441854</vt:i4>
      </vt:variant>
      <vt:variant>
        <vt:i4>38</vt:i4>
      </vt:variant>
      <vt:variant>
        <vt:i4>0</vt:i4>
      </vt:variant>
      <vt:variant>
        <vt:i4>5</vt:i4>
      </vt:variant>
      <vt:variant>
        <vt:lpwstr/>
      </vt:variant>
      <vt:variant>
        <vt:lpwstr>_Toc107487026</vt:lpwstr>
      </vt:variant>
      <vt:variant>
        <vt:i4>1441854</vt:i4>
      </vt:variant>
      <vt:variant>
        <vt:i4>32</vt:i4>
      </vt:variant>
      <vt:variant>
        <vt:i4>0</vt:i4>
      </vt:variant>
      <vt:variant>
        <vt:i4>5</vt:i4>
      </vt:variant>
      <vt:variant>
        <vt:lpwstr/>
      </vt:variant>
      <vt:variant>
        <vt:lpwstr>_Toc107487025</vt:lpwstr>
      </vt:variant>
      <vt:variant>
        <vt:i4>1441854</vt:i4>
      </vt:variant>
      <vt:variant>
        <vt:i4>26</vt:i4>
      </vt:variant>
      <vt:variant>
        <vt:i4>0</vt:i4>
      </vt:variant>
      <vt:variant>
        <vt:i4>5</vt:i4>
      </vt:variant>
      <vt:variant>
        <vt:lpwstr/>
      </vt:variant>
      <vt:variant>
        <vt:lpwstr>_Toc107487024</vt:lpwstr>
      </vt:variant>
      <vt:variant>
        <vt:i4>1441854</vt:i4>
      </vt:variant>
      <vt:variant>
        <vt:i4>20</vt:i4>
      </vt:variant>
      <vt:variant>
        <vt:i4>0</vt:i4>
      </vt:variant>
      <vt:variant>
        <vt:i4>5</vt:i4>
      </vt:variant>
      <vt:variant>
        <vt:lpwstr/>
      </vt:variant>
      <vt:variant>
        <vt:lpwstr>_Toc107487023</vt:lpwstr>
      </vt:variant>
      <vt:variant>
        <vt:i4>1441854</vt:i4>
      </vt:variant>
      <vt:variant>
        <vt:i4>14</vt:i4>
      </vt:variant>
      <vt:variant>
        <vt:i4>0</vt:i4>
      </vt:variant>
      <vt:variant>
        <vt:i4>5</vt:i4>
      </vt:variant>
      <vt:variant>
        <vt:lpwstr/>
      </vt:variant>
      <vt:variant>
        <vt:lpwstr>_Toc107487022</vt:lpwstr>
      </vt:variant>
      <vt:variant>
        <vt:i4>1441854</vt:i4>
      </vt:variant>
      <vt:variant>
        <vt:i4>8</vt:i4>
      </vt:variant>
      <vt:variant>
        <vt:i4>0</vt:i4>
      </vt:variant>
      <vt:variant>
        <vt:i4>5</vt:i4>
      </vt:variant>
      <vt:variant>
        <vt:lpwstr/>
      </vt:variant>
      <vt:variant>
        <vt:lpwstr>_Toc107487021</vt:lpwstr>
      </vt:variant>
      <vt:variant>
        <vt:i4>1441854</vt:i4>
      </vt:variant>
      <vt:variant>
        <vt:i4>2</vt:i4>
      </vt:variant>
      <vt:variant>
        <vt:i4>0</vt:i4>
      </vt:variant>
      <vt:variant>
        <vt:i4>5</vt:i4>
      </vt:variant>
      <vt:variant>
        <vt:lpwstr/>
      </vt:variant>
      <vt:variant>
        <vt:lpwstr>_Toc107487020</vt:lpwstr>
      </vt:variant>
      <vt:variant>
        <vt:i4>2293818</vt:i4>
      </vt:variant>
      <vt:variant>
        <vt:i4>6</vt:i4>
      </vt:variant>
      <vt:variant>
        <vt:i4>0</vt:i4>
      </vt:variant>
      <vt:variant>
        <vt:i4>5</vt:i4>
      </vt:variant>
      <vt:variant>
        <vt:lpwstr>https://www.itic.org/policy/accessibility/vpat</vt:lpwstr>
      </vt:variant>
      <vt:variant>
        <vt:lpwstr/>
      </vt:variant>
      <vt:variant>
        <vt:i4>5963851</vt:i4>
      </vt:variant>
      <vt:variant>
        <vt:i4>3</vt:i4>
      </vt:variant>
      <vt:variant>
        <vt:i4>0</vt:i4>
      </vt:variant>
      <vt:variant>
        <vt:i4>5</vt:i4>
      </vt:variant>
      <vt:variant>
        <vt:lpwstr>https://www.csus.edu/information-resources-technology/files/accessibility-roadmap.pdf</vt:lpwstr>
      </vt:variant>
      <vt:variant>
        <vt:lpwstr/>
      </vt:variant>
      <vt:variant>
        <vt:i4>4259928</vt:i4>
      </vt:variant>
      <vt:variant>
        <vt:i4>0</vt:i4>
      </vt:variant>
      <vt:variant>
        <vt:i4>0</vt:i4>
      </vt:variant>
      <vt:variant>
        <vt:i4>5</vt:i4>
      </vt:variant>
      <vt:variant>
        <vt:lpwstr>https://www.w3.org/WAI/standards-guidelines/atag/</vt:lpwstr>
      </vt:variant>
      <vt:variant>
        <vt:lpwstr/>
      </vt:variant>
      <vt:variant>
        <vt:i4>3670101</vt:i4>
      </vt:variant>
      <vt:variant>
        <vt:i4>36</vt:i4>
      </vt:variant>
      <vt:variant>
        <vt:i4>0</vt:i4>
      </vt:variant>
      <vt:variant>
        <vt:i4>5</vt:i4>
      </vt:variant>
      <vt:variant>
        <vt:lpwstr>mailto:neil.jarvis@intopia.digital</vt:lpwstr>
      </vt:variant>
      <vt:variant>
        <vt:lpwstr/>
      </vt:variant>
      <vt:variant>
        <vt:i4>3670101</vt:i4>
      </vt:variant>
      <vt:variant>
        <vt:i4>33</vt:i4>
      </vt:variant>
      <vt:variant>
        <vt:i4>0</vt:i4>
      </vt:variant>
      <vt:variant>
        <vt:i4>5</vt:i4>
      </vt:variant>
      <vt:variant>
        <vt:lpwstr>mailto:neil.jarvis@intopia.digital</vt:lpwstr>
      </vt:variant>
      <vt:variant>
        <vt:lpwstr/>
      </vt:variant>
      <vt:variant>
        <vt:i4>6619226</vt:i4>
      </vt:variant>
      <vt:variant>
        <vt:i4>30</vt:i4>
      </vt:variant>
      <vt:variant>
        <vt:i4>0</vt:i4>
      </vt:variant>
      <vt:variant>
        <vt:i4>5</vt:i4>
      </vt:variant>
      <vt:variant>
        <vt:lpwstr>mailto:andrew@intopia.digital</vt:lpwstr>
      </vt:variant>
      <vt:variant>
        <vt:lpwstr/>
      </vt:variant>
      <vt:variant>
        <vt:i4>6619226</vt:i4>
      </vt:variant>
      <vt:variant>
        <vt:i4>27</vt:i4>
      </vt:variant>
      <vt:variant>
        <vt:i4>0</vt:i4>
      </vt:variant>
      <vt:variant>
        <vt:i4>5</vt:i4>
      </vt:variant>
      <vt:variant>
        <vt:lpwstr>mailto:andrew@intopia.digital</vt:lpwstr>
      </vt:variant>
      <vt:variant>
        <vt:lpwstr/>
      </vt:variant>
      <vt:variant>
        <vt:i4>3670101</vt:i4>
      </vt:variant>
      <vt:variant>
        <vt:i4>24</vt:i4>
      </vt:variant>
      <vt:variant>
        <vt:i4>0</vt:i4>
      </vt:variant>
      <vt:variant>
        <vt:i4>5</vt:i4>
      </vt:variant>
      <vt:variant>
        <vt:lpwstr>mailto:neil.jarvis@intopia.digital</vt:lpwstr>
      </vt:variant>
      <vt:variant>
        <vt:lpwstr/>
      </vt:variant>
      <vt:variant>
        <vt:i4>3670101</vt:i4>
      </vt:variant>
      <vt:variant>
        <vt:i4>21</vt:i4>
      </vt:variant>
      <vt:variant>
        <vt:i4>0</vt:i4>
      </vt:variant>
      <vt:variant>
        <vt:i4>5</vt:i4>
      </vt:variant>
      <vt:variant>
        <vt:lpwstr>mailto:neil.jarvis@intopia.digital</vt:lpwstr>
      </vt:variant>
      <vt:variant>
        <vt:lpwstr/>
      </vt:variant>
      <vt:variant>
        <vt:i4>7340089</vt:i4>
      </vt:variant>
      <vt:variant>
        <vt:i4>18</vt:i4>
      </vt:variant>
      <vt:variant>
        <vt:i4>0</vt:i4>
      </vt:variant>
      <vt:variant>
        <vt:i4>5</vt:i4>
      </vt:variant>
      <vt:variant>
        <vt:lpwstr>https://digitalaccessibility.uoregon.edu/procurement/review</vt:lpwstr>
      </vt:variant>
      <vt:variant>
        <vt:lpwstr/>
      </vt:variant>
      <vt:variant>
        <vt:i4>4980756</vt:i4>
      </vt:variant>
      <vt:variant>
        <vt:i4>15</vt:i4>
      </vt:variant>
      <vt:variant>
        <vt:i4>0</vt:i4>
      </vt:variant>
      <vt:variant>
        <vt:i4>5</vt:i4>
      </vt:variant>
      <vt:variant>
        <vt:lpwstr>https://aem.cast.org/acquire/vpat</vt:lpwstr>
      </vt:variant>
      <vt:variant>
        <vt:lpwstr/>
      </vt:variant>
      <vt:variant>
        <vt:i4>7077952</vt:i4>
      </vt:variant>
      <vt:variant>
        <vt:i4>12</vt:i4>
      </vt:variant>
      <vt:variant>
        <vt:i4>0</vt:i4>
      </vt:variant>
      <vt:variant>
        <vt:i4>5</vt:i4>
      </vt:variant>
      <vt:variant>
        <vt:lpwstr>https://www.nwheat.org/images/procurement-readingvpat_4-27-21.pdf</vt:lpwstr>
      </vt:variant>
      <vt:variant>
        <vt:lpwstr/>
      </vt:variant>
      <vt:variant>
        <vt:i4>2359350</vt:i4>
      </vt:variant>
      <vt:variant>
        <vt:i4>9</vt:i4>
      </vt:variant>
      <vt:variant>
        <vt:i4>0</vt:i4>
      </vt:variant>
      <vt:variant>
        <vt:i4>5</vt:i4>
      </vt:variant>
      <vt:variant>
        <vt:lpwstr>https://it.sonoma.edu/kb/it-purchasing-requirements/how-do-i-interpret-vpat</vt:lpwstr>
      </vt:variant>
      <vt:variant>
        <vt:lpwstr/>
      </vt:variant>
      <vt:variant>
        <vt:i4>5505028</vt:i4>
      </vt:variant>
      <vt:variant>
        <vt:i4>6</vt:i4>
      </vt:variant>
      <vt:variant>
        <vt:i4>0</vt:i4>
      </vt:variant>
      <vt:variant>
        <vt:i4>5</vt:i4>
      </vt:variant>
      <vt:variant>
        <vt:lpwstr>https://mw19.mwconf.org/paper/how-to-read-a-vpat-assessing-accessibility-conformance-reports/</vt:lpwstr>
      </vt:variant>
      <vt:variant>
        <vt:lpwstr/>
      </vt:variant>
      <vt:variant>
        <vt:i4>6946929</vt:i4>
      </vt:variant>
      <vt:variant>
        <vt:i4>3</vt:i4>
      </vt:variant>
      <vt:variant>
        <vt:i4>0</vt:i4>
      </vt:variant>
      <vt:variant>
        <vt:i4>5</vt:i4>
      </vt:variant>
      <vt:variant>
        <vt:lpwstr>https://www.accessibilityoz.com/2019/09/how-to-read-a-vpat/</vt:lpwstr>
      </vt:variant>
      <vt:variant>
        <vt:lpwstr/>
      </vt:variant>
      <vt:variant>
        <vt:i4>3670101</vt:i4>
      </vt:variant>
      <vt:variant>
        <vt:i4>0</vt:i4>
      </vt:variant>
      <vt:variant>
        <vt:i4>0</vt:i4>
      </vt:variant>
      <vt:variant>
        <vt:i4>5</vt:i4>
      </vt:variant>
      <vt:variant>
        <vt:lpwstr>mailto:neil.jarvis@intopia.digital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procurement waypoints</dc:title>
  <dc:subject/>
  <dc:creator>Andrew Arch &amp; Neil Jarvis</dc:creator>
  <cp:keywords/>
  <dc:description/>
  <cp:lastModifiedBy>Andrew Arch</cp:lastModifiedBy>
  <cp:revision>17</cp:revision>
  <cp:lastPrinted>2017-02-01T02:22:00Z</cp:lastPrinted>
  <dcterms:created xsi:type="dcterms:W3CDTF">2022-09-21T05:39:00Z</dcterms:created>
  <dcterms:modified xsi:type="dcterms:W3CDTF">2022-09-29T01:14:00Z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name">
    <vt:lpwstr>ADCET</vt:lpwstr>
  </property>
  <property fmtid="{D5CDD505-2E9C-101B-9397-08002B2CF9AE}" pid="3" name="ContentTypeId">
    <vt:lpwstr>0x01010030B9C7C5F0D34C478B598357F78776B5</vt:lpwstr>
  </property>
</Properties>
</file>