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8F07" w14:textId="4443189F" w:rsidR="00BB3082" w:rsidRDefault="009A4C34" w:rsidP="009A4C34">
      <w:pPr>
        <w:pStyle w:val="Heading1"/>
      </w:pPr>
      <w:r>
        <w:t>Risk Register considerations</w:t>
      </w:r>
    </w:p>
    <w:p w14:paraId="19FB7848" w14:textId="77777777" w:rsidR="00A43567" w:rsidRPr="00B153F8" w:rsidRDefault="00A43567" w:rsidP="00A43567">
      <w:pPr>
        <w:pStyle w:val="Heading2"/>
      </w:pPr>
      <w:bookmarkStart w:id="0" w:name="_Toc27551289"/>
      <w:bookmarkStart w:id="1" w:name="_Toc34657585"/>
      <w:bookmarkStart w:id="2" w:name="_Toc34659454"/>
      <w:bookmarkStart w:id="3" w:name="_Toc36548179"/>
      <w:bookmarkStart w:id="4" w:name="_Toc36551924"/>
      <w:bookmarkStart w:id="5" w:name="_Toc40371966"/>
      <w:bookmarkStart w:id="6" w:name="_Toc82084054"/>
      <w:bookmarkStart w:id="7" w:name="_Toc82084296"/>
      <w:bookmarkStart w:id="8" w:name="_Toc82092162"/>
      <w:bookmarkStart w:id="9" w:name="_Toc85545739"/>
      <w:r w:rsidRPr="00B153F8">
        <w:t>Version control</w:t>
      </w:r>
      <w:bookmarkEnd w:id="0"/>
      <w:bookmarkEnd w:id="1"/>
      <w:bookmarkEnd w:id="2"/>
      <w:bookmarkEnd w:id="3"/>
      <w:bookmarkEnd w:id="4"/>
      <w:bookmarkEnd w:id="5"/>
      <w:bookmarkEnd w:id="6"/>
      <w:bookmarkEnd w:id="7"/>
      <w:bookmarkEnd w:id="8"/>
      <w:bookmarkEnd w:id="9"/>
      <w:r w:rsidRPr="00B153F8">
        <w:t xml:space="preserve"> </w:t>
      </w:r>
    </w:p>
    <w:tbl>
      <w:tblPr>
        <w:tblStyle w:val="GridTable1Light"/>
        <w:tblW w:w="0" w:type="auto"/>
        <w:tblLook w:val="04A0" w:firstRow="1" w:lastRow="0" w:firstColumn="1" w:lastColumn="0" w:noHBand="0" w:noVBand="1"/>
        <w:tblCaption w:val="Version table, version, date, comments"/>
      </w:tblPr>
      <w:tblGrid>
        <w:gridCol w:w="1271"/>
        <w:gridCol w:w="2126"/>
        <w:gridCol w:w="5358"/>
      </w:tblGrid>
      <w:tr w:rsidR="00A43567" w:rsidRPr="00B153F8" w14:paraId="7D228322" w14:textId="77777777" w:rsidTr="005158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F421FBF" w14:textId="77777777" w:rsidR="00A43567" w:rsidRPr="00B153F8" w:rsidRDefault="00A43567" w:rsidP="00515837">
            <w:r w:rsidRPr="00B153F8">
              <w:t>Version</w:t>
            </w:r>
          </w:p>
        </w:tc>
        <w:tc>
          <w:tcPr>
            <w:tcW w:w="2126" w:type="dxa"/>
          </w:tcPr>
          <w:p w14:paraId="06C8C811" w14:textId="77777777" w:rsidR="00A43567" w:rsidRPr="00B153F8" w:rsidRDefault="00A43567" w:rsidP="00515837">
            <w:pPr>
              <w:cnfStyle w:val="100000000000" w:firstRow="1" w:lastRow="0" w:firstColumn="0" w:lastColumn="0" w:oddVBand="0" w:evenVBand="0" w:oddHBand="0" w:evenHBand="0" w:firstRowFirstColumn="0" w:firstRowLastColumn="0" w:lastRowFirstColumn="0" w:lastRowLastColumn="0"/>
            </w:pPr>
            <w:r w:rsidRPr="00B153F8">
              <w:t>Date</w:t>
            </w:r>
          </w:p>
        </w:tc>
        <w:tc>
          <w:tcPr>
            <w:tcW w:w="5358" w:type="dxa"/>
          </w:tcPr>
          <w:p w14:paraId="5FAFFA4F" w14:textId="77777777" w:rsidR="00A43567" w:rsidRPr="00B153F8" w:rsidRDefault="00A43567" w:rsidP="00515837">
            <w:pPr>
              <w:cnfStyle w:val="100000000000" w:firstRow="1" w:lastRow="0" w:firstColumn="0" w:lastColumn="0" w:oddVBand="0" w:evenVBand="0" w:oddHBand="0" w:evenHBand="0" w:firstRowFirstColumn="0" w:firstRowLastColumn="0" w:lastRowFirstColumn="0" w:lastRowLastColumn="0"/>
            </w:pPr>
            <w:r w:rsidRPr="00B153F8">
              <w:t>Status / Updates</w:t>
            </w:r>
          </w:p>
        </w:tc>
      </w:tr>
      <w:tr w:rsidR="00A43567" w:rsidRPr="00B153F8" w14:paraId="43D9F618" w14:textId="77777777" w:rsidTr="00515837">
        <w:tc>
          <w:tcPr>
            <w:cnfStyle w:val="001000000000" w:firstRow="0" w:lastRow="0" w:firstColumn="1" w:lastColumn="0" w:oddVBand="0" w:evenVBand="0" w:oddHBand="0" w:evenHBand="0" w:firstRowFirstColumn="0" w:firstRowLastColumn="0" w:lastRowFirstColumn="0" w:lastRowLastColumn="0"/>
            <w:tcW w:w="1271" w:type="dxa"/>
          </w:tcPr>
          <w:p w14:paraId="300DB8C5" w14:textId="77777777" w:rsidR="00A43567" w:rsidRPr="00B153F8" w:rsidRDefault="00A43567" w:rsidP="00515837">
            <w:pPr>
              <w:rPr>
                <w:b w:val="0"/>
                <w:bCs w:val="0"/>
              </w:rPr>
            </w:pPr>
            <w:r w:rsidRPr="00B153F8">
              <w:rPr>
                <w:b w:val="0"/>
                <w:bCs w:val="0"/>
              </w:rPr>
              <w:t>0.1</w:t>
            </w:r>
          </w:p>
        </w:tc>
        <w:tc>
          <w:tcPr>
            <w:tcW w:w="2126" w:type="dxa"/>
          </w:tcPr>
          <w:p w14:paraId="19763C81" w14:textId="4C514C4E" w:rsidR="00A43567" w:rsidRPr="00B153F8" w:rsidRDefault="00A43567" w:rsidP="00515837">
            <w:pPr>
              <w:cnfStyle w:val="000000000000" w:firstRow="0" w:lastRow="0" w:firstColumn="0" w:lastColumn="0" w:oddVBand="0" w:evenVBand="0" w:oddHBand="0" w:evenHBand="0" w:firstRowFirstColumn="0" w:firstRowLastColumn="0" w:lastRowFirstColumn="0" w:lastRowLastColumn="0"/>
            </w:pPr>
            <w:r>
              <w:t>23 June</w:t>
            </w:r>
            <w:r w:rsidRPr="00B153F8">
              <w:t xml:space="preserve"> 2022</w:t>
            </w:r>
          </w:p>
        </w:tc>
        <w:tc>
          <w:tcPr>
            <w:tcW w:w="5358" w:type="dxa"/>
          </w:tcPr>
          <w:p w14:paraId="67FBD9A8" w14:textId="2BBBAC5D" w:rsidR="00A43567" w:rsidRPr="00B153F8" w:rsidRDefault="00A43567" w:rsidP="00515837">
            <w:pPr>
              <w:cnfStyle w:val="000000000000" w:firstRow="0" w:lastRow="0" w:firstColumn="0" w:lastColumn="0" w:oddVBand="0" w:evenVBand="0" w:oddHBand="0" w:evenHBand="0" w:firstRowFirstColumn="0" w:firstRowLastColumn="0" w:lastRowFirstColumn="0" w:lastRowLastColumn="0"/>
            </w:pPr>
            <w:r w:rsidRPr="00B153F8">
              <w:t xml:space="preserve">First draft for </w:t>
            </w:r>
            <w:r>
              <w:t>ADCET feedback</w:t>
            </w:r>
          </w:p>
        </w:tc>
      </w:tr>
      <w:tr w:rsidR="00C037D0" w:rsidRPr="00B153F8" w14:paraId="3AAF44CF" w14:textId="77777777" w:rsidTr="00515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AA5E3FE" w14:textId="000129F8" w:rsidR="00C037D0" w:rsidRPr="00B153F8" w:rsidRDefault="00B65C36" w:rsidP="00515837">
            <w:r>
              <w:t>0.2</w:t>
            </w:r>
          </w:p>
        </w:tc>
        <w:tc>
          <w:tcPr>
            <w:tcW w:w="2126" w:type="dxa"/>
          </w:tcPr>
          <w:p w14:paraId="0928555A" w14:textId="2ECDA6DE" w:rsidR="00C037D0" w:rsidRDefault="00140FB9" w:rsidP="00515837">
            <w:pPr>
              <w:cnfStyle w:val="000000010000" w:firstRow="0" w:lastRow="0" w:firstColumn="0" w:lastColumn="0" w:oddVBand="0" w:evenVBand="0" w:oddHBand="0" w:evenHBand="1" w:firstRowFirstColumn="0" w:firstRowLastColumn="0" w:lastRowFirstColumn="0" w:lastRowLastColumn="0"/>
            </w:pPr>
            <w:r>
              <w:t>29 July 2022</w:t>
            </w:r>
          </w:p>
        </w:tc>
        <w:tc>
          <w:tcPr>
            <w:tcW w:w="5358" w:type="dxa"/>
          </w:tcPr>
          <w:p w14:paraId="6B5F1B82" w14:textId="3648A40E" w:rsidR="00C037D0" w:rsidRPr="00B153F8" w:rsidRDefault="008D3FA1" w:rsidP="00515837">
            <w:pPr>
              <w:cnfStyle w:val="000000010000" w:firstRow="0" w:lastRow="0" w:firstColumn="0" w:lastColumn="0" w:oddVBand="0" w:evenVBand="0" w:oddHBand="0" w:evenHBand="1" w:firstRowFirstColumn="0" w:firstRowLastColumn="0" w:lastRowFirstColumn="0" w:lastRowLastColumn="0"/>
            </w:pPr>
            <w:r>
              <w:t>Updated</w:t>
            </w:r>
            <w:r w:rsidR="00B64D22">
              <w:t xml:space="preserve"> </w:t>
            </w:r>
            <w:r w:rsidR="00E27118">
              <w:t>including addressing feedback</w:t>
            </w:r>
          </w:p>
        </w:tc>
      </w:tr>
      <w:tr w:rsidR="00F818DA" w:rsidRPr="00B153F8" w14:paraId="26FDF8C3" w14:textId="77777777" w:rsidTr="00515837">
        <w:tc>
          <w:tcPr>
            <w:cnfStyle w:val="001000000000" w:firstRow="0" w:lastRow="0" w:firstColumn="1" w:lastColumn="0" w:oddVBand="0" w:evenVBand="0" w:oddHBand="0" w:evenHBand="0" w:firstRowFirstColumn="0" w:firstRowLastColumn="0" w:lastRowFirstColumn="0" w:lastRowLastColumn="0"/>
            <w:tcW w:w="1271" w:type="dxa"/>
          </w:tcPr>
          <w:p w14:paraId="3B28EE13" w14:textId="6911E452" w:rsidR="00F818DA" w:rsidRDefault="00F818DA" w:rsidP="00515837">
            <w:r>
              <w:t>1.0</w:t>
            </w:r>
          </w:p>
        </w:tc>
        <w:tc>
          <w:tcPr>
            <w:tcW w:w="2126" w:type="dxa"/>
          </w:tcPr>
          <w:p w14:paraId="2C422F1D" w14:textId="6032BF18" w:rsidR="00F818DA" w:rsidRDefault="00A17EF5" w:rsidP="00515837">
            <w:pPr>
              <w:cnfStyle w:val="000000000000" w:firstRow="0" w:lastRow="0" w:firstColumn="0" w:lastColumn="0" w:oddVBand="0" w:evenVBand="0" w:oddHBand="0" w:evenHBand="0" w:firstRowFirstColumn="0" w:firstRowLastColumn="0" w:lastRowFirstColumn="0" w:lastRowLastColumn="0"/>
            </w:pPr>
            <w:r>
              <w:t>29 September 2022</w:t>
            </w:r>
          </w:p>
        </w:tc>
        <w:tc>
          <w:tcPr>
            <w:tcW w:w="5358" w:type="dxa"/>
          </w:tcPr>
          <w:p w14:paraId="021627B5" w14:textId="5AC79590" w:rsidR="00F818DA" w:rsidRDefault="00A17EF5" w:rsidP="00515837">
            <w:pPr>
              <w:cnfStyle w:val="000000000000" w:firstRow="0" w:lastRow="0" w:firstColumn="0" w:lastColumn="0" w:oddVBand="0" w:evenVBand="0" w:oddHBand="0" w:evenHBand="0" w:firstRowFirstColumn="0" w:firstRowLastColumn="0" w:lastRowFirstColumn="0" w:lastRowLastColumn="0"/>
            </w:pPr>
            <w:r>
              <w:t xml:space="preserve">Final version for publishing </w:t>
            </w:r>
          </w:p>
        </w:tc>
      </w:tr>
    </w:tbl>
    <w:p w14:paraId="31A6B37D" w14:textId="77777777" w:rsidR="001F42FB" w:rsidRPr="001F42FB" w:rsidRDefault="001F42FB" w:rsidP="001F42FB"/>
    <w:p w14:paraId="2FB1AB4B" w14:textId="09CD0E3D" w:rsidR="00CA672B" w:rsidRPr="00CA672B" w:rsidRDefault="00CA672B" w:rsidP="00CA672B">
      <w:pPr>
        <w:pStyle w:val="Heading2"/>
      </w:pPr>
      <w:r>
        <w:t>Introduction</w:t>
      </w:r>
    </w:p>
    <w:p w14:paraId="69C98DBC" w14:textId="06597AE0" w:rsidR="00064B4F" w:rsidRDefault="00064B4F" w:rsidP="009A4C34">
      <w:r w:rsidRPr="00064B4F">
        <w:t xml:space="preserve">Whilst accessibility is a risk, the level of </w:t>
      </w:r>
      <w:r w:rsidR="00CC4150">
        <w:t xml:space="preserve">accessibility </w:t>
      </w:r>
      <w:r w:rsidRPr="00064B4F">
        <w:t>risk is clearly not the same for all I</w:t>
      </w:r>
      <w:r w:rsidR="00D56616">
        <w:t>C</w:t>
      </w:r>
      <w:r w:rsidRPr="00064B4F">
        <w:t xml:space="preserve">T </w:t>
      </w:r>
      <w:r w:rsidR="00D56616">
        <w:t>procurements</w:t>
      </w:r>
      <w:r w:rsidRPr="00064B4F">
        <w:t xml:space="preserve">. </w:t>
      </w:r>
      <w:r w:rsidR="005C4499">
        <w:t>For example, s</w:t>
      </w:r>
      <w:r w:rsidRPr="00064B4F">
        <w:t>oftware which is used by 7 people in a lab obviously carries less risk than a system which will be accessed by 40,000 students.</w:t>
      </w:r>
      <w:r w:rsidR="00D56616">
        <w:t xml:space="preserve"> Th</w:t>
      </w:r>
      <w:r w:rsidR="00E569EF">
        <w:t>e following section</w:t>
      </w:r>
      <w:r w:rsidR="009F386A">
        <w:t>s</w:t>
      </w:r>
      <w:r w:rsidR="00E569EF">
        <w:t xml:space="preserve"> should </w:t>
      </w:r>
      <w:r w:rsidR="009F386A">
        <w:t>assist in id</w:t>
      </w:r>
      <w:r w:rsidR="00172593">
        <w:t xml:space="preserve">entifying potential risks and assessing </w:t>
      </w:r>
      <w:r w:rsidR="00740323">
        <w:t>their level.</w:t>
      </w:r>
    </w:p>
    <w:p w14:paraId="31CB949B" w14:textId="72CCD896" w:rsidR="00013FB4" w:rsidRDefault="00013FB4" w:rsidP="00814D44">
      <w:pPr>
        <w:pStyle w:val="Heading2"/>
      </w:pPr>
      <w:r>
        <w:t>Risk management principles</w:t>
      </w:r>
    </w:p>
    <w:p w14:paraId="08DCCFEC" w14:textId="2864AB74" w:rsidR="000A2162" w:rsidRDefault="000A2162" w:rsidP="00013FB4">
      <w:r w:rsidRPr="000A2162">
        <w:t>'AS ISO 31000:2018 Risk management - Guidelines'</w:t>
      </w:r>
      <w:r>
        <w:rPr>
          <w:rStyle w:val="FootnoteReference"/>
        </w:rPr>
        <w:footnoteReference w:id="2"/>
      </w:r>
      <w:r w:rsidRPr="000A2162">
        <w:t xml:space="preserve"> is an Australian Standard which helps individuals and organisations to manage risks, make decisions, achieve </w:t>
      </w:r>
      <w:proofErr w:type="gramStart"/>
      <w:r w:rsidRPr="000A2162">
        <w:t>objectives</w:t>
      </w:r>
      <w:proofErr w:type="gramEnd"/>
      <w:r w:rsidRPr="000A2162">
        <w:t xml:space="preserve"> and improve performance.</w:t>
      </w:r>
    </w:p>
    <w:p w14:paraId="7616A764" w14:textId="6B71D3F2" w:rsidR="00013FB4" w:rsidRDefault="00013FB4" w:rsidP="00013FB4">
      <w:r>
        <w:t>Risk management seeks to create and protect value and seeks to manage the effects of uncertainty using the following principles:</w:t>
      </w:r>
    </w:p>
    <w:p w14:paraId="5E2098B1" w14:textId="19E23A33" w:rsidR="00013FB4" w:rsidRDefault="00013FB4" w:rsidP="00814D44">
      <w:pPr>
        <w:pStyle w:val="ListParagraph"/>
        <w:numPr>
          <w:ilvl w:val="0"/>
          <w:numId w:val="46"/>
        </w:numPr>
      </w:pPr>
      <w:r>
        <w:t>Risk management is an integral part of all organisational processes</w:t>
      </w:r>
    </w:p>
    <w:p w14:paraId="238EB7C3" w14:textId="13C1F8A4" w:rsidR="00013FB4" w:rsidRDefault="00013FB4" w:rsidP="00814D44">
      <w:pPr>
        <w:pStyle w:val="ListParagraph"/>
        <w:numPr>
          <w:ilvl w:val="0"/>
          <w:numId w:val="46"/>
        </w:numPr>
      </w:pPr>
      <w:r>
        <w:t>Risk management is structured and comprehensive</w:t>
      </w:r>
    </w:p>
    <w:p w14:paraId="352C782D" w14:textId="2CD2EB96" w:rsidR="00013FB4" w:rsidRDefault="00013FB4" w:rsidP="00814D44">
      <w:pPr>
        <w:pStyle w:val="ListParagraph"/>
        <w:numPr>
          <w:ilvl w:val="0"/>
          <w:numId w:val="46"/>
        </w:numPr>
      </w:pPr>
      <w:r>
        <w:t>Risk management is customized to the organisation's context</w:t>
      </w:r>
    </w:p>
    <w:p w14:paraId="060B2301" w14:textId="05083F63" w:rsidR="00013FB4" w:rsidRDefault="00013FB4" w:rsidP="00814D44">
      <w:pPr>
        <w:pStyle w:val="ListParagraph"/>
        <w:numPr>
          <w:ilvl w:val="0"/>
          <w:numId w:val="46"/>
        </w:numPr>
      </w:pPr>
      <w:r>
        <w:t>Risk management is inclusive of stakeholders</w:t>
      </w:r>
    </w:p>
    <w:p w14:paraId="744A89DE" w14:textId="4D7E479C" w:rsidR="00013FB4" w:rsidRDefault="00013FB4" w:rsidP="00814D44">
      <w:pPr>
        <w:pStyle w:val="ListParagraph"/>
        <w:numPr>
          <w:ilvl w:val="0"/>
          <w:numId w:val="46"/>
        </w:numPr>
      </w:pPr>
      <w:r>
        <w:t>Risk management is dynamic and responds to change</w:t>
      </w:r>
    </w:p>
    <w:p w14:paraId="6A9805CD" w14:textId="6688E08C" w:rsidR="00013FB4" w:rsidRDefault="00013FB4" w:rsidP="00814D44">
      <w:pPr>
        <w:pStyle w:val="ListParagraph"/>
        <w:numPr>
          <w:ilvl w:val="0"/>
          <w:numId w:val="46"/>
        </w:numPr>
      </w:pPr>
      <w:r>
        <w:t>Risk management is based on historical and current information, as well as future expectations</w:t>
      </w:r>
    </w:p>
    <w:p w14:paraId="652388EC" w14:textId="40FB6674" w:rsidR="00013FB4" w:rsidRDefault="00013FB4" w:rsidP="00814D44">
      <w:pPr>
        <w:pStyle w:val="ListParagraph"/>
        <w:numPr>
          <w:ilvl w:val="0"/>
          <w:numId w:val="46"/>
        </w:numPr>
      </w:pPr>
      <w:r>
        <w:t>Risk management is influenced by human and cultural factors</w:t>
      </w:r>
    </w:p>
    <w:p w14:paraId="379DE728" w14:textId="34E64CCF" w:rsidR="00013FB4" w:rsidRDefault="00013FB4" w:rsidP="00013FB4">
      <w:pPr>
        <w:pStyle w:val="ListParagraph"/>
        <w:numPr>
          <w:ilvl w:val="0"/>
          <w:numId w:val="46"/>
        </w:numPr>
      </w:pPr>
      <w:r>
        <w:t>Risk management is continually improved through learning and experience</w:t>
      </w:r>
    </w:p>
    <w:p w14:paraId="0220EBC4" w14:textId="77777777" w:rsidR="00FC512F" w:rsidRDefault="00FC512F" w:rsidP="00814D44">
      <w:pPr>
        <w:pStyle w:val="Heading2"/>
      </w:pPr>
      <w:r>
        <w:t>Risk management process</w:t>
      </w:r>
    </w:p>
    <w:p w14:paraId="057E9CE2" w14:textId="3BBC7973" w:rsidR="00FC512F" w:rsidRDefault="00ED3748" w:rsidP="00FC512F">
      <w:r>
        <w:t>The r</w:t>
      </w:r>
      <w:r w:rsidR="00FC512F">
        <w:t>isk management</w:t>
      </w:r>
      <w:r>
        <w:t xml:space="preserve"> process</w:t>
      </w:r>
      <w:r w:rsidR="00FC512F">
        <w:t xml:space="preserve"> involves the following activities:</w:t>
      </w:r>
    </w:p>
    <w:p w14:paraId="108A3B10" w14:textId="315AAC38" w:rsidR="00FC512F" w:rsidRDefault="00FC512F" w:rsidP="00814D44">
      <w:pPr>
        <w:pStyle w:val="Heading3"/>
      </w:pPr>
      <w:r>
        <w:t>Communicating and consulting</w:t>
      </w:r>
    </w:p>
    <w:p w14:paraId="3F01F24B" w14:textId="77777777" w:rsidR="00FC512F" w:rsidRDefault="00FC512F" w:rsidP="00FC512F">
      <w:r>
        <w:t xml:space="preserve">Communication and consultation </w:t>
      </w:r>
      <w:proofErr w:type="gramStart"/>
      <w:r>
        <w:t>aims</w:t>
      </w:r>
      <w:proofErr w:type="gramEnd"/>
      <w:r>
        <w:t xml:space="preserve"> to:</w:t>
      </w:r>
    </w:p>
    <w:p w14:paraId="48B8FB64" w14:textId="545D28CA" w:rsidR="00FC512F" w:rsidRDefault="00FC512F" w:rsidP="00814D44">
      <w:pPr>
        <w:pStyle w:val="ListParagraph"/>
        <w:numPr>
          <w:ilvl w:val="0"/>
          <w:numId w:val="49"/>
        </w:numPr>
      </w:pPr>
      <w:r>
        <w:t>bring together different areas of expertise during the risk management process</w:t>
      </w:r>
    </w:p>
    <w:p w14:paraId="7B91047D" w14:textId="32441CA1" w:rsidR="00FC512F" w:rsidRDefault="00FC512F" w:rsidP="00814D44">
      <w:pPr>
        <w:pStyle w:val="ListParagraph"/>
        <w:numPr>
          <w:ilvl w:val="0"/>
          <w:numId w:val="49"/>
        </w:numPr>
      </w:pPr>
      <w:r>
        <w:lastRenderedPageBreak/>
        <w:t>consider different views when defining risk criteria and evaluating risks</w:t>
      </w:r>
    </w:p>
    <w:p w14:paraId="05663576" w14:textId="021CD517" w:rsidR="00FC512F" w:rsidRDefault="00FC512F" w:rsidP="00814D44">
      <w:pPr>
        <w:pStyle w:val="ListParagraph"/>
        <w:numPr>
          <w:ilvl w:val="0"/>
          <w:numId w:val="49"/>
        </w:numPr>
      </w:pPr>
      <w:r>
        <w:t>provide sufficient information to facilitate risk oversight and decision making</w:t>
      </w:r>
    </w:p>
    <w:p w14:paraId="34D0FB7D" w14:textId="4F186491" w:rsidR="00FC512F" w:rsidRDefault="00FC512F" w:rsidP="00FC512F">
      <w:pPr>
        <w:pStyle w:val="ListParagraph"/>
        <w:numPr>
          <w:ilvl w:val="0"/>
          <w:numId w:val="49"/>
        </w:numPr>
      </w:pPr>
      <w:r>
        <w:t>build a sense of inclusion and ownership to those affected by risk</w:t>
      </w:r>
    </w:p>
    <w:p w14:paraId="504CAB5F" w14:textId="5917F775" w:rsidR="00FC512F" w:rsidRDefault="00FC512F" w:rsidP="00814D44">
      <w:pPr>
        <w:pStyle w:val="Heading3"/>
      </w:pPr>
      <w:r>
        <w:t>Establishing the context and criteria</w:t>
      </w:r>
    </w:p>
    <w:p w14:paraId="2C365B19" w14:textId="0908666E" w:rsidR="00ED3748" w:rsidRDefault="005C33DA" w:rsidP="00FC512F">
      <w:r>
        <w:t>The r</w:t>
      </w:r>
      <w:r w:rsidR="00ED3748">
        <w:t>isk management</w:t>
      </w:r>
      <w:r>
        <w:t xml:space="preserve"> process should be customised to take account of the scope of activities, the context of the organisation and its risk criteria.</w:t>
      </w:r>
    </w:p>
    <w:p w14:paraId="376C8F6D" w14:textId="6C13F65F" w:rsidR="00FC512F" w:rsidRDefault="00FC512F" w:rsidP="00814D44">
      <w:pPr>
        <w:pStyle w:val="Heading3"/>
      </w:pPr>
      <w:r>
        <w:t>Risk assessment</w:t>
      </w:r>
    </w:p>
    <w:p w14:paraId="215EF872" w14:textId="77777777" w:rsidR="00FC512F" w:rsidRDefault="00FC512F" w:rsidP="00FC512F">
      <w:r>
        <w:t>Assessing risk includes:</w:t>
      </w:r>
    </w:p>
    <w:p w14:paraId="536DDF51" w14:textId="6B65E330" w:rsidR="00FC512F" w:rsidRDefault="00FC512F" w:rsidP="00814D44">
      <w:pPr>
        <w:pStyle w:val="ListParagraph"/>
        <w:numPr>
          <w:ilvl w:val="0"/>
          <w:numId w:val="54"/>
        </w:numPr>
      </w:pPr>
      <w:r>
        <w:t xml:space="preserve">identifying uncertainties </w:t>
      </w:r>
    </w:p>
    <w:p w14:paraId="391CFF37" w14:textId="098DD082" w:rsidR="00FC512F" w:rsidRDefault="00FC512F" w:rsidP="00814D44">
      <w:pPr>
        <w:pStyle w:val="ListParagraph"/>
        <w:numPr>
          <w:ilvl w:val="0"/>
          <w:numId w:val="54"/>
        </w:numPr>
      </w:pPr>
      <w:proofErr w:type="spellStart"/>
      <w:r>
        <w:t>analyzing</w:t>
      </w:r>
      <w:proofErr w:type="spellEnd"/>
      <w:r>
        <w:t xml:space="preserve"> uncertainties by considering factors such as likelihood, magnitude of consequences, complexities, time-related factors, effectiveness of existing controls and confidence levels</w:t>
      </w:r>
    </w:p>
    <w:p w14:paraId="2877C430" w14:textId="7423997E" w:rsidR="00FC512F" w:rsidRDefault="00FC512F" w:rsidP="00814D44">
      <w:pPr>
        <w:pStyle w:val="ListParagraph"/>
        <w:numPr>
          <w:ilvl w:val="0"/>
          <w:numId w:val="54"/>
        </w:numPr>
      </w:pPr>
      <w:r>
        <w:t xml:space="preserve">evaluating risks and deciding whether to do nothing, consider risk treatment options, undertake further analysis, maintain existing </w:t>
      </w:r>
      <w:proofErr w:type="gramStart"/>
      <w:r>
        <w:t>controls</w:t>
      </w:r>
      <w:proofErr w:type="gramEnd"/>
      <w:r>
        <w:t xml:space="preserve"> or reconsider objectives</w:t>
      </w:r>
    </w:p>
    <w:p w14:paraId="19D11B0D" w14:textId="72EBB8E9" w:rsidR="00FC512F" w:rsidRDefault="005C33DA" w:rsidP="00814D44">
      <w:pPr>
        <w:pStyle w:val="Heading3"/>
      </w:pPr>
      <w:r>
        <w:t>R</w:t>
      </w:r>
      <w:r w:rsidR="00FC512F">
        <w:t>isk treatment</w:t>
      </w:r>
    </w:p>
    <w:p w14:paraId="6810CCB9" w14:textId="77777777" w:rsidR="00FC512F" w:rsidRDefault="00FC512F" w:rsidP="00FC512F">
      <w:r>
        <w:t xml:space="preserve">Treating risk is an iterative process that involves: </w:t>
      </w:r>
    </w:p>
    <w:p w14:paraId="678ABA0F" w14:textId="2A6402D9" w:rsidR="00FC512F" w:rsidRDefault="00FC512F" w:rsidP="00814D44">
      <w:pPr>
        <w:pStyle w:val="ListParagraph"/>
        <w:numPr>
          <w:ilvl w:val="0"/>
          <w:numId w:val="49"/>
        </w:numPr>
      </w:pPr>
      <w:r>
        <w:t>formulating treatment options such as:</w:t>
      </w:r>
    </w:p>
    <w:p w14:paraId="5010BE05" w14:textId="6A1ECCEA" w:rsidR="00FC512F" w:rsidRDefault="00FC512F" w:rsidP="00814D44">
      <w:pPr>
        <w:pStyle w:val="ListParagraph"/>
        <w:numPr>
          <w:ilvl w:val="1"/>
          <w:numId w:val="49"/>
        </w:numPr>
      </w:pPr>
      <w:r>
        <w:t>avoiding the risk by not continuing with the activity</w:t>
      </w:r>
    </w:p>
    <w:p w14:paraId="2D56A73A" w14:textId="4ABDD01E" w:rsidR="00FC512F" w:rsidRDefault="00FC512F" w:rsidP="00814D44">
      <w:pPr>
        <w:pStyle w:val="ListParagraph"/>
        <w:numPr>
          <w:ilvl w:val="1"/>
          <w:numId w:val="49"/>
        </w:numPr>
      </w:pPr>
      <w:r>
        <w:t xml:space="preserve">taking the risk </w:t>
      </w:r>
      <w:proofErr w:type="gramStart"/>
      <w:r>
        <w:t>in order to</w:t>
      </w:r>
      <w:proofErr w:type="gramEnd"/>
      <w:r>
        <w:t xml:space="preserve"> pursue an opportunity</w:t>
      </w:r>
    </w:p>
    <w:p w14:paraId="705A14A3" w14:textId="0F08CB7F" w:rsidR="00FC512F" w:rsidRDefault="00FC512F" w:rsidP="00814D44">
      <w:pPr>
        <w:pStyle w:val="ListParagraph"/>
        <w:numPr>
          <w:ilvl w:val="1"/>
          <w:numId w:val="49"/>
        </w:numPr>
      </w:pPr>
      <w:r>
        <w:t>removing the risk source</w:t>
      </w:r>
    </w:p>
    <w:p w14:paraId="4AD6B6BD" w14:textId="3843E12A" w:rsidR="00FC512F" w:rsidRDefault="00FC512F" w:rsidP="00814D44">
      <w:pPr>
        <w:pStyle w:val="ListParagraph"/>
        <w:numPr>
          <w:ilvl w:val="1"/>
          <w:numId w:val="49"/>
        </w:numPr>
      </w:pPr>
      <w:r>
        <w:t>changing the likelihood</w:t>
      </w:r>
    </w:p>
    <w:p w14:paraId="2A2D3E83" w14:textId="74068794" w:rsidR="00FC512F" w:rsidRDefault="00FC512F" w:rsidP="00814D44">
      <w:pPr>
        <w:pStyle w:val="ListParagraph"/>
        <w:numPr>
          <w:ilvl w:val="1"/>
          <w:numId w:val="49"/>
        </w:numPr>
      </w:pPr>
      <w:r>
        <w:t>changing the consequences</w:t>
      </w:r>
    </w:p>
    <w:p w14:paraId="24C3F6DE" w14:textId="6BA7B075" w:rsidR="00FC512F" w:rsidRDefault="00FC512F" w:rsidP="00814D44">
      <w:pPr>
        <w:pStyle w:val="ListParagraph"/>
        <w:numPr>
          <w:ilvl w:val="1"/>
          <w:numId w:val="49"/>
        </w:numPr>
      </w:pPr>
      <w:r>
        <w:t>sharing the risk</w:t>
      </w:r>
    </w:p>
    <w:p w14:paraId="0CE25CDF" w14:textId="528B4FF2" w:rsidR="00FC512F" w:rsidRDefault="00FC512F" w:rsidP="00814D44">
      <w:pPr>
        <w:pStyle w:val="ListParagraph"/>
        <w:numPr>
          <w:ilvl w:val="1"/>
          <w:numId w:val="49"/>
        </w:numPr>
      </w:pPr>
      <w:r>
        <w:t>retaining the risk via an informed decision</w:t>
      </w:r>
    </w:p>
    <w:p w14:paraId="63118FA8" w14:textId="468ECA4F" w:rsidR="00FC512F" w:rsidRDefault="00FC512F" w:rsidP="00814D44">
      <w:pPr>
        <w:pStyle w:val="ListParagraph"/>
        <w:numPr>
          <w:ilvl w:val="0"/>
          <w:numId w:val="49"/>
        </w:numPr>
      </w:pPr>
      <w:r>
        <w:t xml:space="preserve">planning and implementation </w:t>
      </w:r>
    </w:p>
    <w:p w14:paraId="33C10629" w14:textId="34765FC7" w:rsidR="00FC512F" w:rsidRDefault="00FC512F" w:rsidP="00814D44">
      <w:pPr>
        <w:pStyle w:val="ListParagraph"/>
        <w:numPr>
          <w:ilvl w:val="0"/>
          <w:numId w:val="49"/>
        </w:numPr>
      </w:pPr>
      <w:r>
        <w:t>assessing effectiveness</w:t>
      </w:r>
    </w:p>
    <w:p w14:paraId="0F161C7A" w14:textId="20C189CA" w:rsidR="00FC512F" w:rsidRDefault="00FC512F" w:rsidP="00814D44">
      <w:pPr>
        <w:pStyle w:val="ListParagraph"/>
        <w:numPr>
          <w:ilvl w:val="0"/>
          <w:numId w:val="49"/>
        </w:numPr>
      </w:pPr>
      <w:r>
        <w:t xml:space="preserve">deciding whether remaining risk is acceptable </w:t>
      </w:r>
    </w:p>
    <w:p w14:paraId="5E4F3608" w14:textId="26DBECAC" w:rsidR="00FC512F" w:rsidRDefault="00FC512F" w:rsidP="00814D44">
      <w:pPr>
        <w:pStyle w:val="ListParagraph"/>
        <w:numPr>
          <w:ilvl w:val="0"/>
          <w:numId w:val="49"/>
        </w:numPr>
      </w:pPr>
      <w:r>
        <w:t>taking further treatment, if required</w:t>
      </w:r>
    </w:p>
    <w:p w14:paraId="57D2FF45" w14:textId="06AC2209" w:rsidR="00FC512F" w:rsidRDefault="00FC512F" w:rsidP="00814D44">
      <w:pPr>
        <w:pStyle w:val="Heading3"/>
      </w:pPr>
      <w:r>
        <w:t>Monitoring and review</w:t>
      </w:r>
    </w:p>
    <w:p w14:paraId="62D6B85A" w14:textId="77777777" w:rsidR="00FC512F" w:rsidRDefault="00FC512F" w:rsidP="00FC512F">
      <w:r>
        <w:t xml:space="preserve">Monitoring and review </w:t>
      </w:r>
      <w:proofErr w:type="gramStart"/>
      <w:r>
        <w:t>involves</w:t>
      </w:r>
      <w:proofErr w:type="gramEnd"/>
      <w:r>
        <w:t xml:space="preserve"> planning, gathering information, recording results and providing feedback.</w:t>
      </w:r>
    </w:p>
    <w:p w14:paraId="48464884" w14:textId="047E8ED1" w:rsidR="00FC512F" w:rsidRDefault="00FC512F" w:rsidP="00814D44">
      <w:pPr>
        <w:pStyle w:val="Heading3"/>
      </w:pPr>
      <w:r>
        <w:t>Recording and reporting</w:t>
      </w:r>
    </w:p>
    <w:p w14:paraId="021D83BC" w14:textId="6B94C071" w:rsidR="00FC512F" w:rsidRDefault="00FC512F" w:rsidP="00FC512F">
      <w:r>
        <w:t xml:space="preserve">Risk management activities should be documented and reported </w:t>
      </w:r>
      <w:proofErr w:type="gramStart"/>
      <w:r>
        <w:t>in order to</w:t>
      </w:r>
      <w:proofErr w:type="gramEnd"/>
      <w:r>
        <w:t xml:space="preserve"> communicate outcomes, provide information for decision-making, improve risk management activities and to assist stakeholders, particularly those with responsibility and accountability.</w:t>
      </w:r>
    </w:p>
    <w:p w14:paraId="716C53DC" w14:textId="77777777" w:rsidR="009A6473" w:rsidRDefault="009A6473" w:rsidP="00814D44">
      <w:pPr>
        <w:pStyle w:val="Heading2"/>
      </w:pPr>
      <w:r>
        <w:lastRenderedPageBreak/>
        <w:t>Assigning responsibility</w:t>
      </w:r>
    </w:p>
    <w:p w14:paraId="44A79793" w14:textId="3FF4B6E0" w:rsidR="009A6473" w:rsidRDefault="009A6473" w:rsidP="009A6473">
      <w:r>
        <w:t>Managing risk is often a shared responsibility. Whilst procurement officers will often help to elicit accessibility information from vendors, it will ultimately be up to the business owner or accessibility steering committee to assess and treat risk.</w:t>
      </w:r>
    </w:p>
    <w:p w14:paraId="42BED5D0" w14:textId="77777777" w:rsidR="0095024A" w:rsidRDefault="0095024A" w:rsidP="0095024A">
      <w:pPr>
        <w:pStyle w:val="Heading2"/>
      </w:pPr>
      <w:r>
        <w:t>Risk statements</w:t>
      </w:r>
    </w:p>
    <w:p w14:paraId="3631823C" w14:textId="77777777" w:rsidR="00740323" w:rsidRDefault="00740323" w:rsidP="00202D1B">
      <w:r>
        <w:t xml:space="preserve">The following are potential </w:t>
      </w:r>
      <w:r w:rsidR="007C6F5E">
        <w:t>r</w:t>
      </w:r>
      <w:r>
        <w:t xml:space="preserve">isks associated with </w:t>
      </w:r>
      <w:r w:rsidR="00794081">
        <w:t xml:space="preserve">ICT accessibility. They do not all apply to the procurement of ICT services and products directly; some apply to the </w:t>
      </w:r>
      <w:r w:rsidR="004F77BE">
        <w:t xml:space="preserve">policy framework and others to </w:t>
      </w:r>
      <w:r w:rsidR="00AE48A8">
        <w:t xml:space="preserve">subsequent </w:t>
      </w:r>
      <w:r w:rsidR="007C6F5E">
        <w:t>delivery</w:t>
      </w:r>
      <w:r w:rsidR="00AE48A8">
        <w:t xml:space="preserve"> and </w:t>
      </w:r>
      <w:r w:rsidR="007C6F5E">
        <w:t>implementation</w:t>
      </w:r>
      <w:r w:rsidR="00AE48A8">
        <w:t xml:space="preserve">. However, all are worth </w:t>
      </w:r>
      <w:r w:rsidR="007C6F5E">
        <w:t>consideration.</w:t>
      </w:r>
    </w:p>
    <w:p w14:paraId="245E0E7E" w14:textId="77777777" w:rsidR="007F564D" w:rsidRDefault="007F564D" w:rsidP="007F564D">
      <w:pPr>
        <w:pStyle w:val="Heading3"/>
      </w:pPr>
      <w:r>
        <w:t>Generic</w:t>
      </w:r>
    </w:p>
    <w:p w14:paraId="475EB151" w14:textId="77777777" w:rsidR="007F564D" w:rsidRPr="007F564D" w:rsidRDefault="00B911E9" w:rsidP="007F564D">
      <w:r>
        <w:t>This initial list of potential risks</w:t>
      </w:r>
      <w:r w:rsidR="007F564D">
        <w:t xml:space="preserve"> applies across </w:t>
      </w:r>
      <w:r w:rsidR="00AA5C02">
        <w:t>t</w:t>
      </w:r>
      <w:r w:rsidR="007F564D">
        <w:t>he bo</w:t>
      </w:r>
      <w:r w:rsidR="00AA5C02">
        <w:t>a</w:t>
      </w:r>
      <w:r w:rsidR="007F564D">
        <w:t xml:space="preserve">rd and </w:t>
      </w:r>
      <w:r w:rsidR="00AA5C02">
        <w:t>could be considered as pre-procurement.</w:t>
      </w:r>
    </w:p>
    <w:p w14:paraId="16C55D73" w14:textId="77777777" w:rsidR="00DD5F2B" w:rsidRDefault="00DD5F2B" w:rsidP="00EF676F">
      <w:pPr>
        <w:pStyle w:val="ListParagraph"/>
        <w:numPr>
          <w:ilvl w:val="0"/>
          <w:numId w:val="45"/>
        </w:numPr>
      </w:pPr>
      <w:r>
        <w:t>Failure to allocate sufficient resources and authority to coordinate and implement the ICT Accessibility Policy</w:t>
      </w:r>
      <w:r w:rsidR="00B614ED">
        <w:t>.</w:t>
      </w:r>
    </w:p>
    <w:p w14:paraId="2C9EC345" w14:textId="77777777" w:rsidR="00B614ED" w:rsidRDefault="0024407E" w:rsidP="00EF676F">
      <w:pPr>
        <w:pStyle w:val="ListParagraph"/>
        <w:numPr>
          <w:ilvl w:val="1"/>
          <w:numId w:val="45"/>
        </w:numPr>
      </w:pPr>
      <w:r>
        <w:t>Risk because without sufficient resources, policies and procedures are just words</w:t>
      </w:r>
    </w:p>
    <w:p w14:paraId="61B5F446" w14:textId="77777777" w:rsidR="0024407E" w:rsidRDefault="004254C4" w:rsidP="00EF676F">
      <w:pPr>
        <w:pStyle w:val="ListParagraph"/>
        <w:numPr>
          <w:ilvl w:val="0"/>
          <w:numId w:val="45"/>
        </w:numPr>
      </w:pPr>
      <w:r>
        <w:t>Failure to make faculty, staff, and students aware of institutional resources for accommodation and accessibility.</w:t>
      </w:r>
    </w:p>
    <w:p w14:paraId="1C6902D7" w14:textId="77777777" w:rsidR="00DC22EB" w:rsidRDefault="00DC22EB" w:rsidP="00EF676F">
      <w:pPr>
        <w:pStyle w:val="ListParagraph"/>
        <w:numPr>
          <w:ilvl w:val="0"/>
          <w:numId w:val="45"/>
        </w:numPr>
      </w:pPr>
      <w:r>
        <w:t>Failure to systematically and effectively monitor digital content and ICT services to ensure accessibility.</w:t>
      </w:r>
    </w:p>
    <w:p w14:paraId="039EAAAE" w14:textId="77777777" w:rsidR="00DC22EB" w:rsidRDefault="00DC22EB" w:rsidP="00EF676F">
      <w:pPr>
        <w:pStyle w:val="ListParagraph"/>
        <w:numPr>
          <w:ilvl w:val="1"/>
          <w:numId w:val="45"/>
        </w:numPr>
      </w:pPr>
      <w:r>
        <w:t xml:space="preserve">This particularly applies to </w:t>
      </w:r>
      <w:r w:rsidR="00E815D7">
        <w:t>course content and delivery</w:t>
      </w:r>
    </w:p>
    <w:p w14:paraId="79068E01" w14:textId="77777777" w:rsidR="00E815D7" w:rsidRDefault="00E815D7" w:rsidP="00EF676F">
      <w:pPr>
        <w:pStyle w:val="ListParagraph"/>
        <w:numPr>
          <w:ilvl w:val="1"/>
          <w:numId w:val="45"/>
        </w:numPr>
      </w:pPr>
      <w:r>
        <w:t xml:space="preserve">Also applies to </w:t>
      </w:r>
      <w:r w:rsidR="00685ACF">
        <w:t>upgrades to significant ICT systems</w:t>
      </w:r>
    </w:p>
    <w:p w14:paraId="0B82B06E" w14:textId="77777777" w:rsidR="00433507" w:rsidRDefault="00433507" w:rsidP="00EF676F">
      <w:pPr>
        <w:pStyle w:val="ListParagraph"/>
        <w:numPr>
          <w:ilvl w:val="0"/>
          <w:numId w:val="45"/>
        </w:numPr>
      </w:pPr>
      <w:r>
        <w:t>Failure to provide regular, ongoing training, instruction, and support at all levels (e.g., administrators, faculty, IT staff, support staff, student employees) appropriate to a person's roles and responsibilities, regarding the institution's ICT Accessibility Policy and procedures, tools, resources, and techniques to ensure the policy and procedures are effectively and consistently implemented</w:t>
      </w:r>
    </w:p>
    <w:p w14:paraId="2FB72D60" w14:textId="77777777" w:rsidR="006A7AED" w:rsidRDefault="006A7AED" w:rsidP="006A7AED">
      <w:pPr>
        <w:pStyle w:val="Heading3"/>
      </w:pPr>
      <w:r>
        <w:t>Procurement</w:t>
      </w:r>
    </w:p>
    <w:p w14:paraId="2154854F" w14:textId="77777777" w:rsidR="00B911E9" w:rsidRPr="00B911E9" w:rsidRDefault="00B911E9" w:rsidP="00B911E9">
      <w:r>
        <w:t>These items could be considered as the most important from a procurement perspective.</w:t>
      </w:r>
    </w:p>
    <w:p w14:paraId="428ADB7A" w14:textId="77777777" w:rsidR="006E42F2" w:rsidRDefault="00D36A63" w:rsidP="00880C64">
      <w:pPr>
        <w:pStyle w:val="ListParagraph"/>
        <w:numPr>
          <w:ilvl w:val="0"/>
          <w:numId w:val="43"/>
        </w:numPr>
      </w:pPr>
      <w:r>
        <w:t xml:space="preserve">Failure to provide an accessibility policy that demonstrates the campus's commitment to </w:t>
      </w:r>
      <w:r w:rsidR="00A459CC">
        <w:t>ICT and digital</w:t>
      </w:r>
      <w:r>
        <w:t xml:space="preserve"> accessibility</w:t>
      </w:r>
    </w:p>
    <w:p w14:paraId="64129E80" w14:textId="77777777" w:rsidR="00D36A63" w:rsidRDefault="00D36A63" w:rsidP="00880C64">
      <w:pPr>
        <w:pStyle w:val="ListParagraph"/>
        <w:numPr>
          <w:ilvl w:val="0"/>
          <w:numId w:val="43"/>
        </w:numPr>
      </w:pPr>
      <w:r>
        <w:t>Failure to define a technical standard for implementing ICT accessibility (such as WCAG 2 or AS EN 301</w:t>
      </w:r>
      <w:r w:rsidR="00082033">
        <w:t> 549</w:t>
      </w:r>
      <w:r>
        <w:t>)</w:t>
      </w:r>
    </w:p>
    <w:p w14:paraId="395783C5" w14:textId="77777777" w:rsidR="00082033" w:rsidRDefault="00082033" w:rsidP="00880C64">
      <w:pPr>
        <w:pStyle w:val="ListParagraph"/>
        <w:numPr>
          <w:ilvl w:val="0"/>
          <w:numId w:val="43"/>
        </w:numPr>
      </w:pPr>
      <w:r>
        <w:t>Failure to assign a person or entity to coordinate institution-wide accessibility</w:t>
      </w:r>
    </w:p>
    <w:p w14:paraId="6D66EC4A" w14:textId="77777777" w:rsidR="00082033" w:rsidRDefault="001E2E67" w:rsidP="00880C64">
      <w:pPr>
        <w:pStyle w:val="ListParagraph"/>
        <w:numPr>
          <w:ilvl w:val="0"/>
          <w:numId w:val="43"/>
        </w:numPr>
      </w:pPr>
      <w:r>
        <w:t>Failure to implement a procedure to ensure information obtained, provided, or developed by third parties is accessible</w:t>
      </w:r>
    </w:p>
    <w:p w14:paraId="2083B6EA" w14:textId="77777777" w:rsidR="001E2E67" w:rsidRDefault="001E2E67" w:rsidP="00880C64">
      <w:pPr>
        <w:pStyle w:val="ListParagraph"/>
        <w:numPr>
          <w:ilvl w:val="0"/>
          <w:numId w:val="43"/>
        </w:numPr>
      </w:pPr>
      <w:r>
        <w:t>Failure to implement a procedure, which ensures procured ICT is accessible, such as including accessibility requirements in RFPs and contractual language</w:t>
      </w:r>
    </w:p>
    <w:p w14:paraId="780CF55D" w14:textId="77777777" w:rsidR="002036C5" w:rsidRDefault="000F4BC1" w:rsidP="00880C64">
      <w:pPr>
        <w:pStyle w:val="ListParagraph"/>
        <w:numPr>
          <w:ilvl w:val="0"/>
          <w:numId w:val="43"/>
        </w:numPr>
      </w:pPr>
      <w:r>
        <w:lastRenderedPageBreak/>
        <w:t>Failure to implement accessibility solutions for ICT other than web-based, online, or software-based technologies, such as classroom controls, copiers, and digital signage</w:t>
      </w:r>
    </w:p>
    <w:p w14:paraId="242DE021" w14:textId="77777777" w:rsidR="00E21010" w:rsidRDefault="00E21010" w:rsidP="00880C64">
      <w:pPr>
        <w:pStyle w:val="ListParagraph"/>
        <w:numPr>
          <w:ilvl w:val="1"/>
          <w:numId w:val="43"/>
        </w:numPr>
      </w:pPr>
      <w:r>
        <w:t>However, in the absence of fully accessible ICT solutions</w:t>
      </w:r>
      <w:r w:rsidR="0042671C">
        <w:t xml:space="preserve">, or depending on the risk level, adopting an </w:t>
      </w:r>
      <w:r w:rsidR="00B54BD6">
        <w:t>Equally Effective Access plan</w:t>
      </w:r>
      <w:r w:rsidR="00E96714">
        <w:t xml:space="preserve"> may be required</w:t>
      </w:r>
    </w:p>
    <w:p w14:paraId="0EFC28D5" w14:textId="77777777" w:rsidR="000B39EA" w:rsidRDefault="000B39EA" w:rsidP="00880C64">
      <w:pPr>
        <w:pStyle w:val="ListParagraph"/>
        <w:numPr>
          <w:ilvl w:val="0"/>
          <w:numId w:val="43"/>
        </w:numPr>
      </w:pPr>
      <w:r>
        <w:t>Failure to thoroughly test ICT for accessibility beyond automated testing or VPAT statements</w:t>
      </w:r>
    </w:p>
    <w:p w14:paraId="3EB90B56" w14:textId="77777777" w:rsidR="008433C0" w:rsidRDefault="008433C0" w:rsidP="00B145B0">
      <w:pPr>
        <w:pStyle w:val="Heading3"/>
      </w:pPr>
      <w:r>
        <w:t>Secondary risks beyond ICT procurement</w:t>
      </w:r>
    </w:p>
    <w:p w14:paraId="5BF4BE54" w14:textId="77777777" w:rsidR="00774F72" w:rsidRPr="00774F72" w:rsidRDefault="00774F72" w:rsidP="00774F72">
      <w:r>
        <w:t xml:space="preserve">These risks are </w:t>
      </w:r>
      <w:r w:rsidR="000F4185">
        <w:t>predominantly</w:t>
      </w:r>
      <w:r>
        <w:t xml:space="preserve"> those which might apply during the </w:t>
      </w:r>
      <w:r w:rsidR="000F4185">
        <w:t>implementation</w:t>
      </w:r>
      <w:r>
        <w:t xml:space="preserve">, </w:t>
      </w:r>
      <w:r w:rsidR="000F4185">
        <w:t>maintenance or delivery of an ICT service or system.</w:t>
      </w:r>
      <w:r w:rsidR="00C8240D">
        <w:t xml:space="preserve"> They may also apply to non-</w:t>
      </w:r>
      <w:r w:rsidR="001E0E2E">
        <w:t>ICT</w:t>
      </w:r>
      <w:r w:rsidR="00C8240D">
        <w:t xml:space="preserve"> digital accessibility.</w:t>
      </w:r>
    </w:p>
    <w:p w14:paraId="57367F6B" w14:textId="77777777" w:rsidR="0024165F" w:rsidRDefault="0024165F" w:rsidP="00880C64">
      <w:pPr>
        <w:pStyle w:val="ListParagraph"/>
        <w:numPr>
          <w:ilvl w:val="0"/>
          <w:numId w:val="44"/>
        </w:numPr>
      </w:pPr>
      <w:r>
        <w:t>Failure to provide accessible websites</w:t>
      </w:r>
    </w:p>
    <w:p w14:paraId="60C32315" w14:textId="77777777" w:rsidR="00E96714" w:rsidRDefault="000B3C82" w:rsidP="00880C64">
      <w:pPr>
        <w:pStyle w:val="ListParagraph"/>
        <w:numPr>
          <w:ilvl w:val="0"/>
          <w:numId w:val="44"/>
        </w:numPr>
      </w:pPr>
      <w:r>
        <w:t xml:space="preserve">Failure to provide a </w:t>
      </w:r>
      <w:r w:rsidR="00686FD8">
        <w:t>portal</w:t>
      </w:r>
      <w:r>
        <w:t xml:space="preserve"> dedicated to accessibility, which serves as a central repository and includes, but is not limited to, accessibility information, news, tools, and best practices</w:t>
      </w:r>
    </w:p>
    <w:p w14:paraId="3925B618" w14:textId="77777777" w:rsidR="005B1A6B" w:rsidRDefault="005B1A6B" w:rsidP="00880C64">
      <w:pPr>
        <w:pStyle w:val="ListParagraph"/>
        <w:numPr>
          <w:ilvl w:val="0"/>
          <w:numId w:val="44"/>
        </w:numPr>
      </w:pPr>
      <w:r>
        <w:t>Failure to provide accessible instructional materials and library resources in a timely manner</w:t>
      </w:r>
    </w:p>
    <w:p w14:paraId="76C78BE9" w14:textId="77777777" w:rsidR="00854106" w:rsidRDefault="00854106" w:rsidP="00880C64">
      <w:pPr>
        <w:pStyle w:val="ListParagraph"/>
        <w:numPr>
          <w:ilvl w:val="0"/>
          <w:numId w:val="44"/>
        </w:numPr>
      </w:pPr>
      <w:r>
        <w:t>Failure to provide native ICT accessibility (e.g., relying on second-class ICT alternatives for people with disabilities)</w:t>
      </w:r>
    </w:p>
    <w:p w14:paraId="604F57A3" w14:textId="77777777" w:rsidR="00025831" w:rsidRDefault="0005078B" w:rsidP="00880C64">
      <w:pPr>
        <w:pStyle w:val="ListParagraph"/>
        <w:numPr>
          <w:ilvl w:val="0"/>
          <w:numId w:val="44"/>
        </w:numPr>
      </w:pPr>
      <w:r>
        <w:t>Failure to create a culture where accessibility is considered a proactive need, but rather is considered a reactive accommodation need</w:t>
      </w:r>
    </w:p>
    <w:p w14:paraId="5EE1FAEE" w14:textId="77777777" w:rsidR="004C3327" w:rsidRDefault="004C3327" w:rsidP="00880C64">
      <w:pPr>
        <w:pStyle w:val="ListParagraph"/>
        <w:numPr>
          <w:ilvl w:val="0"/>
          <w:numId w:val="44"/>
        </w:numPr>
      </w:pPr>
      <w:r>
        <w:t>Failure to provide captioning of announcements and commentary made over public address systems during athletic and other public events</w:t>
      </w:r>
    </w:p>
    <w:p w14:paraId="1E6459D3" w14:textId="77777777" w:rsidR="006A7AED" w:rsidRDefault="006A7AED" w:rsidP="00880C64">
      <w:pPr>
        <w:pStyle w:val="ListParagraph"/>
        <w:numPr>
          <w:ilvl w:val="0"/>
          <w:numId w:val="44"/>
        </w:numPr>
      </w:pPr>
      <w:r w:rsidRPr="00060B4C">
        <w:t>Failure to provide accurate video captioning</w:t>
      </w:r>
    </w:p>
    <w:p w14:paraId="0AD6B392" w14:textId="77777777" w:rsidR="006A7AED" w:rsidRDefault="006A7AED" w:rsidP="00880C64">
      <w:pPr>
        <w:pStyle w:val="ListParagraph"/>
        <w:numPr>
          <w:ilvl w:val="1"/>
          <w:numId w:val="44"/>
        </w:numPr>
      </w:pPr>
      <w:r>
        <w:t>Also applies to live / virtual lectures</w:t>
      </w:r>
    </w:p>
    <w:p w14:paraId="69B39931" w14:textId="77777777" w:rsidR="004C3327" w:rsidRDefault="000B39EA" w:rsidP="00880C64">
      <w:pPr>
        <w:pStyle w:val="ListParagraph"/>
        <w:numPr>
          <w:ilvl w:val="0"/>
          <w:numId w:val="44"/>
        </w:numPr>
      </w:pPr>
      <w:r>
        <w:t>Failure to provide audio descriptions</w:t>
      </w:r>
    </w:p>
    <w:p w14:paraId="3A599519" w14:textId="5E4FECDA" w:rsidR="00CA672B" w:rsidRDefault="00CA672B" w:rsidP="00CA672B">
      <w:pPr>
        <w:pStyle w:val="Heading2"/>
      </w:pPr>
      <w:r>
        <w:t>Risks</w:t>
      </w:r>
      <w:r w:rsidR="009D220F">
        <w:t xml:space="preserve"> </w:t>
      </w:r>
      <w:r w:rsidR="00A42201">
        <w:t>levels</w:t>
      </w:r>
    </w:p>
    <w:p w14:paraId="18CD4DE3" w14:textId="77777777" w:rsidR="00E07C35" w:rsidRDefault="00E130FF" w:rsidP="00E07C35">
      <w:r>
        <w:t>Th</w:t>
      </w:r>
      <w:r w:rsidR="002F5C6F">
        <w:t xml:space="preserve">is section </w:t>
      </w:r>
      <w:r w:rsidR="009154D2">
        <w:t>gives guidance about the level of risk that might be faced.</w:t>
      </w:r>
    </w:p>
    <w:p w14:paraId="5671378D" w14:textId="17259B8E" w:rsidR="00CA672B" w:rsidRDefault="007000CD" w:rsidP="00381CFC">
      <w:pPr>
        <w:pStyle w:val="Heading3"/>
      </w:pPr>
      <w:r>
        <w:t>Low risk</w:t>
      </w:r>
    </w:p>
    <w:p w14:paraId="4B227F7B" w14:textId="73CF6165" w:rsidR="00011661" w:rsidRPr="00011661" w:rsidRDefault="00011661" w:rsidP="00011661">
      <w:pPr>
        <w:pStyle w:val="ListParagraph"/>
        <w:numPr>
          <w:ilvl w:val="0"/>
          <w:numId w:val="31"/>
        </w:numPr>
      </w:pPr>
      <w:r w:rsidRPr="00011661">
        <w:t>Limited audience</w:t>
      </w:r>
      <w:r w:rsidR="00F46471">
        <w:t>/</w:t>
      </w:r>
      <w:r w:rsidRPr="00011661">
        <w:t xml:space="preserve">user base </w:t>
      </w:r>
      <w:r w:rsidR="00640187">
        <w:t>(students of staff)</w:t>
      </w:r>
    </w:p>
    <w:p w14:paraId="05816D1A" w14:textId="75D85720" w:rsidR="00011661" w:rsidRPr="00011661" w:rsidRDefault="00011661" w:rsidP="00011661">
      <w:pPr>
        <w:pStyle w:val="ListParagraph"/>
        <w:numPr>
          <w:ilvl w:val="0"/>
          <w:numId w:val="31"/>
        </w:numPr>
      </w:pPr>
      <w:r w:rsidRPr="00011661">
        <w:t xml:space="preserve">For administrative/research use by limited number of </w:t>
      </w:r>
      <w:r w:rsidR="001940CC">
        <w:t>staff</w:t>
      </w:r>
    </w:p>
    <w:p w14:paraId="514322A3" w14:textId="07935526" w:rsidR="00011661" w:rsidRPr="00011661" w:rsidRDefault="00011661" w:rsidP="00011661">
      <w:pPr>
        <w:pStyle w:val="ListParagraph"/>
        <w:numPr>
          <w:ilvl w:val="0"/>
          <w:numId w:val="31"/>
        </w:numPr>
      </w:pPr>
      <w:r w:rsidRPr="00011661">
        <w:t>Not required for course work</w:t>
      </w:r>
    </w:p>
    <w:p w14:paraId="755826F9" w14:textId="07EF6D27" w:rsidR="00260C13" w:rsidRPr="00011661" w:rsidRDefault="00260C13" w:rsidP="00011661">
      <w:pPr>
        <w:pStyle w:val="ListParagraph"/>
        <w:numPr>
          <w:ilvl w:val="0"/>
          <w:numId w:val="31"/>
        </w:numPr>
      </w:pPr>
      <w:r>
        <w:t xml:space="preserve">Used </w:t>
      </w:r>
      <w:r w:rsidR="008519B1">
        <w:t xml:space="preserve">only </w:t>
      </w:r>
      <w:r w:rsidR="00FB7265">
        <w:t>occasionally</w:t>
      </w:r>
    </w:p>
    <w:p w14:paraId="179496CB" w14:textId="390C57C8" w:rsidR="00011661" w:rsidRPr="00011661" w:rsidRDefault="009006C9" w:rsidP="00011661">
      <w:pPr>
        <w:pStyle w:val="ListParagraph"/>
        <w:numPr>
          <w:ilvl w:val="0"/>
          <w:numId w:val="31"/>
        </w:numPr>
      </w:pPr>
      <w:r>
        <w:t>E</w:t>
      </w:r>
      <w:r w:rsidR="00011661" w:rsidRPr="00011661">
        <w:t>asily identifiable</w:t>
      </w:r>
      <w:r w:rsidR="00073B9A">
        <w:t>/available</w:t>
      </w:r>
      <w:r w:rsidR="00011661" w:rsidRPr="00011661">
        <w:t xml:space="preserve"> alternatives that provide an equally effective program/service in an equally integrated manner to individuals with disabilities</w:t>
      </w:r>
    </w:p>
    <w:p w14:paraId="32740F40" w14:textId="0031ABD9" w:rsidR="00202D1B" w:rsidRDefault="00011661" w:rsidP="00011661">
      <w:pPr>
        <w:pStyle w:val="ListParagraph"/>
        <w:numPr>
          <w:ilvl w:val="0"/>
          <w:numId w:val="31"/>
        </w:numPr>
      </w:pPr>
      <w:r w:rsidRPr="00011661">
        <w:t>No commercially available accessible product</w:t>
      </w:r>
    </w:p>
    <w:p w14:paraId="0EDDB5DA" w14:textId="73AC55BE" w:rsidR="005A7CE3" w:rsidRDefault="00F46471" w:rsidP="00011661">
      <w:pPr>
        <w:pStyle w:val="ListParagraph"/>
        <w:numPr>
          <w:ilvl w:val="0"/>
          <w:numId w:val="31"/>
        </w:numPr>
      </w:pPr>
      <w:r>
        <w:t>Low</w:t>
      </w:r>
      <w:r w:rsidR="00A06505">
        <w:t xml:space="preserve"> cost</w:t>
      </w:r>
    </w:p>
    <w:p w14:paraId="0D89CD25" w14:textId="77777777" w:rsidR="001275DB" w:rsidRDefault="001275DB" w:rsidP="00814D44">
      <w:pPr>
        <w:pStyle w:val="Heading3"/>
      </w:pPr>
      <w:r>
        <w:t>Medium Risk</w:t>
      </w:r>
    </w:p>
    <w:p w14:paraId="7A8FBEBB" w14:textId="4F00DB8C" w:rsidR="001275DB" w:rsidRDefault="001275DB" w:rsidP="00814D44">
      <w:pPr>
        <w:pStyle w:val="ListParagraph"/>
        <w:numPr>
          <w:ilvl w:val="0"/>
          <w:numId w:val="53"/>
        </w:numPr>
      </w:pPr>
      <w:r>
        <w:t>Not required for core activities</w:t>
      </w:r>
    </w:p>
    <w:p w14:paraId="77951845" w14:textId="67A4D229" w:rsidR="001275DB" w:rsidRDefault="001275DB" w:rsidP="00814D44">
      <w:pPr>
        <w:pStyle w:val="ListParagraph"/>
        <w:numPr>
          <w:ilvl w:val="0"/>
          <w:numId w:val="53"/>
        </w:numPr>
      </w:pPr>
      <w:r>
        <w:lastRenderedPageBreak/>
        <w:t>Used by some faculties</w:t>
      </w:r>
    </w:p>
    <w:p w14:paraId="2DD11783" w14:textId="42BEF17D" w:rsidR="001275DB" w:rsidRDefault="001275DB" w:rsidP="00814D44">
      <w:pPr>
        <w:pStyle w:val="ListParagraph"/>
        <w:numPr>
          <w:ilvl w:val="0"/>
          <w:numId w:val="53"/>
        </w:numPr>
      </w:pPr>
      <w:r>
        <w:t>Local knowledge exists regarding available alternatives</w:t>
      </w:r>
    </w:p>
    <w:p w14:paraId="497FCD96" w14:textId="028E4698" w:rsidR="001275DB" w:rsidRDefault="001275DB" w:rsidP="00814D44">
      <w:pPr>
        <w:pStyle w:val="ListParagraph"/>
        <w:numPr>
          <w:ilvl w:val="0"/>
          <w:numId w:val="53"/>
        </w:numPr>
      </w:pPr>
      <w:r>
        <w:t xml:space="preserve">Used </w:t>
      </w:r>
      <w:r w:rsidR="00CE2D3A">
        <w:t>a few times each semester</w:t>
      </w:r>
    </w:p>
    <w:p w14:paraId="46FEDAE5" w14:textId="3C120B16" w:rsidR="001275DB" w:rsidRDefault="00373E59" w:rsidP="00814D44">
      <w:pPr>
        <w:pStyle w:val="ListParagraph"/>
        <w:numPr>
          <w:ilvl w:val="0"/>
          <w:numId w:val="53"/>
        </w:numPr>
      </w:pPr>
      <w:r>
        <w:t>A</w:t>
      </w:r>
      <w:r w:rsidR="001275DB">
        <w:t>lternate access</w:t>
      </w:r>
      <w:r>
        <w:t xml:space="preserve"> plan</w:t>
      </w:r>
      <w:r w:rsidR="001275DB">
        <w:t xml:space="preserve"> exists</w:t>
      </w:r>
    </w:p>
    <w:p w14:paraId="3A205025" w14:textId="4A223CF4" w:rsidR="001275DB" w:rsidRDefault="001275DB" w:rsidP="00814D44">
      <w:pPr>
        <w:pStyle w:val="ListParagraph"/>
        <w:numPr>
          <w:ilvl w:val="0"/>
          <w:numId w:val="53"/>
        </w:numPr>
      </w:pPr>
      <w:r>
        <w:t>Remediation roadmap exists</w:t>
      </w:r>
    </w:p>
    <w:p w14:paraId="35624519" w14:textId="6F4DB868" w:rsidR="001275DB" w:rsidRPr="00202D1B" w:rsidRDefault="001275DB" w:rsidP="00814D44">
      <w:pPr>
        <w:pStyle w:val="ListParagraph"/>
        <w:numPr>
          <w:ilvl w:val="0"/>
          <w:numId w:val="53"/>
        </w:numPr>
      </w:pPr>
      <w:r>
        <w:t>Medium cost</w:t>
      </w:r>
    </w:p>
    <w:p w14:paraId="64887534" w14:textId="3D9F8F37" w:rsidR="007000CD" w:rsidRDefault="007000CD" w:rsidP="00202D1B">
      <w:pPr>
        <w:pStyle w:val="Heading3"/>
      </w:pPr>
      <w:r>
        <w:t>Hi</w:t>
      </w:r>
      <w:r w:rsidR="00C84E4A">
        <w:t>gh Risk</w:t>
      </w:r>
    </w:p>
    <w:p w14:paraId="4BDA87CC" w14:textId="3EBB2524" w:rsidR="00011661" w:rsidRDefault="00011661" w:rsidP="00011661">
      <w:pPr>
        <w:pStyle w:val="ListParagraph"/>
        <w:numPr>
          <w:ilvl w:val="0"/>
          <w:numId w:val="32"/>
        </w:numPr>
      </w:pPr>
      <w:r w:rsidRPr="00011661">
        <w:t xml:space="preserve">Large </w:t>
      </w:r>
      <w:r w:rsidR="00336CB3">
        <w:t xml:space="preserve">student </w:t>
      </w:r>
      <w:r w:rsidRPr="00011661">
        <w:t xml:space="preserve">audience/user base </w:t>
      </w:r>
    </w:p>
    <w:p w14:paraId="391C58C3" w14:textId="2C8C99E4" w:rsidR="008C5538" w:rsidRPr="00011661" w:rsidRDefault="008C5538" w:rsidP="00011661">
      <w:pPr>
        <w:pStyle w:val="ListParagraph"/>
        <w:numPr>
          <w:ilvl w:val="0"/>
          <w:numId w:val="32"/>
        </w:numPr>
      </w:pPr>
      <w:r>
        <w:t>Used campus wide</w:t>
      </w:r>
      <w:r w:rsidR="00BC4707">
        <w:t xml:space="preserve"> by most students or </w:t>
      </w:r>
      <w:r w:rsidR="001940CC">
        <w:t>staff</w:t>
      </w:r>
    </w:p>
    <w:p w14:paraId="199876F3" w14:textId="77777777" w:rsidR="00011661" w:rsidRPr="00011661" w:rsidRDefault="00011661" w:rsidP="00011661">
      <w:pPr>
        <w:pStyle w:val="ListParagraph"/>
        <w:numPr>
          <w:ilvl w:val="0"/>
          <w:numId w:val="32"/>
        </w:numPr>
      </w:pPr>
      <w:r w:rsidRPr="00011661">
        <w:t>Required for course work</w:t>
      </w:r>
    </w:p>
    <w:p w14:paraId="4517179B" w14:textId="210BA2DA" w:rsidR="00260C13" w:rsidRPr="00011661" w:rsidRDefault="00260C13" w:rsidP="00011661">
      <w:pPr>
        <w:pStyle w:val="ListParagraph"/>
        <w:numPr>
          <w:ilvl w:val="0"/>
          <w:numId w:val="32"/>
        </w:numPr>
      </w:pPr>
      <w:r>
        <w:t>Used daily or weekly</w:t>
      </w:r>
    </w:p>
    <w:p w14:paraId="091819F4" w14:textId="77777777" w:rsidR="00011661" w:rsidRPr="00011661" w:rsidRDefault="00011661" w:rsidP="00011661">
      <w:pPr>
        <w:pStyle w:val="ListParagraph"/>
        <w:numPr>
          <w:ilvl w:val="0"/>
          <w:numId w:val="32"/>
        </w:numPr>
      </w:pPr>
      <w:r w:rsidRPr="00011661">
        <w:t xml:space="preserve">High degree of educational opportunities/benefits through technology </w:t>
      </w:r>
    </w:p>
    <w:p w14:paraId="7CA858AA" w14:textId="28F88211" w:rsidR="00011661" w:rsidRPr="00011661" w:rsidRDefault="00705E7C" w:rsidP="00011661">
      <w:pPr>
        <w:pStyle w:val="ListParagraph"/>
        <w:numPr>
          <w:ilvl w:val="0"/>
          <w:numId w:val="32"/>
        </w:numPr>
      </w:pPr>
      <w:r>
        <w:t>No</w:t>
      </w:r>
      <w:r w:rsidR="00011661" w:rsidRPr="00011661">
        <w:t xml:space="preserve"> easily identifiable alternative that provides an equally effective, equally integrated program/service in an equally integrated manner to individuals with disabilities </w:t>
      </w:r>
    </w:p>
    <w:p w14:paraId="4518ED8D" w14:textId="57692793" w:rsidR="00202D1B" w:rsidRPr="00202D1B" w:rsidRDefault="001A7B91" w:rsidP="00011661">
      <w:pPr>
        <w:pStyle w:val="ListParagraph"/>
        <w:numPr>
          <w:ilvl w:val="0"/>
          <w:numId w:val="32"/>
        </w:numPr>
      </w:pPr>
      <w:r>
        <w:t>A</w:t>
      </w:r>
      <w:r w:rsidR="00011661" w:rsidRPr="00011661">
        <w:t xml:space="preserve"> commercially available accessible alternative</w:t>
      </w:r>
      <w:r>
        <w:t xml:space="preserve"> exists</w:t>
      </w:r>
    </w:p>
    <w:p w14:paraId="08D026A0" w14:textId="2FF2B2D1" w:rsidR="001A7B91" w:rsidRPr="00202D1B" w:rsidRDefault="001A7B91" w:rsidP="00011661">
      <w:pPr>
        <w:pStyle w:val="ListParagraph"/>
        <w:numPr>
          <w:ilvl w:val="0"/>
          <w:numId w:val="32"/>
        </w:numPr>
      </w:pPr>
      <w:r>
        <w:t xml:space="preserve">High </w:t>
      </w:r>
      <w:r w:rsidR="00152997">
        <w:t xml:space="preserve">purchase/licence </w:t>
      </w:r>
      <w:r>
        <w:t>cost</w:t>
      </w:r>
    </w:p>
    <w:p w14:paraId="224F80C3" w14:textId="77777777" w:rsidR="00301762" w:rsidRDefault="00C84E4A" w:rsidP="00F36456">
      <w:pPr>
        <w:pStyle w:val="Heading2"/>
      </w:pPr>
      <w:r>
        <w:t xml:space="preserve">Risk </w:t>
      </w:r>
      <w:r w:rsidR="00301762">
        <w:t>assessment</w:t>
      </w:r>
    </w:p>
    <w:p w14:paraId="10B95EA7" w14:textId="3A85D136" w:rsidR="00DD4CA3" w:rsidRPr="00DD4CA3" w:rsidRDefault="00814B1A" w:rsidP="00DD4CA3">
      <w:r>
        <w:t>Record</w:t>
      </w:r>
      <w:r w:rsidR="007323E7">
        <w:t xml:space="preserve"> all your risks, assess them </w:t>
      </w:r>
      <w:r w:rsidR="001D46F7">
        <w:t xml:space="preserve">against the </w:t>
      </w:r>
      <w:r w:rsidR="00D753E5">
        <w:t xml:space="preserve">impact and </w:t>
      </w:r>
      <w:r>
        <w:t>probability</w:t>
      </w:r>
      <w:r w:rsidR="00D753E5">
        <w:t xml:space="preserve"> of </w:t>
      </w:r>
      <w:r>
        <w:t>occurrence</w:t>
      </w:r>
      <w:r w:rsidR="00D753E5">
        <w:t xml:space="preserve">, determine </w:t>
      </w:r>
      <w:r w:rsidR="004D2217">
        <w:t xml:space="preserve">possible mitigations </w:t>
      </w:r>
      <w:r w:rsidR="0054076C">
        <w:t xml:space="preserve">strategies and </w:t>
      </w:r>
      <w:r>
        <w:t>complete the risk evaluation table.</w:t>
      </w:r>
    </w:p>
    <w:p w14:paraId="13FC6B3A" w14:textId="77777777" w:rsidR="00FD610C" w:rsidRPr="00B153F8" w:rsidRDefault="00FD610C" w:rsidP="00F36456">
      <w:pPr>
        <w:pStyle w:val="Heading3"/>
      </w:pPr>
      <w:r w:rsidRPr="00B153F8">
        <w:t>Impact and Probability Definitions</w:t>
      </w:r>
    </w:p>
    <w:p w14:paraId="55AA5108" w14:textId="5DD6E53C" w:rsidR="00FD610C" w:rsidRDefault="00FD610C" w:rsidP="00FD610C">
      <w:r w:rsidRPr="00B153F8">
        <w:t xml:space="preserve">The tables below show the definitions of Impact and Probability </w:t>
      </w:r>
      <w:r w:rsidR="00241479">
        <w:t xml:space="preserve">that could be </w:t>
      </w:r>
      <w:r w:rsidRPr="00B153F8">
        <w:t xml:space="preserve">used </w:t>
      </w:r>
      <w:r w:rsidR="00241479">
        <w:t xml:space="preserve">during a </w:t>
      </w:r>
      <w:r w:rsidRPr="00B153F8">
        <w:t xml:space="preserve">risk analysis </w:t>
      </w:r>
    </w:p>
    <w:p w14:paraId="356E7CEF" w14:textId="177587A4" w:rsidR="006B1D80" w:rsidRDefault="006B1D80" w:rsidP="006B1D80">
      <w:pPr>
        <w:pStyle w:val="Caption"/>
        <w:keepNext/>
      </w:pPr>
      <w:r>
        <w:t xml:space="preserve">Table </w:t>
      </w:r>
      <w:r w:rsidR="00A70DE9">
        <w:fldChar w:fldCharType="begin"/>
      </w:r>
      <w:r w:rsidR="00A70DE9">
        <w:instrText xml:space="preserve"> SEQ Table \* ARABIC </w:instrText>
      </w:r>
      <w:r w:rsidR="00A70DE9">
        <w:fldChar w:fldCharType="separate"/>
      </w:r>
      <w:r>
        <w:rPr>
          <w:noProof/>
        </w:rPr>
        <w:t>1</w:t>
      </w:r>
      <w:r w:rsidR="00A70DE9">
        <w:rPr>
          <w:noProof/>
        </w:rPr>
        <w:fldChar w:fldCharType="end"/>
      </w:r>
      <w:r>
        <w:t xml:space="preserve"> Risk impact definitions</w:t>
      </w:r>
    </w:p>
    <w:tbl>
      <w:tblPr>
        <w:tblpPr w:leftFromText="180" w:rightFromText="180" w:vertAnchor="text" w:horzAnchor="margin" w:tblpY="132"/>
        <w:tblOverlap w:val="never"/>
        <w:tblW w:w="8597" w:type="dxa"/>
        <w:tblLook w:val="04A0" w:firstRow="1" w:lastRow="0" w:firstColumn="1" w:lastColumn="0" w:noHBand="0" w:noVBand="1"/>
      </w:tblPr>
      <w:tblGrid>
        <w:gridCol w:w="1209"/>
        <w:gridCol w:w="7388"/>
      </w:tblGrid>
      <w:tr w:rsidR="00D77100" w:rsidRPr="00B153F8" w14:paraId="3C6A116B" w14:textId="77777777" w:rsidTr="00937933">
        <w:trPr>
          <w:cantSplit/>
          <w:trHeight w:val="113"/>
          <w:tblHeader/>
        </w:trPr>
        <w:tc>
          <w:tcPr>
            <w:tcW w:w="0" w:type="auto"/>
            <w:tcBorders>
              <w:top w:val="single" w:sz="4" w:space="0" w:color="auto"/>
              <w:left w:val="single" w:sz="4" w:space="0" w:color="auto"/>
              <w:bottom w:val="single" w:sz="4" w:space="0" w:color="auto"/>
              <w:right w:val="single" w:sz="4" w:space="0" w:color="auto"/>
            </w:tcBorders>
            <w:hideMark/>
          </w:tcPr>
          <w:p w14:paraId="5E31E17A" w14:textId="77777777" w:rsidR="00D77100" w:rsidRPr="00B153F8" w:rsidRDefault="00D77100" w:rsidP="00515837">
            <w:pPr>
              <w:spacing w:after="0" w:line="240" w:lineRule="auto"/>
              <w:jc w:val="center"/>
              <w:rPr>
                <w:b/>
                <w:bCs/>
                <w:sz w:val="22"/>
                <w:szCs w:val="22"/>
              </w:rPr>
            </w:pPr>
            <w:r w:rsidRPr="00B153F8">
              <w:rPr>
                <w:b/>
                <w:bCs/>
                <w:sz w:val="22"/>
                <w:szCs w:val="22"/>
              </w:rPr>
              <w:t>Impact</w:t>
            </w:r>
          </w:p>
        </w:tc>
        <w:tc>
          <w:tcPr>
            <w:tcW w:w="7388" w:type="dxa"/>
            <w:tcBorders>
              <w:top w:val="single" w:sz="4" w:space="0" w:color="auto"/>
              <w:left w:val="single" w:sz="4" w:space="0" w:color="auto"/>
              <w:bottom w:val="single" w:sz="4" w:space="0" w:color="auto"/>
              <w:right w:val="single" w:sz="4" w:space="0" w:color="auto"/>
            </w:tcBorders>
            <w:hideMark/>
          </w:tcPr>
          <w:p w14:paraId="3AA3E3E1" w14:textId="77777777" w:rsidR="00D77100" w:rsidRPr="00B153F8" w:rsidRDefault="00D77100" w:rsidP="00515837">
            <w:pPr>
              <w:spacing w:after="0" w:line="240" w:lineRule="auto"/>
              <w:rPr>
                <w:b/>
                <w:bCs/>
                <w:sz w:val="22"/>
                <w:szCs w:val="22"/>
              </w:rPr>
            </w:pPr>
            <w:r w:rsidRPr="00B153F8">
              <w:rPr>
                <w:b/>
                <w:bCs/>
                <w:sz w:val="22"/>
                <w:szCs w:val="22"/>
              </w:rPr>
              <w:t>Definition</w:t>
            </w:r>
          </w:p>
        </w:tc>
      </w:tr>
      <w:tr w:rsidR="00D77100" w:rsidRPr="00B153F8" w14:paraId="1E82428D" w14:textId="77777777" w:rsidTr="00937933">
        <w:trPr>
          <w:cantSplit/>
          <w:trHeight w:val="312"/>
        </w:trPr>
        <w:tc>
          <w:tcPr>
            <w:tcW w:w="0" w:type="auto"/>
            <w:tcBorders>
              <w:top w:val="single" w:sz="4" w:space="0" w:color="auto"/>
              <w:left w:val="single" w:sz="4" w:space="0" w:color="auto"/>
              <w:bottom w:val="single" w:sz="4" w:space="0" w:color="auto"/>
              <w:right w:val="single" w:sz="4" w:space="0" w:color="auto"/>
            </w:tcBorders>
            <w:hideMark/>
          </w:tcPr>
          <w:p w14:paraId="4C2B182D" w14:textId="77777777" w:rsidR="00D77100" w:rsidRPr="00B153F8" w:rsidRDefault="00D77100" w:rsidP="00515837">
            <w:pPr>
              <w:spacing w:after="0" w:line="240" w:lineRule="auto"/>
              <w:jc w:val="center"/>
              <w:rPr>
                <w:b/>
                <w:bCs/>
                <w:sz w:val="22"/>
                <w:szCs w:val="22"/>
              </w:rPr>
            </w:pPr>
            <w:r w:rsidRPr="00B153F8">
              <w:rPr>
                <w:b/>
                <w:bCs/>
                <w:sz w:val="22"/>
                <w:szCs w:val="22"/>
              </w:rPr>
              <w:t>High</w:t>
            </w:r>
          </w:p>
        </w:tc>
        <w:tc>
          <w:tcPr>
            <w:tcW w:w="7388" w:type="dxa"/>
            <w:tcBorders>
              <w:top w:val="single" w:sz="4" w:space="0" w:color="auto"/>
              <w:left w:val="single" w:sz="4" w:space="0" w:color="auto"/>
              <w:bottom w:val="single" w:sz="4" w:space="0" w:color="auto"/>
              <w:right w:val="single" w:sz="4" w:space="0" w:color="auto"/>
            </w:tcBorders>
            <w:hideMark/>
          </w:tcPr>
          <w:p w14:paraId="2C4B5C2D" w14:textId="77777777" w:rsidR="00D77100" w:rsidRPr="00B153F8" w:rsidRDefault="00D77100" w:rsidP="00515837">
            <w:pPr>
              <w:spacing w:after="0" w:line="240" w:lineRule="auto"/>
              <w:rPr>
                <w:sz w:val="22"/>
                <w:szCs w:val="22"/>
              </w:rPr>
            </w:pPr>
            <w:r w:rsidRPr="00B153F8">
              <w:rPr>
                <w:sz w:val="22"/>
                <w:szCs w:val="22"/>
              </w:rPr>
              <w:t xml:space="preserve">High impact risks are those that may </w:t>
            </w:r>
          </w:p>
          <w:p w14:paraId="621BFE6A" w14:textId="1619BCEC" w:rsidR="00D77100" w:rsidRDefault="00D77100" w:rsidP="00937933">
            <w:pPr>
              <w:pStyle w:val="ListParagraph"/>
              <w:numPr>
                <w:ilvl w:val="0"/>
                <w:numId w:val="42"/>
              </w:numPr>
              <w:spacing w:after="0" w:line="240" w:lineRule="auto"/>
              <w:ind w:left="658"/>
            </w:pPr>
            <w:r w:rsidRPr="00B153F8">
              <w:t>seriously impede day to day operations</w:t>
            </w:r>
          </w:p>
          <w:p w14:paraId="74715BA2" w14:textId="484E249F" w:rsidR="005D7241" w:rsidRPr="00B153F8" w:rsidRDefault="005D7241" w:rsidP="00937933">
            <w:pPr>
              <w:pStyle w:val="ListParagraph"/>
              <w:numPr>
                <w:ilvl w:val="0"/>
                <w:numId w:val="42"/>
              </w:numPr>
              <w:spacing w:after="0" w:line="240" w:lineRule="auto"/>
              <w:ind w:left="658"/>
            </w:pPr>
            <w:r>
              <w:t>last up to three years and require specialist input and/or vendor remediation</w:t>
            </w:r>
          </w:p>
          <w:p w14:paraId="66FC2111" w14:textId="77777777" w:rsidR="00D77100" w:rsidRPr="00B153F8" w:rsidRDefault="00D77100" w:rsidP="00937933">
            <w:pPr>
              <w:pStyle w:val="ListParagraph"/>
              <w:numPr>
                <w:ilvl w:val="0"/>
                <w:numId w:val="42"/>
              </w:numPr>
              <w:spacing w:after="0" w:line="240" w:lineRule="auto"/>
              <w:ind w:left="658"/>
            </w:pPr>
            <w:r w:rsidRPr="00B153F8">
              <w:t>cause difficulty in meeting legislative requirements</w:t>
            </w:r>
          </w:p>
          <w:p w14:paraId="718D6CFA" w14:textId="77777777" w:rsidR="00D77100" w:rsidRPr="00B153F8" w:rsidRDefault="00D77100" w:rsidP="00937933">
            <w:pPr>
              <w:pStyle w:val="ListParagraph"/>
              <w:numPr>
                <w:ilvl w:val="0"/>
                <w:numId w:val="42"/>
              </w:numPr>
              <w:spacing w:after="0" w:line="240" w:lineRule="auto"/>
              <w:ind w:left="658"/>
            </w:pPr>
            <w:r w:rsidRPr="00B153F8">
              <w:t>prevent successful defence against legal action</w:t>
            </w:r>
          </w:p>
          <w:p w14:paraId="599AB0EC" w14:textId="77777777" w:rsidR="00D77100" w:rsidRPr="00B153F8" w:rsidRDefault="00D77100" w:rsidP="00937933">
            <w:pPr>
              <w:pStyle w:val="ListParagraph"/>
              <w:numPr>
                <w:ilvl w:val="0"/>
                <w:numId w:val="42"/>
              </w:numPr>
              <w:spacing w:after="0" w:line="240" w:lineRule="auto"/>
              <w:ind w:left="658"/>
            </w:pPr>
            <w:r w:rsidRPr="00B153F8">
              <w:t xml:space="preserve">or cause significant reputational damage </w:t>
            </w:r>
          </w:p>
        </w:tc>
      </w:tr>
      <w:tr w:rsidR="00D77100" w:rsidRPr="00B153F8" w14:paraId="675EF5C8" w14:textId="77777777" w:rsidTr="00937933">
        <w:trPr>
          <w:cantSplit/>
          <w:trHeight w:val="317"/>
        </w:trPr>
        <w:tc>
          <w:tcPr>
            <w:tcW w:w="0" w:type="auto"/>
            <w:tcBorders>
              <w:top w:val="single" w:sz="4" w:space="0" w:color="auto"/>
              <w:left w:val="single" w:sz="4" w:space="0" w:color="auto"/>
              <w:bottom w:val="single" w:sz="4" w:space="0" w:color="auto"/>
              <w:right w:val="single" w:sz="4" w:space="0" w:color="auto"/>
            </w:tcBorders>
            <w:hideMark/>
          </w:tcPr>
          <w:p w14:paraId="063FD585" w14:textId="77777777" w:rsidR="00D77100" w:rsidRPr="00B153F8" w:rsidRDefault="00D77100" w:rsidP="00515837">
            <w:pPr>
              <w:spacing w:after="0" w:line="240" w:lineRule="auto"/>
              <w:jc w:val="center"/>
              <w:rPr>
                <w:b/>
                <w:bCs/>
                <w:sz w:val="22"/>
                <w:szCs w:val="22"/>
              </w:rPr>
            </w:pPr>
            <w:r w:rsidRPr="00B153F8">
              <w:rPr>
                <w:b/>
                <w:bCs/>
                <w:sz w:val="22"/>
                <w:szCs w:val="22"/>
              </w:rPr>
              <w:t>Medium</w:t>
            </w:r>
          </w:p>
        </w:tc>
        <w:tc>
          <w:tcPr>
            <w:tcW w:w="7388" w:type="dxa"/>
            <w:tcBorders>
              <w:top w:val="single" w:sz="4" w:space="0" w:color="auto"/>
              <w:left w:val="single" w:sz="4" w:space="0" w:color="auto"/>
              <w:bottom w:val="single" w:sz="4" w:space="0" w:color="auto"/>
              <w:right w:val="single" w:sz="4" w:space="0" w:color="auto"/>
            </w:tcBorders>
            <w:hideMark/>
          </w:tcPr>
          <w:p w14:paraId="59EF0EEE" w14:textId="77777777" w:rsidR="00D77100" w:rsidRPr="00B153F8" w:rsidRDefault="00D77100" w:rsidP="00515837">
            <w:pPr>
              <w:spacing w:after="0" w:line="240" w:lineRule="auto"/>
              <w:rPr>
                <w:sz w:val="22"/>
                <w:szCs w:val="22"/>
              </w:rPr>
            </w:pPr>
            <w:r w:rsidRPr="00B153F8">
              <w:rPr>
                <w:sz w:val="22"/>
                <w:szCs w:val="22"/>
              </w:rPr>
              <w:t>Medium impact risks may</w:t>
            </w:r>
          </w:p>
          <w:p w14:paraId="431CA278" w14:textId="58F515D4" w:rsidR="00D77100" w:rsidRDefault="00D77100" w:rsidP="00937933">
            <w:pPr>
              <w:pStyle w:val="ListParagraph"/>
              <w:numPr>
                <w:ilvl w:val="0"/>
                <w:numId w:val="42"/>
              </w:numPr>
              <w:spacing w:after="0" w:line="240" w:lineRule="auto"/>
              <w:ind w:left="658"/>
            </w:pPr>
            <w:r w:rsidRPr="00B153F8">
              <w:t>result in the loss revenue or staff</w:t>
            </w:r>
          </w:p>
          <w:p w14:paraId="4D53433A" w14:textId="38518B3C" w:rsidR="005D7241" w:rsidRPr="00B153F8" w:rsidRDefault="005D7241" w:rsidP="00937933">
            <w:pPr>
              <w:pStyle w:val="ListParagraph"/>
              <w:numPr>
                <w:ilvl w:val="0"/>
                <w:numId w:val="42"/>
              </w:numPr>
              <w:spacing w:after="0" w:line="240" w:lineRule="auto"/>
              <w:ind w:left="658"/>
            </w:pPr>
            <w:r>
              <w:t>last up to a year and require specialist input and/or vendor remediation.</w:t>
            </w:r>
          </w:p>
          <w:p w14:paraId="3C919F8C" w14:textId="77777777" w:rsidR="00D77100" w:rsidRPr="00B153F8" w:rsidRDefault="00D77100" w:rsidP="00937933">
            <w:pPr>
              <w:pStyle w:val="ListParagraph"/>
              <w:numPr>
                <w:ilvl w:val="0"/>
                <w:numId w:val="42"/>
              </w:numPr>
              <w:spacing w:after="0" w:line="240" w:lineRule="auto"/>
              <w:ind w:left="658"/>
            </w:pPr>
            <w:r w:rsidRPr="00B153F8">
              <w:t>impede day to day ability of staff to perform role specific functions</w:t>
            </w:r>
          </w:p>
          <w:p w14:paraId="39A2A26A" w14:textId="77777777" w:rsidR="00D77100" w:rsidRPr="00B153F8" w:rsidRDefault="00D77100" w:rsidP="00937933">
            <w:pPr>
              <w:pStyle w:val="ListParagraph"/>
              <w:numPr>
                <w:ilvl w:val="0"/>
                <w:numId w:val="42"/>
              </w:numPr>
              <w:spacing w:after="0" w:line="240" w:lineRule="auto"/>
              <w:ind w:left="658"/>
            </w:pPr>
            <w:r w:rsidRPr="00B153F8">
              <w:t>impede successful defence against legal action</w:t>
            </w:r>
          </w:p>
          <w:p w14:paraId="2F3D8D35" w14:textId="77777777" w:rsidR="00D77100" w:rsidRPr="00B153F8" w:rsidRDefault="00D77100" w:rsidP="00937933">
            <w:pPr>
              <w:pStyle w:val="ListParagraph"/>
              <w:numPr>
                <w:ilvl w:val="0"/>
                <w:numId w:val="42"/>
              </w:numPr>
              <w:spacing w:after="0" w:line="240" w:lineRule="auto"/>
              <w:ind w:left="658"/>
            </w:pPr>
            <w:r w:rsidRPr="00B153F8">
              <w:t>or cause reputational damage.</w:t>
            </w:r>
          </w:p>
        </w:tc>
      </w:tr>
      <w:tr w:rsidR="00D77100" w:rsidRPr="00B153F8" w14:paraId="636A9116" w14:textId="77777777" w:rsidTr="00937933">
        <w:trPr>
          <w:cantSplit/>
          <w:trHeight w:val="189"/>
        </w:trPr>
        <w:tc>
          <w:tcPr>
            <w:tcW w:w="0" w:type="auto"/>
            <w:tcBorders>
              <w:top w:val="single" w:sz="4" w:space="0" w:color="auto"/>
              <w:left w:val="single" w:sz="4" w:space="0" w:color="auto"/>
              <w:bottom w:val="single" w:sz="4" w:space="0" w:color="auto"/>
              <w:right w:val="single" w:sz="4" w:space="0" w:color="auto"/>
            </w:tcBorders>
            <w:hideMark/>
          </w:tcPr>
          <w:p w14:paraId="4107D718" w14:textId="77777777" w:rsidR="00D77100" w:rsidRPr="00B153F8" w:rsidRDefault="00D77100" w:rsidP="00515837">
            <w:pPr>
              <w:spacing w:after="0" w:line="240" w:lineRule="auto"/>
              <w:jc w:val="center"/>
              <w:rPr>
                <w:b/>
                <w:bCs/>
                <w:sz w:val="22"/>
                <w:szCs w:val="22"/>
              </w:rPr>
            </w:pPr>
            <w:r w:rsidRPr="00B153F8">
              <w:rPr>
                <w:b/>
                <w:bCs/>
                <w:sz w:val="22"/>
                <w:szCs w:val="22"/>
              </w:rPr>
              <w:lastRenderedPageBreak/>
              <w:t>Low</w:t>
            </w:r>
          </w:p>
        </w:tc>
        <w:tc>
          <w:tcPr>
            <w:tcW w:w="7388" w:type="dxa"/>
            <w:tcBorders>
              <w:top w:val="single" w:sz="4" w:space="0" w:color="auto"/>
              <w:left w:val="single" w:sz="4" w:space="0" w:color="auto"/>
              <w:bottom w:val="single" w:sz="4" w:space="0" w:color="auto"/>
              <w:right w:val="single" w:sz="4" w:space="0" w:color="auto"/>
            </w:tcBorders>
            <w:hideMark/>
          </w:tcPr>
          <w:p w14:paraId="64D37A99" w14:textId="77777777" w:rsidR="00D77100" w:rsidRPr="00B153F8" w:rsidRDefault="00D77100" w:rsidP="00515837">
            <w:pPr>
              <w:spacing w:after="0" w:line="240" w:lineRule="auto"/>
              <w:rPr>
                <w:sz w:val="22"/>
                <w:szCs w:val="22"/>
              </w:rPr>
            </w:pPr>
            <w:r w:rsidRPr="00B153F8">
              <w:rPr>
                <w:sz w:val="22"/>
                <w:szCs w:val="22"/>
              </w:rPr>
              <w:t xml:space="preserve">Low impact risks may </w:t>
            </w:r>
          </w:p>
          <w:p w14:paraId="20133958" w14:textId="7B3EE66C" w:rsidR="00D77100" w:rsidRDefault="00D77100" w:rsidP="00937933">
            <w:pPr>
              <w:pStyle w:val="ListParagraph"/>
              <w:numPr>
                <w:ilvl w:val="0"/>
                <w:numId w:val="42"/>
              </w:numPr>
              <w:spacing w:after="0" w:line="240" w:lineRule="auto"/>
              <w:ind w:left="658"/>
            </w:pPr>
            <w:r w:rsidRPr="00B153F8">
              <w:t>result in the limited loss of revenue</w:t>
            </w:r>
          </w:p>
          <w:p w14:paraId="371ABE56" w14:textId="5F5FCE5C" w:rsidR="005D7241" w:rsidRPr="00B153F8" w:rsidRDefault="005D7241" w:rsidP="00937933">
            <w:pPr>
              <w:pStyle w:val="ListParagraph"/>
              <w:numPr>
                <w:ilvl w:val="0"/>
                <w:numId w:val="42"/>
              </w:numPr>
              <w:spacing w:after="0" w:line="240" w:lineRule="auto"/>
              <w:ind w:left="658"/>
            </w:pPr>
            <w:r>
              <w:t>be remediated by the University</w:t>
            </w:r>
          </w:p>
          <w:p w14:paraId="1C8B9ED1" w14:textId="77777777" w:rsidR="00D77100" w:rsidRPr="00B153F8" w:rsidRDefault="00D77100" w:rsidP="00937933">
            <w:pPr>
              <w:pStyle w:val="ListParagraph"/>
              <w:numPr>
                <w:ilvl w:val="0"/>
                <w:numId w:val="42"/>
              </w:numPr>
              <w:spacing w:after="0" w:line="240" w:lineRule="auto"/>
              <w:ind w:left="658"/>
            </w:pPr>
            <w:r w:rsidRPr="00B153F8">
              <w:t>frustration of staff</w:t>
            </w:r>
          </w:p>
          <w:p w14:paraId="33587418" w14:textId="77777777" w:rsidR="00D77100" w:rsidRPr="00B153F8" w:rsidRDefault="00D77100" w:rsidP="00937933">
            <w:pPr>
              <w:pStyle w:val="ListParagraph"/>
              <w:numPr>
                <w:ilvl w:val="0"/>
                <w:numId w:val="42"/>
              </w:numPr>
              <w:spacing w:after="0" w:line="240" w:lineRule="auto"/>
              <w:ind w:left="658"/>
            </w:pPr>
            <w:r w:rsidRPr="00B153F8">
              <w:t>or may noticeably affect day to day operations.</w:t>
            </w:r>
          </w:p>
        </w:tc>
      </w:tr>
    </w:tbl>
    <w:p w14:paraId="73FA7027" w14:textId="77777777" w:rsidR="00DF25F5" w:rsidRDefault="00DF25F5" w:rsidP="00FD610C"/>
    <w:p w14:paraId="09957209" w14:textId="2A8DA7AC" w:rsidR="006B1D80" w:rsidRDefault="006B1D80" w:rsidP="006B1D80">
      <w:pPr>
        <w:pStyle w:val="Caption"/>
        <w:keepNext/>
      </w:pPr>
      <w:r>
        <w:t xml:space="preserve">Table </w:t>
      </w:r>
      <w:r w:rsidR="00A70DE9">
        <w:fldChar w:fldCharType="begin"/>
      </w:r>
      <w:r w:rsidR="00A70DE9">
        <w:instrText xml:space="preserve"> SEQ Table \* ARABIC </w:instrText>
      </w:r>
      <w:r w:rsidR="00A70DE9">
        <w:fldChar w:fldCharType="separate"/>
      </w:r>
      <w:r>
        <w:rPr>
          <w:noProof/>
        </w:rPr>
        <w:t>2</w:t>
      </w:r>
      <w:r w:rsidR="00A70DE9">
        <w:rPr>
          <w:noProof/>
        </w:rPr>
        <w:fldChar w:fldCharType="end"/>
      </w:r>
      <w:r>
        <w:t xml:space="preserve"> - Risk probability </w:t>
      </w:r>
      <w:r w:rsidR="0056453E">
        <w:t>definitions</w:t>
      </w:r>
    </w:p>
    <w:tbl>
      <w:tblPr>
        <w:tblStyle w:val="TableGrid"/>
        <w:tblW w:w="0" w:type="auto"/>
        <w:tblLook w:val="04A0" w:firstRow="1" w:lastRow="0" w:firstColumn="1" w:lastColumn="0" w:noHBand="0" w:noVBand="1"/>
      </w:tblPr>
      <w:tblGrid>
        <w:gridCol w:w="4508"/>
        <w:gridCol w:w="4508"/>
      </w:tblGrid>
      <w:tr w:rsidR="004D4557" w:rsidRPr="00A7239C" w14:paraId="1DD104CE" w14:textId="77777777" w:rsidTr="00F36456">
        <w:trPr>
          <w:cantSplit/>
          <w:tblHeader/>
        </w:trPr>
        <w:tc>
          <w:tcPr>
            <w:tcW w:w="4508" w:type="dxa"/>
          </w:tcPr>
          <w:p w14:paraId="3CBB4F96" w14:textId="14E9F099" w:rsidR="004D4557" w:rsidRPr="00A7239C" w:rsidRDefault="004D4557" w:rsidP="00FD610C">
            <w:pPr>
              <w:rPr>
                <w:b/>
                <w:bCs/>
              </w:rPr>
            </w:pPr>
            <w:r w:rsidRPr="00A7239C">
              <w:rPr>
                <w:b/>
                <w:bCs/>
              </w:rPr>
              <w:t xml:space="preserve">Probability / </w:t>
            </w:r>
            <w:r w:rsidR="00DF25F5" w:rsidRPr="00A7239C">
              <w:rPr>
                <w:b/>
                <w:bCs/>
              </w:rPr>
              <w:t>Likelihood</w:t>
            </w:r>
          </w:p>
        </w:tc>
        <w:tc>
          <w:tcPr>
            <w:tcW w:w="4508" w:type="dxa"/>
          </w:tcPr>
          <w:p w14:paraId="78E900CF" w14:textId="382806C8" w:rsidR="004D4557" w:rsidRPr="00A7239C" w:rsidRDefault="009E753B" w:rsidP="00FD610C">
            <w:pPr>
              <w:rPr>
                <w:b/>
                <w:bCs/>
              </w:rPr>
            </w:pPr>
            <w:r w:rsidRPr="00A7239C">
              <w:rPr>
                <w:b/>
                <w:bCs/>
              </w:rPr>
              <w:t>Definition</w:t>
            </w:r>
          </w:p>
        </w:tc>
      </w:tr>
      <w:tr w:rsidR="004D4557" w14:paraId="5343B708" w14:textId="77777777" w:rsidTr="004D4557">
        <w:tc>
          <w:tcPr>
            <w:tcW w:w="4508" w:type="dxa"/>
          </w:tcPr>
          <w:p w14:paraId="76B21332" w14:textId="73E6DA14" w:rsidR="004D4557" w:rsidRPr="00A7239C" w:rsidRDefault="009E753B" w:rsidP="00FD610C">
            <w:pPr>
              <w:rPr>
                <w:b/>
                <w:bCs/>
              </w:rPr>
            </w:pPr>
            <w:r w:rsidRPr="00A7239C">
              <w:rPr>
                <w:b/>
                <w:bCs/>
              </w:rPr>
              <w:t>Low</w:t>
            </w:r>
          </w:p>
        </w:tc>
        <w:tc>
          <w:tcPr>
            <w:tcW w:w="4508" w:type="dxa"/>
          </w:tcPr>
          <w:p w14:paraId="2897667E" w14:textId="659F3D3F" w:rsidR="004D4557" w:rsidRDefault="007D7901" w:rsidP="00FD610C">
            <w:r w:rsidRPr="007D7901">
              <w:rPr>
                <w:lang w:val="en-US"/>
              </w:rPr>
              <w:t>Events that are unlikely to happen within a year</w:t>
            </w:r>
          </w:p>
        </w:tc>
      </w:tr>
      <w:tr w:rsidR="004D4557" w14:paraId="427C2161" w14:textId="77777777" w:rsidTr="004D4557">
        <w:tc>
          <w:tcPr>
            <w:tcW w:w="4508" w:type="dxa"/>
          </w:tcPr>
          <w:p w14:paraId="67D17DC7" w14:textId="1F4D487F" w:rsidR="004D4557" w:rsidRPr="00A7239C" w:rsidRDefault="009E753B" w:rsidP="00FD610C">
            <w:pPr>
              <w:rPr>
                <w:b/>
                <w:bCs/>
              </w:rPr>
            </w:pPr>
            <w:r w:rsidRPr="00A7239C">
              <w:rPr>
                <w:b/>
                <w:bCs/>
              </w:rPr>
              <w:t>Medium</w:t>
            </w:r>
          </w:p>
        </w:tc>
        <w:tc>
          <w:tcPr>
            <w:tcW w:w="4508" w:type="dxa"/>
          </w:tcPr>
          <w:p w14:paraId="6AD32D42" w14:textId="559D14E1" w:rsidR="004D4557" w:rsidRDefault="007D7901" w:rsidP="00FD610C">
            <w:r w:rsidRPr="007D7901">
              <w:rPr>
                <w:lang w:val="en-US"/>
              </w:rPr>
              <w:t>Events that are somewhat likely to happen within a year</w:t>
            </w:r>
          </w:p>
        </w:tc>
      </w:tr>
      <w:tr w:rsidR="009E753B" w14:paraId="7D5321BB" w14:textId="77777777" w:rsidTr="004D4557">
        <w:tc>
          <w:tcPr>
            <w:tcW w:w="4508" w:type="dxa"/>
          </w:tcPr>
          <w:p w14:paraId="609FCCA0" w14:textId="15603FBE" w:rsidR="009E753B" w:rsidRPr="00A7239C" w:rsidRDefault="009E753B" w:rsidP="00FD610C">
            <w:pPr>
              <w:rPr>
                <w:b/>
                <w:bCs/>
              </w:rPr>
            </w:pPr>
            <w:r w:rsidRPr="00A7239C">
              <w:rPr>
                <w:b/>
                <w:bCs/>
              </w:rPr>
              <w:t>High</w:t>
            </w:r>
          </w:p>
        </w:tc>
        <w:tc>
          <w:tcPr>
            <w:tcW w:w="4508" w:type="dxa"/>
          </w:tcPr>
          <w:p w14:paraId="6D7A065D" w14:textId="79D0C16C" w:rsidR="009E753B" w:rsidRDefault="00141EB6" w:rsidP="00FD610C">
            <w:r w:rsidRPr="00141EB6">
              <w:rPr>
                <w:lang w:val="en-US"/>
              </w:rPr>
              <w:t>Events that are likely to happen within a year</w:t>
            </w:r>
          </w:p>
        </w:tc>
      </w:tr>
    </w:tbl>
    <w:p w14:paraId="0D0C82B8" w14:textId="77777777" w:rsidR="00A30E1E" w:rsidRDefault="00A30E1E" w:rsidP="00FD610C"/>
    <w:p w14:paraId="64659E4C" w14:textId="49873D0F" w:rsidR="00892115" w:rsidRDefault="00892115" w:rsidP="00892115">
      <w:pPr>
        <w:pStyle w:val="Caption"/>
        <w:keepNext/>
      </w:pPr>
      <w:r>
        <w:t xml:space="preserve">Table </w:t>
      </w:r>
      <w:r w:rsidR="00A70DE9">
        <w:fldChar w:fldCharType="begin"/>
      </w:r>
      <w:r w:rsidR="00A70DE9">
        <w:instrText xml:space="preserve"> SEQ Table \* ARABIC </w:instrText>
      </w:r>
      <w:r w:rsidR="00A70DE9">
        <w:fldChar w:fldCharType="separate"/>
      </w:r>
      <w:r w:rsidR="006B1D80">
        <w:rPr>
          <w:noProof/>
        </w:rPr>
        <w:t>3</w:t>
      </w:r>
      <w:r w:rsidR="00A70DE9">
        <w:rPr>
          <w:noProof/>
        </w:rPr>
        <w:fldChar w:fldCharType="end"/>
      </w:r>
      <w:r>
        <w:t xml:space="preserve"> Level of risk</w:t>
      </w:r>
    </w:p>
    <w:tbl>
      <w:tblPr>
        <w:tblW w:w="4721" w:type="dxa"/>
        <w:tblInd w:w="-5" w:type="dxa"/>
        <w:tblLook w:val="04A0" w:firstRow="1" w:lastRow="0" w:firstColumn="1" w:lastColumn="0" w:noHBand="0" w:noVBand="1"/>
      </w:tblPr>
      <w:tblGrid>
        <w:gridCol w:w="531"/>
        <w:gridCol w:w="1057"/>
        <w:gridCol w:w="1038"/>
        <w:gridCol w:w="1057"/>
        <w:gridCol w:w="1038"/>
      </w:tblGrid>
      <w:tr w:rsidR="00B655E0" w:rsidRPr="00B153F8" w14:paraId="5D056731" w14:textId="77777777" w:rsidTr="004C59F5">
        <w:trPr>
          <w:trHeight w:val="308"/>
        </w:trPr>
        <w:tc>
          <w:tcPr>
            <w:tcW w:w="0" w:type="auto"/>
            <w:tcBorders>
              <w:top w:val="single" w:sz="4" w:space="0" w:color="auto"/>
              <w:left w:val="single" w:sz="4" w:space="0" w:color="auto"/>
              <w:bottom w:val="single" w:sz="4" w:space="0" w:color="auto"/>
              <w:right w:val="single" w:sz="4" w:space="0" w:color="auto"/>
            </w:tcBorders>
            <w:textDirection w:val="btLr"/>
          </w:tcPr>
          <w:p w14:paraId="1FB50DAB" w14:textId="77777777" w:rsidR="00B655E0" w:rsidRPr="00B153F8" w:rsidRDefault="00B655E0" w:rsidP="00515837">
            <w:pPr>
              <w:spacing w:after="0" w:line="240" w:lineRule="auto"/>
              <w:ind w:left="113" w:right="113"/>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FDA1AE8" w14:textId="77777777" w:rsidR="00B655E0" w:rsidRPr="00B153F8" w:rsidRDefault="00B655E0" w:rsidP="00515837">
            <w:pPr>
              <w:spacing w:after="0" w:line="240" w:lineRule="auto"/>
              <w:rPr>
                <w:b/>
                <w:bCs/>
                <w:sz w:val="22"/>
                <w:szCs w:val="22"/>
              </w:rPr>
            </w:pPr>
          </w:p>
        </w:tc>
        <w:tc>
          <w:tcPr>
            <w:tcW w:w="0" w:type="auto"/>
            <w:gridSpan w:val="3"/>
            <w:tcBorders>
              <w:top w:val="single" w:sz="4" w:space="0" w:color="auto"/>
              <w:left w:val="single" w:sz="4" w:space="0" w:color="auto"/>
              <w:bottom w:val="single" w:sz="4" w:space="0" w:color="auto"/>
              <w:right w:val="single" w:sz="4" w:space="0" w:color="auto"/>
            </w:tcBorders>
            <w:hideMark/>
          </w:tcPr>
          <w:p w14:paraId="6D47228D" w14:textId="77777777" w:rsidR="00B655E0" w:rsidRPr="00B153F8" w:rsidRDefault="00B655E0" w:rsidP="00515837">
            <w:pPr>
              <w:spacing w:after="0" w:line="240" w:lineRule="auto"/>
              <w:jc w:val="center"/>
              <w:rPr>
                <w:b/>
                <w:bCs/>
                <w:sz w:val="22"/>
                <w:szCs w:val="22"/>
              </w:rPr>
            </w:pPr>
            <w:r w:rsidRPr="00B153F8">
              <w:rPr>
                <w:b/>
                <w:bCs/>
                <w:sz w:val="22"/>
                <w:szCs w:val="22"/>
              </w:rPr>
              <w:t>Probability</w:t>
            </w:r>
          </w:p>
        </w:tc>
      </w:tr>
      <w:tr w:rsidR="00B655E0" w:rsidRPr="00B153F8" w14:paraId="29C93F18" w14:textId="77777777" w:rsidTr="004C59F5">
        <w:trPr>
          <w:trHeight w:val="30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3354B943" w14:textId="77777777" w:rsidR="00B655E0" w:rsidRPr="00B153F8" w:rsidRDefault="00B655E0" w:rsidP="00515837">
            <w:pPr>
              <w:spacing w:after="0" w:line="240" w:lineRule="auto"/>
              <w:ind w:left="113" w:right="113"/>
              <w:jc w:val="center"/>
              <w:rPr>
                <w:b/>
                <w:bCs/>
                <w:sz w:val="22"/>
                <w:szCs w:val="22"/>
              </w:rPr>
            </w:pPr>
            <w:r w:rsidRPr="00B153F8">
              <w:rPr>
                <w:b/>
                <w:bCs/>
                <w:sz w:val="22"/>
                <w:szCs w:val="22"/>
              </w:rPr>
              <w:t>Impact</w:t>
            </w:r>
          </w:p>
        </w:tc>
        <w:tc>
          <w:tcPr>
            <w:tcW w:w="0" w:type="auto"/>
            <w:tcBorders>
              <w:top w:val="single" w:sz="4" w:space="0" w:color="auto"/>
              <w:left w:val="single" w:sz="4" w:space="0" w:color="auto"/>
              <w:bottom w:val="single" w:sz="4" w:space="0" w:color="auto"/>
              <w:right w:val="single" w:sz="4" w:space="0" w:color="auto"/>
            </w:tcBorders>
          </w:tcPr>
          <w:p w14:paraId="54541FD9" w14:textId="77777777" w:rsidR="00B655E0" w:rsidRPr="00B153F8" w:rsidRDefault="00B655E0" w:rsidP="00515837">
            <w:pPr>
              <w:spacing w:after="0" w:line="240" w:lineRule="auto"/>
              <w:rPr>
                <w:b/>
                <w:bCs/>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3A569FE0" w14:textId="77777777" w:rsidR="00B655E0" w:rsidRPr="00B153F8" w:rsidRDefault="00B655E0" w:rsidP="00515837">
            <w:pPr>
              <w:spacing w:after="0" w:line="240" w:lineRule="auto"/>
              <w:rPr>
                <w:b/>
                <w:bCs/>
                <w:sz w:val="22"/>
                <w:szCs w:val="22"/>
              </w:rPr>
            </w:pPr>
            <w:r w:rsidRPr="00B153F8">
              <w:rPr>
                <w:b/>
                <w:bCs/>
                <w:sz w:val="22"/>
                <w:szCs w:val="22"/>
              </w:rPr>
              <w:t>Low</w:t>
            </w:r>
          </w:p>
        </w:tc>
        <w:tc>
          <w:tcPr>
            <w:tcW w:w="0" w:type="auto"/>
            <w:tcBorders>
              <w:top w:val="single" w:sz="4" w:space="0" w:color="auto"/>
              <w:left w:val="single" w:sz="4" w:space="0" w:color="auto"/>
              <w:bottom w:val="single" w:sz="4" w:space="0" w:color="auto"/>
              <w:right w:val="single" w:sz="4" w:space="0" w:color="auto"/>
            </w:tcBorders>
            <w:hideMark/>
          </w:tcPr>
          <w:p w14:paraId="28401843" w14:textId="77777777" w:rsidR="00B655E0" w:rsidRPr="00B153F8" w:rsidRDefault="00B655E0" w:rsidP="00515837">
            <w:pPr>
              <w:spacing w:after="0" w:line="240" w:lineRule="auto"/>
              <w:rPr>
                <w:b/>
                <w:bCs/>
                <w:sz w:val="22"/>
                <w:szCs w:val="22"/>
              </w:rPr>
            </w:pPr>
            <w:r w:rsidRPr="00B153F8">
              <w:rPr>
                <w:b/>
                <w:bCs/>
                <w:sz w:val="22"/>
                <w:szCs w:val="22"/>
              </w:rPr>
              <w:t>Medium</w:t>
            </w:r>
          </w:p>
        </w:tc>
        <w:tc>
          <w:tcPr>
            <w:tcW w:w="0" w:type="auto"/>
            <w:tcBorders>
              <w:top w:val="single" w:sz="4" w:space="0" w:color="auto"/>
              <w:left w:val="single" w:sz="4" w:space="0" w:color="auto"/>
              <w:bottom w:val="single" w:sz="4" w:space="0" w:color="auto"/>
              <w:right w:val="single" w:sz="4" w:space="0" w:color="auto"/>
            </w:tcBorders>
            <w:hideMark/>
          </w:tcPr>
          <w:p w14:paraId="3DEF8B8C" w14:textId="77777777" w:rsidR="00B655E0" w:rsidRPr="00B153F8" w:rsidRDefault="00B655E0" w:rsidP="00515837">
            <w:pPr>
              <w:spacing w:after="0" w:line="240" w:lineRule="auto"/>
              <w:rPr>
                <w:b/>
                <w:bCs/>
                <w:sz w:val="22"/>
                <w:szCs w:val="22"/>
              </w:rPr>
            </w:pPr>
            <w:r w:rsidRPr="00B153F8">
              <w:rPr>
                <w:b/>
                <w:bCs/>
                <w:sz w:val="22"/>
                <w:szCs w:val="22"/>
              </w:rPr>
              <w:t>High</w:t>
            </w:r>
          </w:p>
        </w:tc>
      </w:tr>
      <w:tr w:rsidR="00B655E0" w:rsidRPr="00B153F8" w14:paraId="3D323A40" w14:textId="77777777" w:rsidTr="00C12EE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64F44" w14:textId="77777777" w:rsidR="00B655E0" w:rsidRPr="00B153F8" w:rsidRDefault="00B655E0" w:rsidP="00515837">
            <w:pPr>
              <w:spacing w:after="0" w:line="240" w:lineRule="auto"/>
              <w:rPr>
                <w:b/>
                <w:bCs/>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439BAB7C" w14:textId="77777777" w:rsidR="00B655E0" w:rsidRPr="00B153F8" w:rsidRDefault="00B655E0" w:rsidP="00515837">
            <w:pPr>
              <w:spacing w:after="0" w:line="240" w:lineRule="auto"/>
              <w:rPr>
                <w:b/>
                <w:bCs/>
                <w:sz w:val="22"/>
                <w:szCs w:val="22"/>
              </w:rPr>
            </w:pPr>
            <w:r w:rsidRPr="00B153F8">
              <w:rPr>
                <w:b/>
                <w:bCs/>
                <w:sz w:val="22"/>
                <w:szCs w:val="22"/>
              </w:rPr>
              <w:t>Low</w:t>
            </w:r>
          </w:p>
        </w:tc>
        <w:tc>
          <w:tcPr>
            <w:tcW w:w="0" w:type="auto"/>
            <w:tcBorders>
              <w:top w:val="single" w:sz="4" w:space="0" w:color="auto"/>
              <w:left w:val="single" w:sz="4" w:space="0" w:color="auto"/>
              <w:bottom w:val="single" w:sz="4" w:space="0" w:color="auto"/>
              <w:right w:val="single" w:sz="4" w:space="0" w:color="auto"/>
            </w:tcBorders>
            <w:shd w:val="clear" w:color="auto" w:fill="C2F0F6" w:themeFill="accent4" w:themeFillTint="33"/>
            <w:hideMark/>
          </w:tcPr>
          <w:p w14:paraId="460E8E56" w14:textId="77777777" w:rsidR="00B655E0" w:rsidRPr="00B153F8" w:rsidRDefault="00B655E0" w:rsidP="00515837">
            <w:pPr>
              <w:spacing w:after="0" w:line="240" w:lineRule="auto"/>
              <w:rPr>
                <w:sz w:val="22"/>
                <w:szCs w:val="22"/>
              </w:rPr>
            </w:pPr>
            <w:r w:rsidRPr="00B153F8">
              <w:rPr>
                <w:sz w:val="22"/>
                <w:szCs w:val="22"/>
              </w:rPr>
              <w:t>Low</w:t>
            </w:r>
          </w:p>
        </w:tc>
        <w:tc>
          <w:tcPr>
            <w:tcW w:w="0" w:type="auto"/>
            <w:tcBorders>
              <w:top w:val="single" w:sz="4" w:space="0" w:color="auto"/>
              <w:left w:val="single" w:sz="4" w:space="0" w:color="auto"/>
              <w:bottom w:val="single" w:sz="4" w:space="0" w:color="auto"/>
              <w:right w:val="single" w:sz="4" w:space="0" w:color="auto"/>
            </w:tcBorders>
            <w:shd w:val="clear" w:color="auto" w:fill="C2F0F6" w:themeFill="accent4" w:themeFillTint="33"/>
            <w:hideMark/>
          </w:tcPr>
          <w:p w14:paraId="37774E5D" w14:textId="77777777" w:rsidR="00B655E0" w:rsidRPr="00B153F8" w:rsidRDefault="00B655E0" w:rsidP="00515837">
            <w:pPr>
              <w:spacing w:after="0" w:line="240" w:lineRule="auto"/>
              <w:rPr>
                <w:sz w:val="22"/>
                <w:szCs w:val="22"/>
              </w:rPr>
            </w:pPr>
            <w:r w:rsidRPr="00B153F8">
              <w:rPr>
                <w:sz w:val="22"/>
                <w:szCs w:val="22"/>
              </w:rPr>
              <w:t>Low</w:t>
            </w:r>
          </w:p>
        </w:tc>
        <w:tc>
          <w:tcPr>
            <w:tcW w:w="0" w:type="auto"/>
            <w:tcBorders>
              <w:top w:val="single" w:sz="4" w:space="0" w:color="auto"/>
              <w:left w:val="single" w:sz="4" w:space="0" w:color="auto"/>
              <w:bottom w:val="single" w:sz="4" w:space="0" w:color="auto"/>
              <w:right w:val="single" w:sz="4" w:space="0" w:color="auto"/>
            </w:tcBorders>
            <w:shd w:val="clear" w:color="auto" w:fill="FEFBD2" w:themeFill="accent3" w:themeFillTint="33"/>
            <w:hideMark/>
          </w:tcPr>
          <w:p w14:paraId="77060672" w14:textId="77777777" w:rsidR="00B655E0" w:rsidRPr="00B153F8" w:rsidRDefault="00B655E0" w:rsidP="00515837">
            <w:pPr>
              <w:spacing w:after="0" w:line="240" w:lineRule="auto"/>
              <w:rPr>
                <w:sz w:val="22"/>
                <w:szCs w:val="22"/>
              </w:rPr>
            </w:pPr>
            <w:r w:rsidRPr="00B153F8">
              <w:rPr>
                <w:sz w:val="22"/>
                <w:szCs w:val="22"/>
              </w:rPr>
              <w:t>Medium</w:t>
            </w:r>
          </w:p>
        </w:tc>
      </w:tr>
      <w:tr w:rsidR="00B655E0" w:rsidRPr="00B153F8" w14:paraId="7D6CB52D" w14:textId="77777777" w:rsidTr="00C12EEA">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18663" w14:textId="77777777" w:rsidR="00B655E0" w:rsidRPr="00B153F8" w:rsidRDefault="00B655E0" w:rsidP="00515837">
            <w:pPr>
              <w:spacing w:after="0" w:line="240" w:lineRule="auto"/>
              <w:rPr>
                <w:b/>
                <w:bCs/>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2EBD5557" w14:textId="77777777" w:rsidR="00B655E0" w:rsidRPr="00B153F8" w:rsidRDefault="00B655E0" w:rsidP="00515837">
            <w:pPr>
              <w:spacing w:after="0" w:line="240" w:lineRule="auto"/>
              <w:rPr>
                <w:b/>
                <w:bCs/>
                <w:sz w:val="22"/>
                <w:szCs w:val="22"/>
              </w:rPr>
            </w:pPr>
            <w:r w:rsidRPr="00B153F8">
              <w:rPr>
                <w:b/>
                <w:bCs/>
                <w:sz w:val="22"/>
                <w:szCs w:val="22"/>
              </w:rPr>
              <w:t>Medium</w:t>
            </w:r>
          </w:p>
        </w:tc>
        <w:tc>
          <w:tcPr>
            <w:tcW w:w="0" w:type="auto"/>
            <w:tcBorders>
              <w:top w:val="single" w:sz="4" w:space="0" w:color="auto"/>
              <w:left w:val="single" w:sz="4" w:space="0" w:color="auto"/>
              <w:bottom w:val="single" w:sz="4" w:space="0" w:color="auto"/>
              <w:right w:val="single" w:sz="4" w:space="0" w:color="auto"/>
            </w:tcBorders>
            <w:shd w:val="clear" w:color="auto" w:fill="C2F0F6" w:themeFill="accent4" w:themeFillTint="33"/>
            <w:hideMark/>
          </w:tcPr>
          <w:p w14:paraId="307FA81F" w14:textId="77777777" w:rsidR="00B655E0" w:rsidRPr="00B153F8" w:rsidRDefault="00B655E0" w:rsidP="00515837">
            <w:pPr>
              <w:spacing w:after="0" w:line="240" w:lineRule="auto"/>
              <w:rPr>
                <w:sz w:val="22"/>
                <w:szCs w:val="22"/>
              </w:rPr>
            </w:pPr>
            <w:r w:rsidRPr="00B153F8">
              <w:rPr>
                <w:sz w:val="22"/>
                <w:szCs w:val="22"/>
              </w:rPr>
              <w:t>Low</w:t>
            </w:r>
          </w:p>
        </w:tc>
        <w:tc>
          <w:tcPr>
            <w:tcW w:w="0" w:type="auto"/>
            <w:tcBorders>
              <w:top w:val="single" w:sz="4" w:space="0" w:color="auto"/>
              <w:left w:val="single" w:sz="4" w:space="0" w:color="auto"/>
              <w:bottom w:val="single" w:sz="4" w:space="0" w:color="auto"/>
              <w:right w:val="single" w:sz="4" w:space="0" w:color="auto"/>
            </w:tcBorders>
            <w:shd w:val="clear" w:color="auto" w:fill="FEFBD2" w:themeFill="accent3" w:themeFillTint="33"/>
            <w:hideMark/>
          </w:tcPr>
          <w:p w14:paraId="2C618BF9" w14:textId="77777777" w:rsidR="00B655E0" w:rsidRPr="00B153F8" w:rsidRDefault="00B655E0" w:rsidP="00515837">
            <w:pPr>
              <w:spacing w:after="0" w:line="240" w:lineRule="auto"/>
              <w:rPr>
                <w:sz w:val="22"/>
                <w:szCs w:val="22"/>
              </w:rPr>
            </w:pPr>
            <w:r w:rsidRPr="00B153F8">
              <w:rPr>
                <w:sz w:val="22"/>
                <w:szCs w:val="22"/>
              </w:rPr>
              <w:t>Medium</w:t>
            </w:r>
          </w:p>
        </w:tc>
        <w:tc>
          <w:tcPr>
            <w:tcW w:w="0" w:type="auto"/>
            <w:tcBorders>
              <w:top w:val="single" w:sz="4" w:space="0" w:color="auto"/>
              <w:left w:val="single" w:sz="4" w:space="0" w:color="auto"/>
              <w:bottom w:val="single" w:sz="4" w:space="0" w:color="auto"/>
              <w:right w:val="single" w:sz="4" w:space="0" w:color="auto"/>
            </w:tcBorders>
            <w:shd w:val="clear" w:color="auto" w:fill="FBCED9" w:themeFill="accent2" w:themeFillTint="33"/>
            <w:hideMark/>
          </w:tcPr>
          <w:p w14:paraId="354399B6" w14:textId="77777777" w:rsidR="00B655E0" w:rsidRPr="00B153F8" w:rsidRDefault="00B655E0" w:rsidP="00515837">
            <w:pPr>
              <w:spacing w:after="0" w:line="240" w:lineRule="auto"/>
              <w:rPr>
                <w:sz w:val="22"/>
                <w:szCs w:val="22"/>
              </w:rPr>
            </w:pPr>
            <w:r w:rsidRPr="00B153F8">
              <w:rPr>
                <w:sz w:val="22"/>
                <w:szCs w:val="22"/>
              </w:rPr>
              <w:t>High</w:t>
            </w:r>
          </w:p>
        </w:tc>
      </w:tr>
      <w:tr w:rsidR="00B655E0" w:rsidRPr="00B153F8" w14:paraId="759FDC00" w14:textId="77777777" w:rsidTr="00C12EEA">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F8C4A" w14:textId="77777777" w:rsidR="00B655E0" w:rsidRPr="00B153F8" w:rsidRDefault="00B655E0" w:rsidP="00515837">
            <w:pPr>
              <w:spacing w:after="0" w:line="240" w:lineRule="auto"/>
              <w:rPr>
                <w:b/>
                <w:bCs/>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2865BFFC" w14:textId="77777777" w:rsidR="00B655E0" w:rsidRPr="00B153F8" w:rsidRDefault="00B655E0" w:rsidP="00515837">
            <w:pPr>
              <w:spacing w:after="0" w:line="240" w:lineRule="auto"/>
              <w:rPr>
                <w:b/>
                <w:bCs/>
                <w:sz w:val="22"/>
                <w:szCs w:val="22"/>
              </w:rPr>
            </w:pPr>
            <w:r w:rsidRPr="00B153F8">
              <w:rPr>
                <w:b/>
                <w:bCs/>
                <w:sz w:val="22"/>
                <w:szCs w:val="22"/>
              </w:rPr>
              <w:t>High</w:t>
            </w:r>
          </w:p>
        </w:tc>
        <w:tc>
          <w:tcPr>
            <w:tcW w:w="0" w:type="auto"/>
            <w:tcBorders>
              <w:top w:val="single" w:sz="4" w:space="0" w:color="auto"/>
              <w:left w:val="single" w:sz="4" w:space="0" w:color="auto"/>
              <w:bottom w:val="single" w:sz="4" w:space="0" w:color="auto"/>
              <w:right w:val="single" w:sz="4" w:space="0" w:color="auto"/>
            </w:tcBorders>
            <w:shd w:val="clear" w:color="auto" w:fill="FEFBD2" w:themeFill="accent3" w:themeFillTint="33"/>
            <w:hideMark/>
          </w:tcPr>
          <w:p w14:paraId="6282FCDD" w14:textId="77777777" w:rsidR="00B655E0" w:rsidRPr="00B153F8" w:rsidRDefault="00B655E0" w:rsidP="00515837">
            <w:pPr>
              <w:spacing w:after="0" w:line="240" w:lineRule="auto"/>
              <w:rPr>
                <w:sz w:val="22"/>
                <w:szCs w:val="22"/>
              </w:rPr>
            </w:pPr>
            <w:r w:rsidRPr="00B153F8">
              <w:rPr>
                <w:sz w:val="22"/>
                <w:szCs w:val="22"/>
              </w:rPr>
              <w:t>Medium</w:t>
            </w:r>
          </w:p>
        </w:tc>
        <w:tc>
          <w:tcPr>
            <w:tcW w:w="0" w:type="auto"/>
            <w:tcBorders>
              <w:top w:val="single" w:sz="4" w:space="0" w:color="auto"/>
              <w:left w:val="single" w:sz="4" w:space="0" w:color="auto"/>
              <w:bottom w:val="single" w:sz="4" w:space="0" w:color="auto"/>
              <w:right w:val="single" w:sz="4" w:space="0" w:color="auto"/>
            </w:tcBorders>
            <w:shd w:val="clear" w:color="auto" w:fill="FBCED9" w:themeFill="accent2" w:themeFillTint="33"/>
            <w:hideMark/>
          </w:tcPr>
          <w:p w14:paraId="562B8DB7" w14:textId="77777777" w:rsidR="00B655E0" w:rsidRPr="00B153F8" w:rsidRDefault="00B655E0" w:rsidP="00515837">
            <w:pPr>
              <w:spacing w:after="0" w:line="240" w:lineRule="auto"/>
              <w:rPr>
                <w:sz w:val="22"/>
                <w:szCs w:val="22"/>
              </w:rPr>
            </w:pPr>
            <w:r w:rsidRPr="00B153F8">
              <w:rPr>
                <w:sz w:val="22"/>
                <w:szCs w:val="22"/>
              </w:rPr>
              <w:t>High</w:t>
            </w:r>
          </w:p>
        </w:tc>
        <w:tc>
          <w:tcPr>
            <w:tcW w:w="0" w:type="auto"/>
            <w:tcBorders>
              <w:top w:val="single" w:sz="4" w:space="0" w:color="auto"/>
              <w:left w:val="single" w:sz="4" w:space="0" w:color="auto"/>
              <w:bottom w:val="single" w:sz="4" w:space="0" w:color="auto"/>
              <w:right w:val="single" w:sz="4" w:space="0" w:color="auto"/>
            </w:tcBorders>
            <w:shd w:val="clear" w:color="auto" w:fill="FBCED9" w:themeFill="accent2" w:themeFillTint="33"/>
            <w:hideMark/>
          </w:tcPr>
          <w:p w14:paraId="5FE880BE" w14:textId="77777777" w:rsidR="00B655E0" w:rsidRPr="00B153F8" w:rsidRDefault="00B655E0" w:rsidP="00515837">
            <w:pPr>
              <w:spacing w:after="0" w:line="240" w:lineRule="auto"/>
              <w:rPr>
                <w:sz w:val="22"/>
                <w:szCs w:val="22"/>
              </w:rPr>
            </w:pPr>
            <w:r w:rsidRPr="00B153F8">
              <w:rPr>
                <w:sz w:val="22"/>
                <w:szCs w:val="22"/>
              </w:rPr>
              <w:t>High</w:t>
            </w:r>
          </w:p>
        </w:tc>
      </w:tr>
    </w:tbl>
    <w:p w14:paraId="34162189" w14:textId="77777777" w:rsidR="00583546" w:rsidRPr="00301762" w:rsidRDefault="00583546" w:rsidP="00583546"/>
    <w:p w14:paraId="71A15CE6" w14:textId="5ACF3B49" w:rsidR="00C84E4A" w:rsidRPr="00F36456" w:rsidRDefault="00301762" w:rsidP="00F36456">
      <w:pPr>
        <w:pStyle w:val="Heading4"/>
      </w:pPr>
      <w:r w:rsidRPr="00F36456">
        <w:rPr>
          <w:b/>
        </w:rPr>
        <w:t xml:space="preserve">Risk </w:t>
      </w:r>
      <w:r w:rsidR="00C55BDC" w:rsidRPr="006C15B3">
        <w:rPr>
          <w:b/>
          <w:bCs/>
        </w:rPr>
        <w:t>evaluation</w:t>
      </w:r>
    </w:p>
    <w:p w14:paraId="4CFD1C25" w14:textId="7F0457CF" w:rsidR="0041206A" w:rsidRPr="0041206A" w:rsidRDefault="0041206A" w:rsidP="0041206A">
      <w:r>
        <w:t>C</w:t>
      </w:r>
      <w:r w:rsidR="00503F21">
        <w:t>om</w:t>
      </w:r>
      <w:r>
        <w:t xml:space="preserve">plete the table with all risks and the assessment </w:t>
      </w:r>
      <w:r w:rsidR="00503F21">
        <w:t>of</w:t>
      </w:r>
      <w:r>
        <w:t xml:space="preserve"> each. </w:t>
      </w:r>
      <w:r w:rsidR="00503F21">
        <w:t xml:space="preserve">Add a possible mitigation in </w:t>
      </w:r>
      <w:r w:rsidR="008B468B">
        <w:t>t</w:t>
      </w:r>
      <w:r w:rsidR="00503F21">
        <w:t>he final column.</w:t>
      </w:r>
    </w:p>
    <w:tbl>
      <w:tblPr>
        <w:tblW w:w="5000" w:type="pct"/>
        <w:tblLook w:val="04A0" w:firstRow="1" w:lastRow="0" w:firstColumn="1" w:lastColumn="0" w:noHBand="0" w:noVBand="1"/>
      </w:tblPr>
      <w:tblGrid>
        <w:gridCol w:w="628"/>
        <w:gridCol w:w="2485"/>
        <w:gridCol w:w="1879"/>
        <w:gridCol w:w="1318"/>
        <w:gridCol w:w="894"/>
        <w:gridCol w:w="1812"/>
      </w:tblGrid>
      <w:tr w:rsidR="00D1566C" w:rsidRPr="00B153F8" w14:paraId="1A5B38EB" w14:textId="77777777" w:rsidTr="00D1566C">
        <w:trPr>
          <w:tblHeader/>
        </w:trPr>
        <w:tc>
          <w:tcPr>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FD8A65A" w14:textId="77777777" w:rsidR="00D1566C" w:rsidRPr="00B153F8" w:rsidRDefault="00D1566C" w:rsidP="00515837">
            <w:pPr>
              <w:spacing w:after="0" w:line="240" w:lineRule="auto"/>
            </w:pPr>
            <w:r w:rsidRPr="00B153F8">
              <w:t>ID</w:t>
            </w:r>
          </w:p>
        </w:tc>
        <w:tc>
          <w:tcPr>
            <w:tcW w:w="13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5729494" w14:textId="77777777" w:rsidR="00D1566C" w:rsidRPr="00B153F8" w:rsidRDefault="00D1566C" w:rsidP="00515837">
            <w:pPr>
              <w:spacing w:after="0" w:line="240" w:lineRule="auto"/>
              <w:jc w:val="center"/>
            </w:pPr>
            <w:r w:rsidRPr="00B153F8">
              <w:t>Risk Statement</w:t>
            </w:r>
          </w:p>
        </w:tc>
        <w:tc>
          <w:tcPr>
            <w:tcW w:w="10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7BAA8FD" w14:textId="77777777" w:rsidR="00D1566C" w:rsidRPr="00B153F8" w:rsidRDefault="00D1566C" w:rsidP="00515837">
            <w:pPr>
              <w:spacing w:after="0" w:line="240" w:lineRule="auto"/>
              <w:jc w:val="center"/>
            </w:pPr>
            <w:r w:rsidRPr="00B153F8">
              <w:t>Probability</w:t>
            </w:r>
          </w:p>
        </w:tc>
        <w:tc>
          <w:tcPr>
            <w:tcW w:w="7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EF1C6BB" w14:textId="77777777" w:rsidR="00D1566C" w:rsidRPr="00B153F8" w:rsidRDefault="00D1566C" w:rsidP="00515837">
            <w:pPr>
              <w:spacing w:after="0" w:line="240" w:lineRule="auto"/>
              <w:jc w:val="center"/>
            </w:pPr>
            <w:r w:rsidRPr="00B153F8">
              <w:t>Impact</w:t>
            </w: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C61BF16" w14:textId="77777777" w:rsidR="00D1566C" w:rsidRPr="00B153F8" w:rsidRDefault="00D1566C" w:rsidP="00515837">
            <w:pPr>
              <w:spacing w:after="0" w:line="240" w:lineRule="auto"/>
              <w:jc w:val="center"/>
            </w:pPr>
            <w:r w:rsidRPr="00B153F8">
              <w:t>Risk</w:t>
            </w: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CEC8FF2" w14:textId="77777777" w:rsidR="00D1566C" w:rsidRPr="00B153F8" w:rsidRDefault="00D1566C" w:rsidP="00515837">
            <w:pPr>
              <w:spacing w:after="0" w:line="240" w:lineRule="auto"/>
              <w:jc w:val="center"/>
            </w:pPr>
            <w:r w:rsidRPr="00B153F8">
              <w:t>Mitigation</w:t>
            </w:r>
          </w:p>
        </w:tc>
      </w:tr>
      <w:tr w:rsidR="00D1566C" w:rsidRPr="00B153F8" w14:paraId="558A6270" w14:textId="77777777" w:rsidTr="00D1566C">
        <w:tc>
          <w:tcPr>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3488B" w14:textId="77777777" w:rsidR="00D1566C" w:rsidRPr="00B153F8" w:rsidRDefault="00D1566C" w:rsidP="00515837">
            <w:pPr>
              <w:spacing w:after="0" w:line="240" w:lineRule="auto"/>
            </w:pPr>
            <w:r w:rsidRPr="00B153F8">
              <w:t>1</w:t>
            </w:r>
          </w:p>
        </w:tc>
        <w:tc>
          <w:tcPr>
            <w:tcW w:w="13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CADF2" w14:textId="77777777" w:rsidR="00D1566C" w:rsidRPr="00B153F8" w:rsidRDefault="00D1566C" w:rsidP="00D1566C">
            <w:pPr>
              <w:spacing w:after="0" w:line="240" w:lineRule="auto"/>
              <w:rPr>
                <w:b/>
                <w:bCs/>
              </w:rPr>
            </w:pPr>
          </w:p>
        </w:tc>
        <w:tc>
          <w:tcPr>
            <w:tcW w:w="10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9E153" w14:textId="4100F131" w:rsidR="00D1566C" w:rsidRPr="00B153F8" w:rsidRDefault="00D1566C" w:rsidP="00515837">
            <w:pPr>
              <w:spacing w:after="0" w:line="240" w:lineRule="auto"/>
              <w:jc w:val="center"/>
            </w:pPr>
          </w:p>
        </w:tc>
        <w:tc>
          <w:tcPr>
            <w:tcW w:w="7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600C6" w14:textId="5C31C622" w:rsidR="00D1566C" w:rsidRPr="00B153F8" w:rsidRDefault="00D1566C" w:rsidP="00515837">
            <w:pPr>
              <w:spacing w:after="0" w:line="240" w:lineRule="auto"/>
              <w:jc w:val="center"/>
            </w:pP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87AAE" w14:textId="7C8ADE50" w:rsidR="00D1566C" w:rsidRPr="00B153F8" w:rsidRDefault="00D1566C" w:rsidP="00515837">
            <w:pPr>
              <w:spacing w:after="0" w:line="240" w:lineRule="auto"/>
              <w:jc w:val="center"/>
            </w:pPr>
          </w:p>
        </w:tc>
        <w:tc>
          <w:tcPr>
            <w:tcW w:w="10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DCDBB" w14:textId="77777777" w:rsidR="00D1566C" w:rsidRPr="00B153F8" w:rsidRDefault="00D1566C" w:rsidP="00D1566C">
            <w:pPr>
              <w:spacing w:after="0" w:line="240" w:lineRule="auto"/>
            </w:pPr>
          </w:p>
        </w:tc>
      </w:tr>
    </w:tbl>
    <w:p w14:paraId="622B58FA" w14:textId="77777777" w:rsidR="006C15B3" w:rsidRPr="006C15B3" w:rsidRDefault="006C15B3" w:rsidP="006C15B3"/>
    <w:p w14:paraId="089333E8" w14:textId="7F1CAE3C" w:rsidR="00450A05" w:rsidRDefault="00450A05" w:rsidP="00450A05">
      <w:pPr>
        <w:pStyle w:val="Heading2"/>
      </w:pPr>
      <w:r>
        <w:t>References</w:t>
      </w:r>
    </w:p>
    <w:p w14:paraId="0C7BFA0D" w14:textId="46CFA4C5" w:rsidR="00DA2A42" w:rsidRDefault="00F020C5" w:rsidP="00B06F0E">
      <w:pPr>
        <w:pStyle w:val="ListParagraph"/>
        <w:numPr>
          <w:ilvl w:val="0"/>
          <w:numId w:val="37"/>
        </w:numPr>
      </w:pPr>
      <w:hyperlink r:id="rId12" w:history="1">
        <w:r w:rsidR="00DA2A42" w:rsidRPr="00F020C5">
          <w:rPr>
            <w:rStyle w:val="Hyperlink"/>
          </w:rPr>
          <w:t>AS ISO 31000:2018 Risk management – Guidelines</w:t>
        </w:r>
      </w:hyperlink>
      <w:r w:rsidR="00814D44">
        <w:t>,</w:t>
      </w:r>
      <w:r w:rsidR="00DA2A42">
        <w:t xml:space="preserve"> Standards Australia</w:t>
      </w:r>
      <w:r>
        <w:t xml:space="preserve"> (2018)</w:t>
      </w:r>
    </w:p>
    <w:p w14:paraId="047D310B" w14:textId="78E60C42" w:rsidR="00DE66DF" w:rsidRDefault="00DE66DF" w:rsidP="00DE66DF">
      <w:pPr>
        <w:pStyle w:val="ListParagraph"/>
        <w:numPr>
          <w:ilvl w:val="1"/>
          <w:numId w:val="37"/>
        </w:numPr>
      </w:pPr>
      <w:r>
        <w:t xml:space="preserve">Available from </w:t>
      </w:r>
      <w:hyperlink r:id="rId13" w:history="1">
        <w:r w:rsidRPr="00DE66DF">
          <w:rPr>
            <w:rStyle w:val="Hyperlink"/>
          </w:rPr>
          <w:t>Standards Australia store</w:t>
        </w:r>
      </w:hyperlink>
      <w:r>
        <w:t xml:space="preserve"> ($1</w:t>
      </w:r>
      <w:r w:rsidR="00EF13A7">
        <w:t>30</w:t>
      </w:r>
      <w:r>
        <w:t>)</w:t>
      </w:r>
    </w:p>
    <w:p w14:paraId="571FFD96" w14:textId="609D4564" w:rsidR="00450A05" w:rsidRDefault="00000000" w:rsidP="00B06F0E">
      <w:pPr>
        <w:pStyle w:val="ListParagraph"/>
        <w:numPr>
          <w:ilvl w:val="0"/>
          <w:numId w:val="37"/>
        </w:numPr>
      </w:pPr>
      <w:hyperlink r:id="rId14" w:history="1">
        <w:r w:rsidR="000B445D" w:rsidRPr="00132B78">
          <w:rPr>
            <w:rStyle w:val="Hyperlink"/>
          </w:rPr>
          <w:t>IT Accessibility Risk Statements and Evidenc</w:t>
        </w:r>
        <w:r w:rsidR="00132B78">
          <w:rPr>
            <w:rStyle w:val="Hyperlink"/>
          </w:rPr>
          <w:t>e (PDF)</w:t>
        </w:r>
      </w:hyperlink>
      <w:r w:rsidR="000B445D">
        <w:t>, EDUCAUSE (</w:t>
      </w:r>
      <w:r w:rsidR="008B541A">
        <w:t>2015)</w:t>
      </w:r>
    </w:p>
    <w:p w14:paraId="75903D18" w14:textId="54458329" w:rsidR="00132B78" w:rsidRDefault="00000000" w:rsidP="00B06F0E">
      <w:pPr>
        <w:pStyle w:val="ListParagraph"/>
        <w:numPr>
          <w:ilvl w:val="0"/>
          <w:numId w:val="37"/>
        </w:numPr>
      </w:pPr>
      <w:hyperlink r:id="rId15" w:history="1">
        <w:r w:rsidR="001931C6" w:rsidRPr="0003094F">
          <w:rPr>
            <w:rStyle w:val="Hyperlink"/>
          </w:rPr>
          <w:t xml:space="preserve">Accessible </w:t>
        </w:r>
        <w:r w:rsidR="0003094F" w:rsidRPr="0003094F">
          <w:rPr>
            <w:rStyle w:val="Hyperlink"/>
          </w:rPr>
          <w:t xml:space="preserve">Procurement </w:t>
        </w:r>
        <w:r w:rsidR="001931C6" w:rsidRPr="0003094F">
          <w:rPr>
            <w:rStyle w:val="Hyperlink"/>
          </w:rPr>
          <w:t>Toolkit</w:t>
        </w:r>
        <w:r w:rsidR="004E024D" w:rsidRPr="0003094F">
          <w:rPr>
            <w:rStyle w:val="Hyperlink"/>
          </w:rPr>
          <w:t xml:space="preserve"> – </w:t>
        </w:r>
        <w:r w:rsidR="0003094F" w:rsidRPr="0003094F">
          <w:rPr>
            <w:rStyle w:val="Hyperlink"/>
          </w:rPr>
          <w:t xml:space="preserve">Assessing </w:t>
        </w:r>
        <w:r w:rsidR="004E024D" w:rsidRPr="0003094F">
          <w:rPr>
            <w:rStyle w:val="Hyperlink"/>
          </w:rPr>
          <w:t>risk</w:t>
        </w:r>
      </w:hyperlink>
      <w:r w:rsidR="004E024D">
        <w:t>, The University of Melbourne (</w:t>
      </w:r>
      <w:proofErr w:type="spellStart"/>
      <w:r w:rsidR="0003094F">
        <w:t>ud</w:t>
      </w:r>
      <w:proofErr w:type="spellEnd"/>
      <w:r w:rsidR="0003094F">
        <w:t>)</w:t>
      </w:r>
    </w:p>
    <w:p w14:paraId="01EE220B" w14:textId="387929AD" w:rsidR="001A08C1" w:rsidRPr="00450A05" w:rsidRDefault="00000000" w:rsidP="00B06F0E">
      <w:pPr>
        <w:pStyle w:val="ListParagraph"/>
        <w:numPr>
          <w:ilvl w:val="0"/>
          <w:numId w:val="37"/>
        </w:numPr>
      </w:pPr>
      <w:hyperlink r:id="rId16" w:history="1">
        <w:r w:rsidR="001A08C1" w:rsidRPr="00FC65ED">
          <w:rPr>
            <w:rStyle w:val="Hyperlink"/>
          </w:rPr>
          <w:t>Evaluating Electronic and Information Technology (EIT) for University Procurement</w:t>
        </w:r>
      </w:hyperlink>
      <w:r w:rsidR="005D7A2D">
        <w:t xml:space="preserve">, </w:t>
      </w:r>
      <w:r w:rsidR="00A24CCE">
        <w:t>Accessing Higher Ground (2022)</w:t>
      </w:r>
    </w:p>
    <w:sectPr w:rsidR="001A08C1" w:rsidRPr="00450A05" w:rsidSect="00D16F1C">
      <w:headerReference w:type="default" r:id="rId17"/>
      <w:footerReference w:type="default" r:id="rId18"/>
      <w:headerReference w:type="first" r:id="rId19"/>
      <w:footerReference w:type="first" r:id="rId20"/>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2C5F" w14:textId="77777777" w:rsidR="00DD10A5" w:rsidRDefault="00DD10A5" w:rsidP="00CD050C">
      <w:pPr>
        <w:spacing w:after="0" w:line="240" w:lineRule="auto"/>
      </w:pPr>
      <w:r>
        <w:separator/>
      </w:r>
    </w:p>
    <w:p w14:paraId="77FA3082" w14:textId="77777777" w:rsidR="00DD10A5" w:rsidRDefault="00DD10A5"/>
  </w:endnote>
  <w:endnote w:type="continuationSeparator" w:id="0">
    <w:p w14:paraId="7D9374BE" w14:textId="77777777" w:rsidR="00DD10A5" w:rsidRDefault="00DD10A5" w:rsidP="00CD050C">
      <w:pPr>
        <w:spacing w:after="0" w:line="240" w:lineRule="auto"/>
      </w:pPr>
      <w:r>
        <w:continuationSeparator/>
      </w:r>
    </w:p>
    <w:p w14:paraId="1CF28BC5" w14:textId="77777777" w:rsidR="00DD10A5" w:rsidRDefault="00DD10A5"/>
  </w:endnote>
  <w:endnote w:type="continuationNotice" w:id="1">
    <w:p w14:paraId="409B30A1" w14:textId="77777777" w:rsidR="00DD10A5" w:rsidRDefault="00DD1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swiss"/>
    <w:pitch w:val="variable"/>
    <w:sig w:usb0="A00002BF" w:usb1="5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B651" w14:textId="77777777" w:rsidR="00812F4B" w:rsidRPr="00077C9F" w:rsidRDefault="00812F4B" w:rsidP="00B5269C">
    <w:pPr>
      <w:pStyle w:val="Footer"/>
      <w:tabs>
        <w:tab w:val="clear" w:pos="4513"/>
        <w:tab w:val="clear" w:pos="9026"/>
        <w:tab w:val="right" w:pos="13697"/>
      </w:tabs>
    </w:pPr>
    <w:proofErr w:type="spellStart"/>
    <w:proofErr w:type="gramStart"/>
    <w:r w:rsidRPr="00077C9F">
      <w:rPr>
        <w:rFonts w:ascii="Comfortaa" w:hAnsi="Comfortaa"/>
        <w:color w:val="D3420D" w:themeColor="accent1"/>
        <w:spacing w:val="24"/>
      </w:rPr>
      <w:t>intopia.digital</w:t>
    </w:r>
    <w:proofErr w:type="spellEnd"/>
    <w:proofErr w:type="gramEnd"/>
    <w:r>
      <w:rPr>
        <w:color w:val="D3420D" w:themeColor="accent1"/>
      </w:rPr>
      <w:tab/>
    </w:r>
    <w:r w:rsidRPr="00077C9F">
      <w:fldChar w:fldCharType="begin"/>
    </w:r>
    <w:r w:rsidRPr="00077C9F">
      <w:instrText xml:space="preserve"> PAGE   \* MERGEFORMAT </w:instrText>
    </w:r>
    <w:r w:rsidRPr="00077C9F">
      <w:fldChar w:fldCharType="separate"/>
    </w:r>
    <w:r w:rsidR="00734B5E">
      <w:rPr>
        <w:noProof/>
      </w:rPr>
      <w:t>9</w:t>
    </w:r>
    <w:r w:rsidRPr="00077C9F">
      <w:rPr>
        <w:noProof/>
      </w:rPr>
      <w:fldChar w:fldCharType="end"/>
    </w:r>
    <w:r w:rsidR="00A66875">
      <w:rPr>
        <w:noProof/>
      </w:rPr>
      <w:t>/</w:t>
    </w:r>
    <w:r w:rsidR="00A66875">
      <w:rPr>
        <w:noProof/>
      </w:rPr>
      <w:fldChar w:fldCharType="begin"/>
    </w:r>
    <w:r w:rsidR="00A66875">
      <w:rPr>
        <w:noProof/>
      </w:rPr>
      <w:instrText xml:space="preserve"> NUMPAGES   \* MERGEFORMAT </w:instrText>
    </w:r>
    <w:r w:rsidR="00A66875">
      <w:rPr>
        <w:noProof/>
      </w:rPr>
      <w:fldChar w:fldCharType="separate"/>
    </w:r>
    <w:r w:rsidR="00A66875">
      <w:rPr>
        <w:noProof/>
      </w:rPr>
      <w:t>4</w:t>
    </w:r>
    <w:r w:rsidR="00A6687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2BDD" w14:textId="77777777" w:rsidR="00812F4B" w:rsidRPr="00F50B01" w:rsidRDefault="00000000" w:rsidP="00056CC3">
    <w:pPr>
      <w:pStyle w:val="Footer"/>
      <w:spacing w:after="120"/>
      <w:rPr>
        <w:rFonts w:ascii="Comfortaa" w:hAnsi="Comfortaa"/>
        <w:sz w:val="30"/>
        <w:szCs w:val="28"/>
      </w:rPr>
    </w:pPr>
    <w:r>
      <w:rPr>
        <w:noProof/>
      </w:rPr>
      <w:pict w14:anchorId="1D4FF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Intopia Icon" style="position:absolute;margin-left:251.25pt;margin-top:-70.3pt;width:272.25pt;height:177.75pt;z-index:-251658240;mso-wrap-edited:f;mso-width-percent:0;mso-height-percent:0;mso-width-percent:0;mso-height-percent:0">
          <v:imagedata r:id="rId1" o:title="Intopia_FINAL_icon_sml" cropbottom="24357f"/>
        </v:shape>
      </w:pict>
    </w:r>
    <w:r w:rsidR="00812F4B" w:rsidRPr="00F50B01">
      <w:rPr>
        <w:rFonts w:ascii="Comfortaa" w:hAnsi="Comfortaa"/>
        <w:sz w:val="30"/>
        <w:szCs w:val="28"/>
      </w:rPr>
      <w:t>creating an inclusive digital world</w:t>
    </w:r>
  </w:p>
  <w:p w14:paraId="1BD7AC68" w14:textId="77777777" w:rsidR="00812F4B" w:rsidRPr="00E84807" w:rsidRDefault="00812F4B" w:rsidP="00056CC3">
    <w:pPr>
      <w:pStyle w:val="Footer"/>
      <w:spacing w:after="600"/>
      <w:rPr>
        <w:rFonts w:ascii="Comfortaa" w:hAnsi="Comfortaa"/>
        <w:color w:val="D3420D" w:themeColor="accent1"/>
        <w:sz w:val="30"/>
        <w:szCs w:val="28"/>
      </w:rPr>
    </w:pPr>
    <w:proofErr w:type="spellStart"/>
    <w:proofErr w:type="gramStart"/>
    <w:r w:rsidRPr="00E84807">
      <w:rPr>
        <w:rFonts w:ascii="Comfortaa" w:hAnsi="Comfortaa"/>
        <w:color w:val="D3420D" w:themeColor="accent1"/>
        <w:sz w:val="30"/>
        <w:szCs w:val="28"/>
      </w:rPr>
      <w:t>intopia.digital</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8072" w14:textId="77777777" w:rsidR="00DD10A5" w:rsidRDefault="00DD10A5" w:rsidP="00CD050C">
      <w:pPr>
        <w:spacing w:after="0" w:line="240" w:lineRule="auto"/>
      </w:pPr>
      <w:r>
        <w:separator/>
      </w:r>
    </w:p>
    <w:p w14:paraId="13627879" w14:textId="77777777" w:rsidR="00DD10A5" w:rsidRDefault="00DD10A5"/>
  </w:footnote>
  <w:footnote w:type="continuationSeparator" w:id="0">
    <w:p w14:paraId="7C94C475" w14:textId="77777777" w:rsidR="00DD10A5" w:rsidRDefault="00DD10A5" w:rsidP="00CD050C">
      <w:pPr>
        <w:spacing w:after="0" w:line="240" w:lineRule="auto"/>
      </w:pPr>
      <w:r>
        <w:continuationSeparator/>
      </w:r>
    </w:p>
    <w:p w14:paraId="7241B8CF" w14:textId="77777777" w:rsidR="00DD10A5" w:rsidRDefault="00DD10A5"/>
  </w:footnote>
  <w:footnote w:type="continuationNotice" w:id="1">
    <w:p w14:paraId="0183B59F" w14:textId="77777777" w:rsidR="00DD10A5" w:rsidRDefault="00DD10A5">
      <w:pPr>
        <w:spacing w:after="0" w:line="240" w:lineRule="auto"/>
      </w:pPr>
    </w:p>
  </w:footnote>
  <w:footnote w:id="2">
    <w:p w14:paraId="39125AE8" w14:textId="4C6ACD9E" w:rsidR="000A2162" w:rsidRDefault="000A2162">
      <w:pPr>
        <w:pStyle w:val="FootnoteText"/>
      </w:pPr>
      <w:r>
        <w:rPr>
          <w:rStyle w:val="FootnoteReference"/>
        </w:rPr>
        <w:footnoteRef/>
      </w:r>
      <w:r>
        <w:t xml:space="preserve"> </w:t>
      </w:r>
      <w:hyperlink r:id="rId1" w:history="1">
        <w:r w:rsidR="003D764A" w:rsidRPr="006C1F50">
          <w:rPr>
            <w:rStyle w:val="Hyperlink"/>
          </w:rPr>
          <w:t>https://www.standards.org.au/stan</w:t>
        </w:r>
        <w:r w:rsidR="003D764A" w:rsidRPr="006C1F50">
          <w:rPr>
            <w:rStyle w:val="Hyperlink"/>
          </w:rPr>
          <w:t>d</w:t>
        </w:r>
        <w:r w:rsidR="003D764A" w:rsidRPr="006C1F50">
          <w:rPr>
            <w:rStyle w:val="Hyperlink"/>
          </w:rPr>
          <w:t>ards-catalogue/sa-snz/other/ob-007/as--iso--31000-colon-2018</w:t>
        </w:r>
      </w:hyperlink>
      <w:r w:rsidR="003D764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8053" w14:textId="77777777" w:rsidR="00812F4B" w:rsidRPr="00077C9F" w:rsidRDefault="00812F4B" w:rsidP="00907722">
    <w:pPr>
      <w:pStyle w:val="Header"/>
      <w:jc w:val="right"/>
      <w:rPr>
        <w:color w:val="D3420D" w:themeColor="accent1"/>
      </w:rPr>
    </w:pPr>
    <w:r>
      <w:rPr>
        <w:noProof/>
        <w:lang w:eastAsia="en-AU"/>
      </w:rPr>
      <w:drawing>
        <wp:inline distT="0" distB="0" distL="0" distR="0" wp14:anchorId="077D28D1" wp14:editId="67937C9E">
          <wp:extent cx="1256334" cy="393554"/>
          <wp:effectExtent l="0" t="0" r="1270" b="6985"/>
          <wp:docPr id="17" name="Picture 17"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tewartHay\AppData\Local\Microsoft\Windows\INetCacheContent.Word\Intopi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89" cy="40218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69E0" w14:textId="77777777" w:rsidR="00812F4B" w:rsidRDefault="00000000">
    <w:pPr>
      <w:pStyle w:val="Header"/>
    </w:pPr>
    <w:r>
      <w:rPr>
        <w:noProof/>
        <w:lang w:eastAsia="en-AU"/>
      </w:rPr>
      <w:pict w14:anchorId="20209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opia Logo" style="width:186pt;height:58pt;mso-width-percent:0;mso-height-percent:0;mso-width-percent:0;mso-height-percent:0">
          <v:imagedata r:id="rId1" o:title="Intopia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6EFAAA"/>
    <w:lvl w:ilvl="0">
      <w:start w:val="1"/>
      <w:numFmt w:val="decimal"/>
      <w:lvlText w:val="%1."/>
      <w:lvlJc w:val="left"/>
      <w:pPr>
        <w:tabs>
          <w:tab w:val="num" w:pos="1492"/>
        </w:tabs>
        <w:ind w:left="1492" w:hanging="360"/>
      </w:pPr>
    </w:lvl>
  </w:abstractNum>
  <w:abstractNum w:abstractNumId="1" w15:restartNumberingAfterBreak="0">
    <w:nsid w:val="020B0AD3"/>
    <w:multiLevelType w:val="hybridMultilevel"/>
    <w:tmpl w:val="4F1A02AC"/>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B434E0"/>
    <w:multiLevelType w:val="hybridMultilevel"/>
    <w:tmpl w:val="5BD0B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12B4D"/>
    <w:multiLevelType w:val="hybridMultilevel"/>
    <w:tmpl w:val="EC38D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E17451"/>
    <w:multiLevelType w:val="hybridMultilevel"/>
    <w:tmpl w:val="25A23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452289"/>
    <w:multiLevelType w:val="hybridMultilevel"/>
    <w:tmpl w:val="5876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30B6C"/>
    <w:multiLevelType w:val="hybridMultilevel"/>
    <w:tmpl w:val="BEEC0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F1ACB"/>
    <w:multiLevelType w:val="hybridMultilevel"/>
    <w:tmpl w:val="0D54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432B4"/>
    <w:multiLevelType w:val="hybridMultilevel"/>
    <w:tmpl w:val="3FF2A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1111CD"/>
    <w:multiLevelType w:val="hybridMultilevel"/>
    <w:tmpl w:val="F9B41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FF4450"/>
    <w:multiLevelType w:val="hybridMultilevel"/>
    <w:tmpl w:val="DA5E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45BC0"/>
    <w:multiLevelType w:val="hybridMultilevel"/>
    <w:tmpl w:val="46AE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52EEB"/>
    <w:multiLevelType w:val="hybridMultilevel"/>
    <w:tmpl w:val="21809C42"/>
    <w:lvl w:ilvl="0" w:tplc="1B08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B82EF5"/>
    <w:multiLevelType w:val="hybridMultilevel"/>
    <w:tmpl w:val="6F7C7FB6"/>
    <w:lvl w:ilvl="0" w:tplc="0C090001">
      <w:start w:val="1"/>
      <w:numFmt w:val="bullet"/>
      <w:lvlText w:val=""/>
      <w:lvlJc w:val="left"/>
      <w:pPr>
        <w:ind w:left="765" w:hanging="360"/>
      </w:pPr>
      <w:rPr>
        <w:rFonts w:ascii="Calibri" w:hAnsi="Calibri" w:hint="default"/>
      </w:rPr>
    </w:lvl>
    <w:lvl w:ilvl="1" w:tplc="0C090003" w:tentative="1">
      <w:start w:val="1"/>
      <w:numFmt w:val="bullet"/>
      <w:lvlText w:val="o"/>
      <w:lvlJc w:val="left"/>
      <w:pPr>
        <w:ind w:left="1485" w:hanging="360"/>
      </w:pPr>
      <w:rPr>
        <w:rFonts w:ascii="Calibri" w:hAnsi="Calibri" w:cs="Calibri" w:hint="default"/>
      </w:rPr>
    </w:lvl>
    <w:lvl w:ilvl="2" w:tplc="0C090005" w:tentative="1">
      <w:start w:val="1"/>
      <w:numFmt w:val="bullet"/>
      <w:lvlText w:val=""/>
      <w:lvlJc w:val="left"/>
      <w:pPr>
        <w:ind w:left="2205" w:hanging="360"/>
      </w:pPr>
      <w:rPr>
        <w:rFonts w:ascii="Calibri" w:hAnsi="Calibri" w:hint="default"/>
      </w:rPr>
    </w:lvl>
    <w:lvl w:ilvl="3" w:tplc="0C090001" w:tentative="1">
      <w:start w:val="1"/>
      <w:numFmt w:val="bullet"/>
      <w:lvlText w:val=""/>
      <w:lvlJc w:val="left"/>
      <w:pPr>
        <w:ind w:left="2925" w:hanging="360"/>
      </w:pPr>
      <w:rPr>
        <w:rFonts w:ascii="Calibri" w:hAnsi="Calibri" w:hint="default"/>
      </w:rPr>
    </w:lvl>
    <w:lvl w:ilvl="4" w:tplc="0C090003" w:tentative="1">
      <w:start w:val="1"/>
      <w:numFmt w:val="bullet"/>
      <w:lvlText w:val="o"/>
      <w:lvlJc w:val="left"/>
      <w:pPr>
        <w:ind w:left="3645" w:hanging="360"/>
      </w:pPr>
      <w:rPr>
        <w:rFonts w:ascii="Calibri" w:hAnsi="Calibri" w:cs="Calibri" w:hint="default"/>
      </w:rPr>
    </w:lvl>
    <w:lvl w:ilvl="5" w:tplc="0C090005" w:tentative="1">
      <w:start w:val="1"/>
      <w:numFmt w:val="bullet"/>
      <w:lvlText w:val=""/>
      <w:lvlJc w:val="left"/>
      <w:pPr>
        <w:ind w:left="4365" w:hanging="360"/>
      </w:pPr>
      <w:rPr>
        <w:rFonts w:ascii="Calibri" w:hAnsi="Calibri" w:hint="default"/>
      </w:rPr>
    </w:lvl>
    <w:lvl w:ilvl="6" w:tplc="0C090001" w:tentative="1">
      <w:start w:val="1"/>
      <w:numFmt w:val="bullet"/>
      <w:lvlText w:val=""/>
      <w:lvlJc w:val="left"/>
      <w:pPr>
        <w:ind w:left="5085" w:hanging="360"/>
      </w:pPr>
      <w:rPr>
        <w:rFonts w:ascii="Calibri" w:hAnsi="Calibri" w:hint="default"/>
      </w:rPr>
    </w:lvl>
    <w:lvl w:ilvl="7" w:tplc="0C090003" w:tentative="1">
      <w:start w:val="1"/>
      <w:numFmt w:val="bullet"/>
      <w:lvlText w:val="o"/>
      <w:lvlJc w:val="left"/>
      <w:pPr>
        <w:ind w:left="5805" w:hanging="360"/>
      </w:pPr>
      <w:rPr>
        <w:rFonts w:ascii="Calibri" w:hAnsi="Calibri" w:cs="Calibri" w:hint="default"/>
      </w:rPr>
    </w:lvl>
    <w:lvl w:ilvl="8" w:tplc="0C090005" w:tentative="1">
      <w:start w:val="1"/>
      <w:numFmt w:val="bullet"/>
      <w:lvlText w:val=""/>
      <w:lvlJc w:val="left"/>
      <w:pPr>
        <w:ind w:left="6525" w:hanging="360"/>
      </w:pPr>
      <w:rPr>
        <w:rFonts w:ascii="Calibri" w:hAnsi="Calibri" w:hint="default"/>
      </w:rPr>
    </w:lvl>
  </w:abstractNum>
  <w:abstractNum w:abstractNumId="14" w15:restartNumberingAfterBreak="0">
    <w:nsid w:val="21D1053B"/>
    <w:multiLevelType w:val="hybridMultilevel"/>
    <w:tmpl w:val="B75AA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E40EB6"/>
    <w:multiLevelType w:val="hybridMultilevel"/>
    <w:tmpl w:val="F2D2286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86B3B42"/>
    <w:multiLevelType w:val="hybridMultilevel"/>
    <w:tmpl w:val="F796BD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170DF"/>
    <w:multiLevelType w:val="hybridMultilevel"/>
    <w:tmpl w:val="F796BD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5C168E"/>
    <w:multiLevelType w:val="hybridMultilevel"/>
    <w:tmpl w:val="DDBCF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321E06"/>
    <w:multiLevelType w:val="hybridMultilevel"/>
    <w:tmpl w:val="E3142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2C5A6C"/>
    <w:multiLevelType w:val="hybridMultilevel"/>
    <w:tmpl w:val="3B104F2E"/>
    <w:lvl w:ilvl="0" w:tplc="0C090001">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alibri" w:hAnsi="Calibri" w:cs="Calibri" w:hint="default"/>
      </w:rPr>
    </w:lvl>
    <w:lvl w:ilvl="2" w:tplc="0C090005" w:tentative="1">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Calibri" w:hAnsi="Calibri" w:cs="Calibri" w:hint="default"/>
      </w:rPr>
    </w:lvl>
    <w:lvl w:ilvl="5" w:tplc="0C090005" w:tentative="1">
      <w:start w:val="1"/>
      <w:numFmt w:val="bullet"/>
      <w:lvlText w:val=""/>
      <w:lvlJc w:val="left"/>
      <w:pPr>
        <w:ind w:left="4320" w:hanging="360"/>
      </w:pPr>
      <w:rPr>
        <w:rFonts w:ascii="Calibri" w:hAnsi="Calibri"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Calibri" w:hAnsi="Calibri" w:cs="Calibri" w:hint="default"/>
      </w:rPr>
    </w:lvl>
    <w:lvl w:ilvl="8" w:tplc="0C090005" w:tentative="1">
      <w:start w:val="1"/>
      <w:numFmt w:val="bullet"/>
      <w:lvlText w:val=""/>
      <w:lvlJc w:val="left"/>
      <w:pPr>
        <w:ind w:left="6480" w:hanging="360"/>
      </w:pPr>
      <w:rPr>
        <w:rFonts w:ascii="Calibri" w:hAnsi="Calibri" w:hint="default"/>
      </w:rPr>
    </w:lvl>
  </w:abstractNum>
  <w:abstractNum w:abstractNumId="21" w15:restartNumberingAfterBreak="0">
    <w:nsid w:val="33730204"/>
    <w:multiLevelType w:val="hybridMultilevel"/>
    <w:tmpl w:val="0CF4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5C2A3B"/>
    <w:multiLevelType w:val="hybridMultilevel"/>
    <w:tmpl w:val="DFECE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8D4E7D"/>
    <w:multiLevelType w:val="hybridMultilevel"/>
    <w:tmpl w:val="6CBE0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6A7125"/>
    <w:multiLevelType w:val="hybridMultilevel"/>
    <w:tmpl w:val="2A648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9EB2F40"/>
    <w:multiLevelType w:val="hybridMultilevel"/>
    <w:tmpl w:val="A9F48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C768E1"/>
    <w:multiLevelType w:val="hybridMultilevel"/>
    <w:tmpl w:val="7788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375885"/>
    <w:multiLevelType w:val="hybridMultilevel"/>
    <w:tmpl w:val="4314A7B8"/>
    <w:lvl w:ilvl="0" w:tplc="479CBEE0">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9E5DD6"/>
    <w:multiLevelType w:val="hybridMultilevel"/>
    <w:tmpl w:val="620E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042A3E"/>
    <w:multiLevelType w:val="hybridMultilevel"/>
    <w:tmpl w:val="8EE2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126D7E"/>
    <w:multiLevelType w:val="hybridMultilevel"/>
    <w:tmpl w:val="8E5E295C"/>
    <w:lvl w:ilvl="0" w:tplc="479CBEE0">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6F200D"/>
    <w:multiLevelType w:val="hybridMultilevel"/>
    <w:tmpl w:val="9196C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B47830"/>
    <w:multiLevelType w:val="hybridMultilevel"/>
    <w:tmpl w:val="1E56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9B248A"/>
    <w:multiLevelType w:val="hybridMultilevel"/>
    <w:tmpl w:val="0A5E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F63A5D"/>
    <w:multiLevelType w:val="hybridMultilevel"/>
    <w:tmpl w:val="7BD0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551601"/>
    <w:multiLevelType w:val="hybridMultilevel"/>
    <w:tmpl w:val="D3AA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306328"/>
    <w:multiLevelType w:val="hybridMultilevel"/>
    <w:tmpl w:val="44643A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CE74615"/>
    <w:multiLevelType w:val="hybridMultilevel"/>
    <w:tmpl w:val="CC927DD8"/>
    <w:lvl w:ilvl="0" w:tplc="479CBEE0">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11219B"/>
    <w:multiLevelType w:val="hybridMultilevel"/>
    <w:tmpl w:val="1514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72197E"/>
    <w:multiLevelType w:val="hybridMultilevel"/>
    <w:tmpl w:val="CFC2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132C32"/>
    <w:multiLevelType w:val="hybridMultilevel"/>
    <w:tmpl w:val="8124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D85E0F"/>
    <w:multiLevelType w:val="hybridMultilevel"/>
    <w:tmpl w:val="563CA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6C84401"/>
    <w:multiLevelType w:val="hybridMultilevel"/>
    <w:tmpl w:val="256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D3531"/>
    <w:multiLevelType w:val="hybridMultilevel"/>
    <w:tmpl w:val="C5003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097E8B"/>
    <w:multiLevelType w:val="multilevel"/>
    <w:tmpl w:val="D29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44658E"/>
    <w:multiLevelType w:val="hybridMultilevel"/>
    <w:tmpl w:val="89145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B58611D"/>
    <w:multiLevelType w:val="hybridMultilevel"/>
    <w:tmpl w:val="80FE39A6"/>
    <w:lvl w:ilvl="0" w:tplc="1DB896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923FEA"/>
    <w:multiLevelType w:val="hybridMultilevel"/>
    <w:tmpl w:val="4702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127078"/>
    <w:multiLevelType w:val="hybridMultilevel"/>
    <w:tmpl w:val="E67CB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AF08A4"/>
    <w:multiLevelType w:val="hybridMultilevel"/>
    <w:tmpl w:val="4D449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AE72B5"/>
    <w:multiLevelType w:val="hybridMultilevel"/>
    <w:tmpl w:val="5A60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5C55C2E"/>
    <w:multiLevelType w:val="hybridMultilevel"/>
    <w:tmpl w:val="1E168716"/>
    <w:lvl w:ilvl="0" w:tplc="0C090001">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alibri" w:hAnsi="Calibri" w:cs="Calibri" w:hint="default"/>
      </w:rPr>
    </w:lvl>
    <w:lvl w:ilvl="2" w:tplc="0C090005" w:tentative="1">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Calibri" w:hAnsi="Calibri" w:hint="default"/>
      </w:rPr>
    </w:lvl>
    <w:lvl w:ilvl="4" w:tplc="0C090003" w:tentative="1">
      <w:start w:val="1"/>
      <w:numFmt w:val="bullet"/>
      <w:lvlText w:val="o"/>
      <w:lvlJc w:val="left"/>
      <w:pPr>
        <w:ind w:left="3600" w:hanging="360"/>
      </w:pPr>
      <w:rPr>
        <w:rFonts w:ascii="Calibri" w:hAnsi="Calibri" w:cs="Calibri" w:hint="default"/>
      </w:rPr>
    </w:lvl>
    <w:lvl w:ilvl="5" w:tplc="0C090005" w:tentative="1">
      <w:start w:val="1"/>
      <w:numFmt w:val="bullet"/>
      <w:lvlText w:val=""/>
      <w:lvlJc w:val="left"/>
      <w:pPr>
        <w:ind w:left="4320" w:hanging="360"/>
      </w:pPr>
      <w:rPr>
        <w:rFonts w:ascii="Calibri" w:hAnsi="Calibri" w:hint="default"/>
      </w:rPr>
    </w:lvl>
    <w:lvl w:ilvl="6" w:tplc="0C090001" w:tentative="1">
      <w:start w:val="1"/>
      <w:numFmt w:val="bullet"/>
      <w:lvlText w:val=""/>
      <w:lvlJc w:val="left"/>
      <w:pPr>
        <w:ind w:left="5040" w:hanging="360"/>
      </w:pPr>
      <w:rPr>
        <w:rFonts w:ascii="Calibri" w:hAnsi="Calibri" w:hint="default"/>
      </w:rPr>
    </w:lvl>
    <w:lvl w:ilvl="7" w:tplc="0C090003" w:tentative="1">
      <w:start w:val="1"/>
      <w:numFmt w:val="bullet"/>
      <w:lvlText w:val="o"/>
      <w:lvlJc w:val="left"/>
      <w:pPr>
        <w:ind w:left="5760" w:hanging="360"/>
      </w:pPr>
      <w:rPr>
        <w:rFonts w:ascii="Calibri" w:hAnsi="Calibri" w:cs="Calibri" w:hint="default"/>
      </w:rPr>
    </w:lvl>
    <w:lvl w:ilvl="8" w:tplc="0C090005" w:tentative="1">
      <w:start w:val="1"/>
      <w:numFmt w:val="bullet"/>
      <w:lvlText w:val=""/>
      <w:lvlJc w:val="left"/>
      <w:pPr>
        <w:ind w:left="6480" w:hanging="360"/>
      </w:pPr>
      <w:rPr>
        <w:rFonts w:ascii="Calibri" w:hAnsi="Calibri" w:hint="default"/>
      </w:rPr>
    </w:lvl>
  </w:abstractNum>
  <w:abstractNum w:abstractNumId="52" w15:restartNumberingAfterBreak="0">
    <w:nsid w:val="7D015A44"/>
    <w:multiLevelType w:val="hybridMultilevel"/>
    <w:tmpl w:val="F796BD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F1224C2"/>
    <w:multiLevelType w:val="hybridMultilevel"/>
    <w:tmpl w:val="C3F895F6"/>
    <w:lvl w:ilvl="0" w:tplc="8A3826F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1810099">
    <w:abstractNumId w:val="5"/>
  </w:num>
  <w:num w:numId="2" w16cid:durableId="1163081845">
    <w:abstractNumId w:val="38"/>
  </w:num>
  <w:num w:numId="3" w16cid:durableId="1442215462">
    <w:abstractNumId w:val="45"/>
  </w:num>
  <w:num w:numId="4" w16cid:durableId="1186212113">
    <w:abstractNumId w:val="4"/>
  </w:num>
  <w:num w:numId="5" w16cid:durableId="1410997861">
    <w:abstractNumId w:val="7"/>
  </w:num>
  <w:num w:numId="6" w16cid:durableId="1792363977">
    <w:abstractNumId w:val="26"/>
  </w:num>
  <w:num w:numId="7" w16cid:durableId="2146383978">
    <w:abstractNumId w:val="34"/>
  </w:num>
  <w:num w:numId="8" w16cid:durableId="801074479">
    <w:abstractNumId w:val="40"/>
  </w:num>
  <w:num w:numId="9" w16cid:durableId="938685801">
    <w:abstractNumId w:val="39"/>
  </w:num>
  <w:num w:numId="10" w16cid:durableId="450710373">
    <w:abstractNumId w:val="19"/>
  </w:num>
  <w:num w:numId="11" w16cid:durableId="825245016">
    <w:abstractNumId w:val="47"/>
  </w:num>
  <w:num w:numId="12" w16cid:durableId="468325500">
    <w:abstractNumId w:val="21"/>
  </w:num>
  <w:num w:numId="13" w16cid:durableId="1778285867">
    <w:abstractNumId w:val="3"/>
  </w:num>
  <w:num w:numId="14" w16cid:durableId="234243139">
    <w:abstractNumId w:val="23"/>
  </w:num>
  <w:num w:numId="15" w16cid:durableId="758016016">
    <w:abstractNumId w:val="33"/>
  </w:num>
  <w:num w:numId="16" w16cid:durableId="1305040028">
    <w:abstractNumId w:val="11"/>
  </w:num>
  <w:num w:numId="17" w16cid:durableId="1533692805">
    <w:abstractNumId w:val="8"/>
  </w:num>
  <w:num w:numId="18" w16cid:durableId="834419273">
    <w:abstractNumId w:val="1"/>
  </w:num>
  <w:num w:numId="19" w16cid:durableId="815025095">
    <w:abstractNumId w:val="12"/>
  </w:num>
  <w:num w:numId="20" w16cid:durableId="1533613354">
    <w:abstractNumId w:val="24"/>
  </w:num>
  <w:num w:numId="21" w16cid:durableId="1326320539">
    <w:abstractNumId w:val="48"/>
  </w:num>
  <w:num w:numId="22" w16cid:durableId="1004553171">
    <w:abstractNumId w:val="18"/>
  </w:num>
  <w:num w:numId="23" w16cid:durableId="839200187">
    <w:abstractNumId w:val="9"/>
  </w:num>
  <w:num w:numId="24" w16cid:durableId="1203901437">
    <w:abstractNumId w:val="0"/>
  </w:num>
  <w:num w:numId="25" w16cid:durableId="993023158">
    <w:abstractNumId w:val="53"/>
  </w:num>
  <w:num w:numId="26" w16cid:durableId="625939056">
    <w:abstractNumId w:val="44"/>
  </w:num>
  <w:num w:numId="27" w16cid:durableId="1609122489">
    <w:abstractNumId w:val="50"/>
  </w:num>
  <w:num w:numId="28" w16cid:durableId="992029557">
    <w:abstractNumId w:val="28"/>
  </w:num>
  <w:num w:numId="29" w16cid:durableId="1652170986">
    <w:abstractNumId w:val="10"/>
  </w:num>
  <w:num w:numId="30" w16cid:durableId="768544400">
    <w:abstractNumId w:val="29"/>
  </w:num>
  <w:num w:numId="31" w16cid:durableId="1372339303">
    <w:abstractNumId w:val="43"/>
  </w:num>
  <w:num w:numId="32" w16cid:durableId="1666544936">
    <w:abstractNumId w:val="35"/>
  </w:num>
  <w:num w:numId="33" w16cid:durableId="1442458725">
    <w:abstractNumId w:val="32"/>
  </w:num>
  <w:num w:numId="34" w16cid:durableId="1397894020">
    <w:abstractNumId w:val="14"/>
  </w:num>
  <w:num w:numId="35" w16cid:durableId="994841895">
    <w:abstractNumId w:val="17"/>
  </w:num>
  <w:num w:numId="36" w16cid:durableId="250771898">
    <w:abstractNumId w:val="16"/>
  </w:num>
  <w:num w:numId="37" w16cid:durableId="853806073">
    <w:abstractNumId w:val="2"/>
  </w:num>
  <w:num w:numId="38" w16cid:durableId="1530874381">
    <w:abstractNumId w:val="20"/>
  </w:num>
  <w:num w:numId="39" w16cid:durableId="234441679">
    <w:abstractNumId w:val="13"/>
  </w:num>
  <w:num w:numId="40" w16cid:durableId="2112703241">
    <w:abstractNumId w:val="51"/>
  </w:num>
  <w:num w:numId="41" w16cid:durableId="419182093">
    <w:abstractNumId w:val="52"/>
  </w:num>
  <w:num w:numId="42" w16cid:durableId="21518844">
    <w:abstractNumId w:val="41"/>
  </w:num>
  <w:num w:numId="43" w16cid:durableId="11300403">
    <w:abstractNumId w:val="49"/>
  </w:num>
  <w:num w:numId="44" w16cid:durableId="1866283286">
    <w:abstractNumId w:val="25"/>
  </w:num>
  <w:num w:numId="45" w16cid:durableId="1902862372">
    <w:abstractNumId w:val="6"/>
  </w:num>
  <w:num w:numId="46" w16cid:durableId="1144005695">
    <w:abstractNumId w:val="31"/>
  </w:num>
  <w:num w:numId="47" w16cid:durableId="1322661297">
    <w:abstractNumId w:val="46"/>
  </w:num>
  <w:num w:numId="48" w16cid:durableId="2081904491">
    <w:abstractNumId w:val="42"/>
  </w:num>
  <w:num w:numId="49" w16cid:durableId="28798697">
    <w:abstractNumId w:val="22"/>
  </w:num>
  <w:num w:numId="50" w16cid:durableId="1047604651">
    <w:abstractNumId w:val="27"/>
  </w:num>
  <w:num w:numId="51" w16cid:durableId="1979727791">
    <w:abstractNumId w:val="37"/>
  </w:num>
  <w:num w:numId="52" w16cid:durableId="1313563002">
    <w:abstractNumId w:val="30"/>
  </w:num>
  <w:num w:numId="53" w16cid:durableId="1218400859">
    <w:abstractNumId w:val="36"/>
  </w:num>
  <w:num w:numId="54" w16cid:durableId="209770800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E8"/>
    <w:rsid w:val="0000123A"/>
    <w:rsid w:val="00005739"/>
    <w:rsid w:val="0000606D"/>
    <w:rsid w:val="00006306"/>
    <w:rsid w:val="00011661"/>
    <w:rsid w:val="00013C1E"/>
    <w:rsid w:val="00013FB4"/>
    <w:rsid w:val="00015399"/>
    <w:rsid w:val="00025831"/>
    <w:rsid w:val="0003094F"/>
    <w:rsid w:val="00031830"/>
    <w:rsid w:val="00032063"/>
    <w:rsid w:val="00032560"/>
    <w:rsid w:val="00032F97"/>
    <w:rsid w:val="00033195"/>
    <w:rsid w:val="00040B81"/>
    <w:rsid w:val="00043CB4"/>
    <w:rsid w:val="000504C5"/>
    <w:rsid w:val="0005078B"/>
    <w:rsid w:val="0005431E"/>
    <w:rsid w:val="00055698"/>
    <w:rsid w:val="00056CC3"/>
    <w:rsid w:val="00056EC6"/>
    <w:rsid w:val="00060B4C"/>
    <w:rsid w:val="00063570"/>
    <w:rsid w:val="00064818"/>
    <w:rsid w:val="00064B4F"/>
    <w:rsid w:val="00066409"/>
    <w:rsid w:val="00073B9A"/>
    <w:rsid w:val="00077C9F"/>
    <w:rsid w:val="00082033"/>
    <w:rsid w:val="00096AA4"/>
    <w:rsid w:val="000A1DBD"/>
    <w:rsid w:val="000A2162"/>
    <w:rsid w:val="000A6D3B"/>
    <w:rsid w:val="000B39EA"/>
    <w:rsid w:val="000B3C82"/>
    <w:rsid w:val="000B445D"/>
    <w:rsid w:val="000B4D15"/>
    <w:rsid w:val="000B76BA"/>
    <w:rsid w:val="000D10A8"/>
    <w:rsid w:val="000D3B1F"/>
    <w:rsid w:val="000D4AC1"/>
    <w:rsid w:val="000D4EC0"/>
    <w:rsid w:val="000F05F8"/>
    <w:rsid w:val="000F2AD8"/>
    <w:rsid w:val="000F4185"/>
    <w:rsid w:val="000F4BC1"/>
    <w:rsid w:val="0010639C"/>
    <w:rsid w:val="00107AF5"/>
    <w:rsid w:val="00111FE3"/>
    <w:rsid w:val="0011760C"/>
    <w:rsid w:val="001275DB"/>
    <w:rsid w:val="00132B78"/>
    <w:rsid w:val="00140FB9"/>
    <w:rsid w:val="00141EB6"/>
    <w:rsid w:val="00147FFE"/>
    <w:rsid w:val="00152997"/>
    <w:rsid w:val="00153A5C"/>
    <w:rsid w:val="00156B9E"/>
    <w:rsid w:val="00157CFD"/>
    <w:rsid w:val="00162983"/>
    <w:rsid w:val="00162E5C"/>
    <w:rsid w:val="001631E5"/>
    <w:rsid w:val="00171E9E"/>
    <w:rsid w:val="00172593"/>
    <w:rsid w:val="00172843"/>
    <w:rsid w:val="00173570"/>
    <w:rsid w:val="00177D77"/>
    <w:rsid w:val="0018159B"/>
    <w:rsid w:val="00182C4B"/>
    <w:rsid w:val="001931C6"/>
    <w:rsid w:val="001940CC"/>
    <w:rsid w:val="001A08C1"/>
    <w:rsid w:val="001A7B91"/>
    <w:rsid w:val="001C3714"/>
    <w:rsid w:val="001C3969"/>
    <w:rsid w:val="001C69CC"/>
    <w:rsid w:val="001D46F7"/>
    <w:rsid w:val="001E0E2E"/>
    <w:rsid w:val="001E26EF"/>
    <w:rsid w:val="001E2E67"/>
    <w:rsid w:val="001E4224"/>
    <w:rsid w:val="001E7009"/>
    <w:rsid w:val="001E7913"/>
    <w:rsid w:val="001E7E50"/>
    <w:rsid w:val="001E7EC6"/>
    <w:rsid w:val="001F42FB"/>
    <w:rsid w:val="001F6266"/>
    <w:rsid w:val="00202D1B"/>
    <w:rsid w:val="002036C5"/>
    <w:rsid w:val="00216E3C"/>
    <w:rsid w:val="00241479"/>
    <w:rsid w:val="0024165F"/>
    <w:rsid w:val="0024407E"/>
    <w:rsid w:val="00247CD6"/>
    <w:rsid w:val="00251F01"/>
    <w:rsid w:val="00260C13"/>
    <w:rsid w:val="0026240B"/>
    <w:rsid w:val="00266419"/>
    <w:rsid w:val="00291864"/>
    <w:rsid w:val="002A699E"/>
    <w:rsid w:val="002B4AD1"/>
    <w:rsid w:val="002B6B63"/>
    <w:rsid w:val="002C1DEA"/>
    <w:rsid w:val="002C3EBE"/>
    <w:rsid w:val="002C57DE"/>
    <w:rsid w:val="002E3EE3"/>
    <w:rsid w:val="002F26D9"/>
    <w:rsid w:val="002F39D8"/>
    <w:rsid w:val="002F5C6F"/>
    <w:rsid w:val="00301762"/>
    <w:rsid w:val="00303665"/>
    <w:rsid w:val="00324AC6"/>
    <w:rsid w:val="003332A2"/>
    <w:rsid w:val="0033415F"/>
    <w:rsid w:val="00336CB3"/>
    <w:rsid w:val="00341A19"/>
    <w:rsid w:val="003441DE"/>
    <w:rsid w:val="00354595"/>
    <w:rsid w:val="0036104F"/>
    <w:rsid w:val="00361052"/>
    <w:rsid w:val="003610E0"/>
    <w:rsid w:val="00361476"/>
    <w:rsid w:val="00366F25"/>
    <w:rsid w:val="003730EC"/>
    <w:rsid w:val="00373E59"/>
    <w:rsid w:val="0037611E"/>
    <w:rsid w:val="003775A6"/>
    <w:rsid w:val="003775F0"/>
    <w:rsid w:val="00381CFC"/>
    <w:rsid w:val="003820F7"/>
    <w:rsid w:val="00391A4C"/>
    <w:rsid w:val="003951D3"/>
    <w:rsid w:val="00395F3C"/>
    <w:rsid w:val="003A7BB1"/>
    <w:rsid w:val="003B479E"/>
    <w:rsid w:val="003B6FB1"/>
    <w:rsid w:val="003C1018"/>
    <w:rsid w:val="003C40C5"/>
    <w:rsid w:val="003C48DC"/>
    <w:rsid w:val="003D096A"/>
    <w:rsid w:val="003D764A"/>
    <w:rsid w:val="003E0AD2"/>
    <w:rsid w:val="003E2A30"/>
    <w:rsid w:val="003E7B98"/>
    <w:rsid w:val="003F01DC"/>
    <w:rsid w:val="003F3868"/>
    <w:rsid w:val="003F5511"/>
    <w:rsid w:val="003F5604"/>
    <w:rsid w:val="00407E2E"/>
    <w:rsid w:val="00411861"/>
    <w:rsid w:val="0041206A"/>
    <w:rsid w:val="00417526"/>
    <w:rsid w:val="00424A7F"/>
    <w:rsid w:val="004254C4"/>
    <w:rsid w:val="0042671C"/>
    <w:rsid w:val="00431015"/>
    <w:rsid w:val="00431816"/>
    <w:rsid w:val="00431D04"/>
    <w:rsid w:val="00433507"/>
    <w:rsid w:val="00440E6D"/>
    <w:rsid w:val="00441DAE"/>
    <w:rsid w:val="004430AF"/>
    <w:rsid w:val="00450A05"/>
    <w:rsid w:val="00456D97"/>
    <w:rsid w:val="00461791"/>
    <w:rsid w:val="00465AC8"/>
    <w:rsid w:val="00467C67"/>
    <w:rsid w:val="00471DE3"/>
    <w:rsid w:val="004840EB"/>
    <w:rsid w:val="00493A8A"/>
    <w:rsid w:val="004A2A9D"/>
    <w:rsid w:val="004C321A"/>
    <w:rsid w:val="004C3327"/>
    <w:rsid w:val="004C3F4D"/>
    <w:rsid w:val="004C59F5"/>
    <w:rsid w:val="004C5D32"/>
    <w:rsid w:val="004C6D2E"/>
    <w:rsid w:val="004D2217"/>
    <w:rsid w:val="004D4557"/>
    <w:rsid w:val="004D6272"/>
    <w:rsid w:val="004E024D"/>
    <w:rsid w:val="004E3341"/>
    <w:rsid w:val="004E681D"/>
    <w:rsid w:val="004F0006"/>
    <w:rsid w:val="004F63FA"/>
    <w:rsid w:val="004F757F"/>
    <w:rsid w:val="004F77BE"/>
    <w:rsid w:val="00503F21"/>
    <w:rsid w:val="00504847"/>
    <w:rsid w:val="00507B05"/>
    <w:rsid w:val="00515837"/>
    <w:rsid w:val="005326CB"/>
    <w:rsid w:val="0053710D"/>
    <w:rsid w:val="0054076C"/>
    <w:rsid w:val="005535F7"/>
    <w:rsid w:val="00553BCC"/>
    <w:rsid w:val="00560805"/>
    <w:rsid w:val="0056453E"/>
    <w:rsid w:val="005671A0"/>
    <w:rsid w:val="005704DB"/>
    <w:rsid w:val="00570D93"/>
    <w:rsid w:val="0057182B"/>
    <w:rsid w:val="00583546"/>
    <w:rsid w:val="00595BD7"/>
    <w:rsid w:val="00597FC9"/>
    <w:rsid w:val="005A7CE3"/>
    <w:rsid w:val="005B1A6B"/>
    <w:rsid w:val="005B3AE0"/>
    <w:rsid w:val="005B46FB"/>
    <w:rsid w:val="005C33DA"/>
    <w:rsid w:val="005C4499"/>
    <w:rsid w:val="005D5EF1"/>
    <w:rsid w:val="005D6529"/>
    <w:rsid w:val="005D7241"/>
    <w:rsid w:val="005D7A2D"/>
    <w:rsid w:val="005E02B4"/>
    <w:rsid w:val="005E2939"/>
    <w:rsid w:val="005E5483"/>
    <w:rsid w:val="00602256"/>
    <w:rsid w:val="006134C0"/>
    <w:rsid w:val="00613969"/>
    <w:rsid w:val="00635142"/>
    <w:rsid w:val="00640187"/>
    <w:rsid w:val="0064251D"/>
    <w:rsid w:val="00644628"/>
    <w:rsid w:val="00647C50"/>
    <w:rsid w:val="00651C21"/>
    <w:rsid w:val="00663B79"/>
    <w:rsid w:val="0066415A"/>
    <w:rsid w:val="00667D3F"/>
    <w:rsid w:val="00681A43"/>
    <w:rsid w:val="006850BF"/>
    <w:rsid w:val="00685ACF"/>
    <w:rsid w:val="00686FD8"/>
    <w:rsid w:val="00695F6E"/>
    <w:rsid w:val="00697880"/>
    <w:rsid w:val="006A1F8F"/>
    <w:rsid w:val="006A2FF4"/>
    <w:rsid w:val="006A7AED"/>
    <w:rsid w:val="006B0F4F"/>
    <w:rsid w:val="006B1D80"/>
    <w:rsid w:val="006B59F7"/>
    <w:rsid w:val="006C15B3"/>
    <w:rsid w:val="006C19E7"/>
    <w:rsid w:val="006E33E2"/>
    <w:rsid w:val="006E42F2"/>
    <w:rsid w:val="006E66E9"/>
    <w:rsid w:val="006F2042"/>
    <w:rsid w:val="006F2C76"/>
    <w:rsid w:val="006F7790"/>
    <w:rsid w:val="007000CD"/>
    <w:rsid w:val="00702CD1"/>
    <w:rsid w:val="00705E7C"/>
    <w:rsid w:val="007123BD"/>
    <w:rsid w:val="00720FC8"/>
    <w:rsid w:val="0072244A"/>
    <w:rsid w:val="007323E7"/>
    <w:rsid w:val="00734B5E"/>
    <w:rsid w:val="00735A70"/>
    <w:rsid w:val="00735AC3"/>
    <w:rsid w:val="00740323"/>
    <w:rsid w:val="00753173"/>
    <w:rsid w:val="00754981"/>
    <w:rsid w:val="00755DD5"/>
    <w:rsid w:val="007569CF"/>
    <w:rsid w:val="00761103"/>
    <w:rsid w:val="0076198E"/>
    <w:rsid w:val="007626D3"/>
    <w:rsid w:val="00765471"/>
    <w:rsid w:val="00772F96"/>
    <w:rsid w:val="00774F72"/>
    <w:rsid w:val="00794081"/>
    <w:rsid w:val="00795318"/>
    <w:rsid w:val="007A3D6F"/>
    <w:rsid w:val="007B0E57"/>
    <w:rsid w:val="007B3762"/>
    <w:rsid w:val="007C6F5E"/>
    <w:rsid w:val="007D7901"/>
    <w:rsid w:val="007E0B0D"/>
    <w:rsid w:val="007E0FF4"/>
    <w:rsid w:val="007E4BCE"/>
    <w:rsid w:val="007E5C66"/>
    <w:rsid w:val="007E6515"/>
    <w:rsid w:val="007F3882"/>
    <w:rsid w:val="007F3EC2"/>
    <w:rsid w:val="007F564D"/>
    <w:rsid w:val="007F7817"/>
    <w:rsid w:val="00805721"/>
    <w:rsid w:val="00806F9F"/>
    <w:rsid w:val="00812F4B"/>
    <w:rsid w:val="00813A7B"/>
    <w:rsid w:val="00814B1A"/>
    <w:rsid w:val="00814D44"/>
    <w:rsid w:val="008165D9"/>
    <w:rsid w:val="00817D7C"/>
    <w:rsid w:val="00821220"/>
    <w:rsid w:val="00830776"/>
    <w:rsid w:val="00830DC2"/>
    <w:rsid w:val="008317C5"/>
    <w:rsid w:val="00832F1B"/>
    <w:rsid w:val="00837633"/>
    <w:rsid w:val="008433C0"/>
    <w:rsid w:val="008519B1"/>
    <w:rsid w:val="00854106"/>
    <w:rsid w:val="00857748"/>
    <w:rsid w:val="00880C64"/>
    <w:rsid w:val="008865F1"/>
    <w:rsid w:val="008875C3"/>
    <w:rsid w:val="008914CE"/>
    <w:rsid w:val="00892115"/>
    <w:rsid w:val="0089371F"/>
    <w:rsid w:val="00896B9F"/>
    <w:rsid w:val="00897AE8"/>
    <w:rsid w:val="008A1D00"/>
    <w:rsid w:val="008A6ACB"/>
    <w:rsid w:val="008B468B"/>
    <w:rsid w:val="008B541A"/>
    <w:rsid w:val="008C0CFA"/>
    <w:rsid w:val="008C5538"/>
    <w:rsid w:val="008D0EE0"/>
    <w:rsid w:val="008D2AF8"/>
    <w:rsid w:val="008D3FA1"/>
    <w:rsid w:val="008D6B58"/>
    <w:rsid w:val="008E316E"/>
    <w:rsid w:val="009006C9"/>
    <w:rsid w:val="00907722"/>
    <w:rsid w:val="009116DE"/>
    <w:rsid w:val="00912C3B"/>
    <w:rsid w:val="00914D4B"/>
    <w:rsid w:val="00914E46"/>
    <w:rsid w:val="009154D2"/>
    <w:rsid w:val="00916628"/>
    <w:rsid w:val="009169BC"/>
    <w:rsid w:val="00921381"/>
    <w:rsid w:val="00924817"/>
    <w:rsid w:val="00925CB2"/>
    <w:rsid w:val="00926942"/>
    <w:rsid w:val="00932DAD"/>
    <w:rsid w:val="00935416"/>
    <w:rsid w:val="00937933"/>
    <w:rsid w:val="009430A0"/>
    <w:rsid w:val="00947E23"/>
    <w:rsid w:val="0095024A"/>
    <w:rsid w:val="00955B97"/>
    <w:rsid w:val="00956AAB"/>
    <w:rsid w:val="00962332"/>
    <w:rsid w:val="00966432"/>
    <w:rsid w:val="00966866"/>
    <w:rsid w:val="0097066C"/>
    <w:rsid w:val="0097431A"/>
    <w:rsid w:val="00974D7C"/>
    <w:rsid w:val="009937BC"/>
    <w:rsid w:val="009A4C34"/>
    <w:rsid w:val="009A598C"/>
    <w:rsid w:val="009A6473"/>
    <w:rsid w:val="009D220F"/>
    <w:rsid w:val="009D673E"/>
    <w:rsid w:val="009D76DA"/>
    <w:rsid w:val="009E0F1E"/>
    <w:rsid w:val="009E3360"/>
    <w:rsid w:val="009E38C4"/>
    <w:rsid w:val="009E47A7"/>
    <w:rsid w:val="009E5F89"/>
    <w:rsid w:val="009E753B"/>
    <w:rsid w:val="009F0838"/>
    <w:rsid w:val="009F386A"/>
    <w:rsid w:val="00A053EE"/>
    <w:rsid w:val="00A06505"/>
    <w:rsid w:val="00A13352"/>
    <w:rsid w:val="00A1379F"/>
    <w:rsid w:val="00A17EF5"/>
    <w:rsid w:val="00A24CCE"/>
    <w:rsid w:val="00A30559"/>
    <w:rsid w:val="00A30E1E"/>
    <w:rsid w:val="00A34906"/>
    <w:rsid w:val="00A379A1"/>
    <w:rsid w:val="00A42201"/>
    <w:rsid w:val="00A42BA7"/>
    <w:rsid w:val="00A43567"/>
    <w:rsid w:val="00A459CC"/>
    <w:rsid w:val="00A5302B"/>
    <w:rsid w:val="00A541D4"/>
    <w:rsid w:val="00A54A63"/>
    <w:rsid w:val="00A60912"/>
    <w:rsid w:val="00A66875"/>
    <w:rsid w:val="00A704CF"/>
    <w:rsid w:val="00A70DE9"/>
    <w:rsid w:val="00A71C20"/>
    <w:rsid w:val="00A7239C"/>
    <w:rsid w:val="00A7466A"/>
    <w:rsid w:val="00A80265"/>
    <w:rsid w:val="00A810C9"/>
    <w:rsid w:val="00A97817"/>
    <w:rsid w:val="00AA5C02"/>
    <w:rsid w:val="00AB132A"/>
    <w:rsid w:val="00AE48A8"/>
    <w:rsid w:val="00AE531B"/>
    <w:rsid w:val="00B06F0E"/>
    <w:rsid w:val="00B07FFA"/>
    <w:rsid w:val="00B145B0"/>
    <w:rsid w:val="00B258D4"/>
    <w:rsid w:val="00B4359F"/>
    <w:rsid w:val="00B456F8"/>
    <w:rsid w:val="00B5269C"/>
    <w:rsid w:val="00B54BD6"/>
    <w:rsid w:val="00B556D2"/>
    <w:rsid w:val="00B60102"/>
    <w:rsid w:val="00B614ED"/>
    <w:rsid w:val="00B62FC7"/>
    <w:rsid w:val="00B64D22"/>
    <w:rsid w:val="00B655E0"/>
    <w:rsid w:val="00B65C36"/>
    <w:rsid w:val="00B7120B"/>
    <w:rsid w:val="00B85475"/>
    <w:rsid w:val="00B911E9"/>
    <w:rsid w:val="00B931A5"/>
    <w:rsid w:val="00B95455"/>
    <w:rsid w:val="00BA1915"/>
    <w:rsid w:val="00BA2AC6"/>
    <w:rsid w:val="00BA421C"/>
    <w:rsid w:val="00BA7F3A"/>
    <w:rsid w:val="00BB3082"/>
    <w:rsid w:val="00BC2A9D"/>
    <w:rsid w:val="00BC4707"/>
    <w:rsid w:val="00BC4BFD"/>
    <w:rsid w:val="00BF2644"/>
    <w:rsid w:val="00BF7071"/>
    <w:rsid w:val="00C037D0"/>
    <w:rsid w:val="00C05DAD"/>
    <w:rsid w:val="00C10327"/>
    <w:rsid w:val="00C12EEA"/>
    <w:rsid w:val="00C144A9"/>
    <w:rsid w:val="00C153D2"/>
    <w:rsid w:val="00C329AE"/>
    <w:rsid w:val="00C375DF"/>
    <w:rsid w:val="00C4550E"/>
    <w:rsid w:val="00C462EF"/>
    <w:rsid w:val="00C558EB"/>
    <w:rsid w:val="00C55BDC"/>
    <w:rsid w:val="00C6119D"/>
    <w:rsid w:val="00C63D81"/>
    <w:rsid w:val="00C8240D"/>
    <w:rsid w:val="00C84E4A"/>
    <w:rsid w:val="00C925C6"/>
    <w:rsid w:val="00CA251B"/>
    <w:rsid w:val="00CA302B"/>
    <w:rsid w:val="00CA672B"/>
    <w:rsid w:val="00CB2709"/>
    <w:rsid w:val="00CB69EB"/>
    <w:rsid w:val="00CB6A5C"/>
    <w:rsid w:val="00CC3308"/>
    <w:rsid w:val="00CC4150"/>
    <w:rsid w:val="00CC4E80"/>
    <w:rsid w:val="00CD050C"/>
    <w:rsid w:val="00CD350D"/>
    <w:rsid w:val="00CE2D3A"/>
    <w:rsid w:val="00CE4014"/>
    <w:rsid w:val="00D02BF6"/>
    <w:rsid w:val="00D10375"/>
    <w:rsid w:val="00D1164E"/>
    <w:rsid w:val="00D123ED"/>
    <w:rsid w:val="00D1484E"/>
    <w:rsid w:val="00D1566C"/>
    <w:rsid w:val="00D16F1C"/>
    <w:rsid w:val="00D26A63"/>
    <w:rsid w:val="00D3338F"/>
    <w:rsid w:val="00D36A63"/>
    <w:rsid w:val="00D4148E"/>
    <w:rsid w:val="00D415ED"/>
    <w:rsid w:val="00D437FD"/>
    <w:rsid w:val="00D56616"/>
    <w:rsid w:val="00D5679D"/>
    <w:rsid w:val="00D57E9C"/>
    <w:rsid w:val="00D657C6"/>
    <w:rsid w:val="00D67C95"/>
    <w:rsid w:val="00D753E5"/>
    <w:rsid w:val="00D75884"/>
    <w:rsid w:val="00D77100"/>
    <w:rsid w:val="00D83512"/>
    <w:rsid w:val="00D8460B"/>
    <w:rsid w:val="00DA1B73"/>
    <w:rsid w:val="00DA2A42"/>
    <w:rsid w:val="00DA3ACB"/>
    <w:rsid w:val="00DA625F"/>
    <w:rsid w:val="00DB0D2B"/>
    <w:rsid w:val="00DB6964"/>
    <w:rsid w:val="00DC1691"/>
    <w:rsid w:val="00DC22EB"/>
    <w:rsid w:val="00DD10A5"/>
    <w:rsid w:val="00DD44BF"/>
    <w:rsid w:val="00DD4CA3"/>
    <w:rsid w:val="00DD5F2B"/>
    <w:rsid w:val="00DE00FD"/>
    <w:rsid w:val="00DE5DD8"/>
    <w:rsid w:val="00DE66DF"/>
    <w:rsid w:val="00DF1C40"/>
    <w:rsid w:val="00DF25F5"/>
    <w:rsid w:val="00E00D01"/>
    <w:rsid w:val="00E067E9"/>
    <w:rsid w:val="00E07C35"/>
    <w:rsid w:val="00E130FF"/>
    <w:rsid w:val="00E13E36"/>
    <w:rsid w:val="00E146C1"/>
    <w:rsid w:val="00E152BC"/>
    <w:rsid w:val="00E1770A"/>
    <w:rsid w:val="00E21010"/>
    <w:rsid w:val="00E22A58"/>
    <w:rsid w:val="00E27118"/>
    <w:rsid w:val="00E44D42"/>
    <w:rsid w:val="00E569EF"/>
    <w:rsid w:val="00E60651"/>
    <w:rsid w:val="00E6695F"/>
    <w:rsid w:val="00E752A6"/>
    <w:rsid w:val="00E815D7"/>
    <w:rsid w:val="00E84807"/>
    <w:rsid w:val="00E85821"/>
    <w:rsid w:val="00E86009"/>
    <w:rsid w:val="00E90D45"/>
    <w:rsid w:val="00E96714"/>
    <w:rsid w:val="00EB1198"/>
    <w:rsid w:val="00EB2DA6"/>
    <w:rsid w:val="00EB45FF"/>
    <w:rsid w:val="00EB7FC2"/>
    <w:rsid w:val="00EC1827"/>
    <w:rsid w:val="00ED097D"/>
    <w:rsid w:val="00ED3748"/>
    <w:rsid w:val="00ED48A7"/>
    <w:rsid w:val="00ED516F"/>
    <w:rsid w:val="00ED53C2"/>
    <w:rsid w:val="00ED6BF8"/>
    <w:rsid w:val="00EE43A5"/>
    <w:rsid w:val="00EE61B7"/>
    <w:rsid w:val="00EF13A7"/>
    <w:rsid w:val="00EF4F7A"/>
    <w:rsid w:val="00EF676F"/>
    <w:rsid w:val="00F020C5"/>
    <w:rsid w:val="00F05556"/>
    <w:rsid w:val="00F21B43"/>
    <w:rsid w:val="00F23E38"/>
    <w:rsid w:val="00F36456"/>
    <w:rsid w:val="00F37F08"/>
    <w:rsid w:val="00F42F17"/>
    <w:rsid w:val="00F46471"/>
    <w:rsid w:val="00F50B01"/>
    <w:rsid w:val="00F56D49"/>
    <w:rsid w:val="00F578ED"/>
    <w:rsid w:val="00F70BEF"/>
    <w:rsid w:val="00F74F9F"/>
    <w:rsid w:val="00F818DA"/>
    <w:rsid w:val="00F82C4F"/>
    <w:rsid w:val="00FB34DB"/>
    <w:rsid w:val="00FB7265"/>
    <w:rsid w:val="00FB7D45"/>
    <w:rsid w:val="00FC512F"/>
    <w:rsid w:val="00FC65ED"/>
    <w:rsid w:val="00FD20B6"/>
    <w:rsid w:val="00FD610C"/>
    <w:rsid w:val="00FD6E2F"/>
    <w:rsid w:val="00FE170E"/>
    <w:rsid w:val="00FE2A85"/>
    <w:rsid w:val="00FE5CEC"/>
    <w:rsid w:val="00FF670E"/>
    <w:rsid w:val="00FF76EE"/>
    <w:rsid w:val="00FF7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BE22"/>
  <w15:chartTrackingRefBased/>
  <w15:docId w15:val="{51A8864E-FD0A-4E7C-9E46-F437FC34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F97"/>
  </w:style>
  <w:style w:type="paragraph" w:styleId="Heading1">
    <w:name w:val="heading 1"/>
    <w:basedOn w:val="Normal"/>
    <w:next w:val="Normal"/>
    <w:link w:val="Heading1Char"/>
    <w:uiPriority w:val="9"/>
    <w:qFormat/>
    <w:rsid w:val="00033195"/>
    <w:pPr>
      <w:outlineLvl w:val="0"/>
    </w:pPr>
    <w:rPr>
      <w:rFonts w:ascii="Comfortaa" w:hAnsi="Comfortaa"/>
      <w:b/>
      <w:color w:val="D3420D" w:themeColor="accent1"/>
      <w:sz w:val="48"/>
      <w:szCs w:val="52"/>
    </w:rPr>
  </w:style>
  <w:style w:type="paragraph" w:styleId="Heading2">
    <w:name w:val="heading 2"/>
    <w:basedOn w:val="Normal"/>
    <w:next w:val="Normal"/>
    <w:link w:val="Heading2Char"/>
    <w:uiPriority w:val="9"/>
    <w:unhideWhenUsed/>
    <w:qFormat/>
    <w:rsid w:val="0057182B"/>
    <w:pPr>
      <w:spacing w:before="120" w:after="80"/>
      <w:outlineLvl w:val="1"/>
    </w:pPr>
    <w:rPr>
      <w:rFonts w:asciiTheme="majorHAnsi" w:hAnsiTheme="majorHAnsi"/>
      <w:b/>
      <w:color w:val="D3420D" w:themeColor="accent1"/>
      <w:sz w:val="32"/>
    </w:rPr>
  </w:style>
  <w:style w:type="paragraph" w:styleId="Heading3">
    <w:name w:val="heading 3"/>
    <w:basedOn w:val="Normal"/>
    <w:next w:val="Normal"/>
    <w:link w:val="Heading3Char"/>
    <w:uiPriority w:val="9"/>
    <w:unhideWhenUsed/>
    <w:qFormat/>
    <w:rsid w:val="00341A19"/>
    <w:pPr>
      <w:outlineLvl w:val="2"/>
    </w:pPr>
    <w:rPr>
      <w:rFonts w:asciiTheme="majorHAnsi" w:hAnsiTheme="majorHAnsi"/>
      <w:b/>
      <w:sz w:val="30"/>
    </w:rPr>
  </w:style>
  <w:style w:type="paragraph" w:styleId="Heading4">
    <w:name w:val="heading 4"/>
    <w:basedOn w:val="Normal"/>
    <w:next w:val="Normal"/>
    <w:link w:val="Heading4Char"/>
    <w:uiPriority w:val="9"/>
    <w:unhideWhenUsed/>
    <w:qFormat/>
    <w:rsid w:val="00341A19"/>
    <w:pPr>
      <w:outlineLvl w:val="3"/>
    </w:pPr>
    <w:rPr>
      <w:rFonts w:asciiTheme="majorHAnsi" w:hAnsiTheme="majorHAnsi"/>
      <w:sz w:val="30"/>
    </w:rPr>
  </w:style>
  <w:style w:type="paragraph" w:styleId="Heading5">
    <w:name w:val="heading 5"/>
    <w:basedOn w:val="Normal"/>
    <w:next w:val="Normal"/>
    <w:link w:val="Heading5Char"/>
    <w:uiPriority w:val="9"/>
    <w:unhideWhenUsed/>
    <w:qFormat/>
    <w:rsid w:val="00341A19"/>
    <w:pPr>
      <w:outlineLvl w:val="4"/>
    </w:pPr>
    <w:rPr>
      <w:i/>
      <w:sz w:val="26"/>
    </w:rPr>
  </w:style>
  <w:style w:type="paragraph" w:styleId="Heading6">
    <w:name w:val="heading 6"/>
    <w:basedOn w:val="Normal"/>
    <w:next w:val="Normal"/>
    <w:link w:val="Heading6Char"/>
    <w:uiPriority w:val="9"/>
    <w:semiHidden/>
    <w:unhideWhenUsed/>
    <w:qFormat/>
    <w:rsid w:val="006134C0"/>
    <w:pPr>
      <w:keepNext/>
      <w:keepLines/>
      <w:spacing w:before="40" w:after="0"/>
      <w:outlineLvl w:val="5"/>
    </w:pPr>
    <w:rPr>
      <w:rFonts w:asciiTheme="majorHAnsi" w:eastAsiaTheme="majorEastAsia" w:hAnsiTheme="majorHAnsi" w:cstheme="majorBidi"/>
      <w:i/>
      <w:iCs/>
      <w:caps/>
      <w:color w:val="692106" w:themeColor="accent1" w:themeShade="80"/>
    </w:rPr>
  </w:style>
  <w:style w:type="paragraph" w:styleId="Heading7">
    <w:name w:val="heading 7"/>
    <w:basedOn w:val="Normal"/>
    <w:next w:val="Normal"/>
    <w:link w:val="Heading7Char"/>
    <w:uiPriority w:val="9"/>
    <w:semiHidden/>
    <w:unhideWhenUsed/>
    <w:qFormat/>
    <w:rsid w:val="006134C0"/>
    <w:pPr>
      <w:keepNext/>
      <w:keepLines/>
      <w:spacing w:before="40" w:after="0"/>
      <w:outlineLvl w:val="6"/>
    </w:pPr>
    <w:rPr>
      <w:rFonts w:asciiTheme="majorHAnsi" w:eastAsiaTheme="majorEastAsia" w:hAnsiTheme="majorHAnsi" w:cstheme="majorBidi"/>
      <w:b/>
      <w:bCs/>
      <w:color w:val="692106" w:themeColor="accent1" w:themeShade="80"/>
    </w:rPr>
  </w:style>
  <w:style w:type="paragraph" w:styleId="Heading8">
    <w:name w:val="heading 8"/>
    <w:basedOn w:val="Normal"/>
    <w:next w:val="Normal"/>
    <w:link w:val="Heading8Char"/>
    <w:uiPriority w:val="9"/>
    <w:semiHidden/>
    <w:unhideWhenUsed/>
    <w:qFormat/>
    <w:rsid w:val="006134C0"/>
    <w:pPr>
      <w:keepNext/>
      <w:keepLines/>
      <w:spacing w:before="40" w:after="0"/>
      <w:outlineLvl w:val="7"/>
    </w:pPr>
    <w:rPr>
      <w:rFonts w:asciiTheme="majorHAnsi" w:eastAsiaTheme="majorEastAsia" w:hAnsiTheme="majorHAnsi" w:cstheme="majorBidi"/>
      <w:b/>
      <w:bCs/>
      <w:i/>
      <w:iCs/>
      <w:color w:val="692106" w:themeColor="accent1" w:themeShade="80"/>
    </w:rPr>
  </w:style>
  <w:style w:type="paragraph" w:styleId="Heading9">
    <w:name w:val="heading 9"/>
    <w:basedOn w:val="Normal"/>
    <w:next w:val="Normal"/>
    <w:link w:val="Heading9Char"/>
    <w:uiPriority w:val="9"/>
    <w:semiHidden/>
    <w:unhideWhenUsed/>
    <w:qFormat/>
    <w:rsid w:val="006134C0"/>
    <w:pPr>
      <w:keepNext/>
      <w:keepLines/>
      <w:spacing w:before="40" w:after="0"/>
      <w:outlineLvl w:val="8"/>
    </w:pPr>
    <w:rPr>
      <w:rFonts w:asciiTheme="majorHAnsi" w:eastAsiaTheme="majorEastAsia" w:hAnsiTheme="majorHAnsi" w:cstheme="majorBidi"/>
      <w:i/>
      <w:iCs/>
      <w:color w:val="69210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95"/>
    <w:rPr>
      <w:rFonts w:ascii="Comfortaa" w:hAnsi="Comfortaa"/>
      <w:b/>
      <w:color w:val="D3420D" w:themeColor="accent1"/>
      <w:sz w:val="48"/>
      <w:szCs w:val="52"/>
    </w:rPr>
  </w:style>
  <w:style w:type="character" w:customStyle="1" w:styleId="Heading2Char">
    <w:name w:val="Heading 2 Char"/>
    <w:basedOn w:val="DefaultParagraphFont"/>
    <w:link w:val="Heading2"/>
    <w:uiPriority w:val="9"/>
    <w:rsid w:val="0057182B"/>
    <w:rPr>
      <w:rFonts w:asciiTheme="majorHAnsi" w:hAnsiTheme="majorHAnsi"/>
      <w:b/>
      <w:color w:val="D3420D" w:themeColor="accent1"/>
      <w:sz w:val="32"/>
    </w:rPr>
  </w:style>
  <w:style w:type="character" w:customStyle="1" w:styleId="Heading3Char">
    <w:name w:val="Heading 3 Char"/>
    <w:basedOn w:val="DefaultParagraphFont"/>
    <w:link w:val="Heading3"/>
    <w:uiPriority w:val="9"/>
    <w:rsid w:val="00341A19"/>
    <w:rPr>
      <w:rFonts w:asciiTheme="majorHAnsi" w:hAnsiTheme="majorHAnsi"/>
      <w:b/>
      <w:sz w:val="30"/>
    </w:rPr>
  </w:style>
  <w:style w:type="character" w:customStyle="1" w:styleId="Heading4Char">
    <w:name w:val="Heading 4 Char"/>
    <w:basedOn w:val="DefaultParagraphFont"/>
    <w:link w:val="Heading4"/>
    <w:uiPriority w:val="9"/>
    <w:rsid w:val="00341A19"/>
    <w:rPr>
      <w:rFonts w:asciiTheme="majorHAnsi" w:hAnsiTheme="majorHAnsi"/>
      <w:sz w:val="30"/>
    </w:rPr>
  </w:style>
  <w:style w:type="paragraph" w:styleId="Header">
    <w:name w:val="header"/>
    <w:basedOn w:val="Normal"/>
    <w:link w:val="HeaderChar"/>
    <w:uiPriority w:val="99"/>
    <w:unhideWhenUsed/>
    <w:rsid w:val="00CD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50C"/>
  </w:style>
  <w:style w:type="paragraph" w:styleId="Footer">
    <w:name w:val="footer"/>
    <w:basedOn w:val="Normal"/>
    <w:link w:val="FooterChar"/>
    <w:uiPriority w:val="99"/>
    <w:unhideWhenUsed/>
    <w:rsid w:val="00CD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50C"/>
  </w:style>
  <w:style w:type="paragraph" w:styleId="Subtitle">
    <w:name w:val="Subtitle"/>
    <w:basedOn w:val="Normal"/>
    <w:next w:val="Normal"/>
    <w:link w:val="SubtitleChar"/>
    <w:uiPriority w:val="11"/>
    <w:qFormat/>
    <w:rsid w:val="00033195"/>
    <w:pPr>
      <w:spacing w:line="276" w:lineRule="auto"/>
    </w:pPr>
    <w:rPr>
      <w:sz w:val="30"/>
      <w:szCs w:val="32"/>
    </w:rPr>
  </w:style>
  <w:style w:type="character" w:customStyle="1" w:styleId="SubtitleChar">
    <w:name w:val="Subtitle Char"/>
    <w:basedOn w:val="DefaultParagraphFont"/>
    <w:link w:val="Subtitle"/>
    <w:uiPriority w:val="11"/>
    <w:rsid w:val="00033195"/>
    <w:rPr>
      <w:sz w:val="30"/>
      <w:szCs w:val="32"/>
    </w:rPr>
  </w:style>
  <w:style w:type="character" w:customStyle="1" w:styleId="apple-converted-space">
    <w:name w:val="apple-converted-space"/>
    <w:basedOn w:val="DefaultParagraphFont"/>
    <w:rsid w:val="006134C0"/>
  </w:style>
  <w:style w:type="character" w:customStyle="1" w:styleId="Heading5Char">
    <w:name w:val="Heading 5 Char"/>
    <w:basedOn w:val="DefaultParagraphFont"/>
    <w:link w:val="Heading5"/>
    <w:uiPriority w:val="9"/>
    <w:rsid w:val="00341A19"/>
    <w:rPr>
      <w:i/>
      <w:sz w:val="26"/>
    </w:rPr>
  </w:style>
  <w:style w:type="character" w:customStyle="1" w:styleId="Heading6Char">
    <w:name w:val="Heading 6 Char"/>
    <w:basedOn w:val="DefaultParagraphFont"/>
    <w:link w:val="Heading6"/>
    <w:uiPriority w:val="9"/>
    <w:semiHidden/>
    <w:rsid w:val="006134C0"/>
    <w:rPr>
      <w:rFonts w:asciiTheme="majorHAnsi" w:eastAsiaTheme="majorEastAsia" w:hAnsiTheme="majorHAnsi" w:cstheme="majorBidi"/>
      <w:i/>
      <w:iCs/>
      <w:caps/>
      <w:color w:val="692106" w:themeColor="accent1" w:themeShade="80"/>
    </w:rPr>
  </w:style>
  <w:style w:type="character" w:customStyle="1" w:styleId="Heading7Char">
    <w:name w:val="Heading 7 Char"/>
    <w:basedOn w:val="DefaultParagraphFont"/>
    <w:link w:val="Heading7"/>
    <w:uiPriority w:val="9"/>
    <w:semiHidden/>
    <w:rsid w:val="006134C0"/>
    <w:rPr>
      <w:rFonts w:asciiTheme="majorHAnsi" w:eastAsiaTheme="majorEastAsia" w:hAnsiTheme="majorHAnsi" w:cstheme="majorBidi"/>
      <w:b/>
      <w:bCs/>
      <w:color w:val="692106" w:themeColor="accent1" w:themeShade="80"/>
    </w:rPr>
  </w:style>
  <w:style w:type="character" w:customStyle="1" w:styleId="Heading8Char">
    <w:name w:val="Heading 8 Char"/>
    <w:basedOn w:val="DefaultParagraphFont"/>
    <w:link w:val="Heading8"/>
    <w:uiPriority w:val="9"/>
    <w:semiHidden/>
    <w:rsid w:val="006134C0"/>
    <w:rPr>
      <w:rFonts w:asciiTheme="majorHAnsi" w:eastAsiaTheme="majorEastAsia" w:hAnsiTheme="majorHAnsi" w:cstheme="majorBidi"/>
      <w:b/>
      <w:bCs/>
      <w:i/>
      <w:iCs/>
      <w:color w:val="692106" w:themeColor="accent1" w:themeShade="80"/>
    </w:rPr>
  </w:style>
  <w:style w:type="character" w:customStyle="1" w:styleId="Heading9Char">
    <w:name w:val="Heading 9 Char"/>
    <w:basedOn w:val="DefaultParagraphFont"/>
    <w:link w:val="Heading9"/>
    <w:uiPriority w:val="9"/>
    <w:semiHidden/>
    <w:rsid w:val="006134C0"/>
    <w:rPr>
      <w:rFonts w:asciiTheme="majorHAnsi" w:eastAsiaTheme="majorEastAsia" w:hAnsiTheme="majorHAnsi" w:cstheme="majorBidi"/>
      <w:i/>
      <w:iCs/>
      <w:color w:val="692106" w:themeColor="accent1" w:themeShade="80"/>
    </w:rPr>
  </w:style>
  <w:style w:type="paragraph" w:styleId="Caption">
    <w:name w:val="caption"/>
    <w:basedOn w:val="Normal"/>
    <w:next w:val="Normal"/>
    <w:uiPriority w:val="35"/>
    <w:unhideWhenUsed/>
    <w:qFormat/>
    <w:rsid w:val="00DF25F5"/>
    <w:pPr>
      <w:spacing w:line="240" w:lineRule="auto"/>
    </w:pPr>
    <w:rPr>
      <w:bCs/>
      <w:smallCaps/>
      <w:color w:val="44546A" w:themeColor="text2"/>
    </w:rPr>
  </w:style>
  <w:style w:type="paragraph" w:styleId="Title">
    <w:name w:val="Title"/>
    <w:basedOn w:val="Normal"/>
    <w:next w:val="Normal"/>
    <w:link w:val="TitleChar"/>
    <w:uiPriority w:val="10"/>
    <w:qFormat/>
    <w:rsid w:val="008865F1"/>
    <w:rPr>
      <w:rFonts w:ascii="Comfortaa" w:hAnsi="Comfortaa"/>
      <w:color w:val="D3420D" w:themeColor="accent1"/>
      <w:sz w:val="72"/>
      <w:szCs w:val="72"/>
    </w:rPr>
  </w:style>
  <w:style w:type="character" w:customStyle="1" w:styleId="TitleChar">
    <w:name w:val="Title Char"/>
    <w:basedOn w:val="DefaultParagraphFont"/>
    <w:link w:val="Title"/>
    <w:uiPriority w:val="10"/>
    <w:rsid w:val="008865F1"/>
    <w:rPr>
      <w:rFonts w:ascii="Comfortaa" w:hAnsi="Comfortaa"/>
      <w:color w:val="D3420D" w:themeColor="accent1"/>
      <w:sz w:val="72"/>
      <w:szCs w:val="72"/>
    </w:rPr>
  </w:style>
  <w:style w:type="character" w:styleId="Strong">
    <w:name w:val="Strong"/>
    <w:basedOn w:val="DefaultParagraphFont"/>
    <w:uiPriority w:val="22"/>
    <w:qFormat/>
    <w:rsid w:val="006134C0"/>
    <w:rPr>
      <w:b/>
      <w:bCs/>
    </w:rPr>
  </w:style>
  <w:style w:type="character" w:styleId="Emphasis">
    <w:name w:val="Emphasis"/>
    <w:basedOn w:val="DefaultParagraphFont"/>
    <w:uiPriority w:val="20"/>
    <w:qFormat/>
    <w:rsid w:val="006134C0"/>
    <w:rPr>
      <w:i/>
      <w:iCs/>
    </w:rPr>
  </w:style>
  <w:style w:type="paragraph" w:styleId="NoSpacing">
    <w:name w:val="No Spacing"/>
    <w:link w:val="NoSpacingChar"/>
    <w:uiPriority w:val="1"/>
    <w:qFormat/>
    <w:rsid w:val="006134C0"/>
    <w:pPr>
      <w:spacing w:after="0" w:line="240" w:lineRule="auto"/>
    </w:pPr>
  </w:style>
  <w:style w:type="paragraph" w:styleId="Quote">
    <w:name w:val="Quote"/>
    <w:basedOn w:val="Normal"/>
    <w:next w:val="Normal"/>
    <w:link w:val="QuoteChar"/>
    <w:uiPriority w:val="29"/>
    <w:qFormat/>
    <w:rsid w:val="00153A5C"/>
    <w:pPr>
      <w:ind w:left="720" w:right="720"/>
    </w:pPr>
    <w:rPr>
      <w:rFonts w:asciiTheme="majorHAnsi" w:hAnsiTheme="majorHAnsi" w:cstheme="minorHAnsi"/>
      <w:sz w:val="28"/>
    </w:rPr>
  </w:style>
  <w:style w:type="character" w:customStyle="1" w:styleId="QuoteChar">
    <w:name w:val="Quote Char"/>
    <w:basedOn w:val="DefaultParagraphFont"/>
    <w:link w:val="Quote"/>
    <w:uiPriority w:val="29"/>
    <w:rsid w:val="00153A5C"/>
    <w:rPr>
      <w:rFonts w:asciiTheme="majorHAnsi" w:hAnsiTheme="majorHAnsi" w:cstheme="minorHAnsi"/>
      <w:sz w:val="28"/>
    </w:rPr>
  </w:style>
  <w:style w:type="paragraph" w:styleId="IntenseQuote">
    <w:name w:val="Intense Quote"/>
    <w:basedOn w:val="Quote"/>
    <w:next w:val="Normal"/>
    <w:link w:val="IntenseQuoteChar"/>
    <w:uiPriority w:val="30"/>
    <w:qFormat/>
    <w:rsid w:val="002B6B63"/>
    <w:pPr>
      <w:pBdr>
        <w:top w:val="single" w:sz="12" w:space="6" w:color="15828E" w:themeColor="accent4"/>
      </w:pBdr>
      <w:spacing w:before="120" w:after="240" w:line="240" w:lineRule="auto"/>
      <w:jc w:val="center"/>
    </w:pPr>
    <w:rPr>
      <w:rFonts w:eastAsiaTheme="majorEastAsia" w:cstheme="majorBidi"/>
      <w:color w:val="15828E" w:themeColor="accent4"/>
      <w:spacing w:val="-6"/>
      <w:sz w:val="32"/>
      <w:szCs w:val="32"/>
    </w:rPr>
  </w:style>
  <w:style w:type="character" w:customStyle="1" w:styleId="IntenseQuoteChar">
    <w:name w:val="Intense Quote Char"/>
    <w:basedOn w:val="DefaultParagraphFont"/>
    <w:link w:val="IntenseQuote"/>
    <w:uiPriority w:val="30"/>
    <w:rsid w:val="002B6B63"/>
    <w:rPr>
      <w:rFonts w:asciiTheme="majorHAnsi" w:eastAsiaTheme="majorEastAsia" w:hAnsiTheme="majorHAnsi" w:cstheme="majorBidi"/>
      <w:color w:val="15828E" w:themeColor="accent4"/>
      <w:spacing w:val="-6"/>
      <w:sz w:val="32"/>
      <w:szCs w:val="32"/>
    </w:rPr>
  </w:style>
  <w:style w:type="character" w:styleId="SubtleEmphasis">
    <w:name w:val="Subtle Emphasis"/>
    <w:basedOn w:val="DefaultParagraphFont"/>
    <w:uiPriority w:val="19"/>
    <w:semiHidden/>
    <w:qFormat/>
    <w:rsid w:val="006134C0"/>
    <w:rPr>
      <w:i/>
      <w:iCs/>
      <w:color w:val="595959" w:themeColor="text1" w:themeTint="A6"/>
    </w:rPr>
  </w:style>
  <w:style w:type="character" w:styleId="IntenseEmphasis">
    <w:name w:val="Intense Emphasis"/>
    <w:basedOn w:val="DefaultParagraphFont"/>
    <w:uiPriority w:val="21"/>
    <w:semiHidden/>
    <w:qFormat/>
    <w:rsid w:val="006134C0"/>
    <w:rPr>
      <w:b/>
      <w:bCs/>
      <w:i/>
      <w:iCs/>
    </w:rPr>
  </w:style>
  <w:style w:type="character" w:styleId="SubtleReference">
    <w:name w:val="Subtle Reference"/>
    <w:basedOn w:val="DefaultParagraphFont"/>
    <w:uiPriority w:val="31"/>
    <w:qFormat/>
    <w:rsid w:val="008914CE"/>
    <w:rPr>
      <w:rFonts w:asciiTheme="majorHAnsi" w:hAnsiTheme="majorHAnsi"/>
      <w:spacing w:val="10"/>
      <w:u w:color="7F7F7F" w:themeColor="text1" w:themeTint="80"/>
    </w:rPr>
  </w:style>
  <w:style w:type="character" w:styleId="IntenseReference">
    <w:name w:val="Intense Reference"/>
    <w:basedOn w:val="DefaultParagraphFont"/>
    <w:uiPriority w:val="32"/>
    <w:qFormat/>
    <w:rsid w:val="006134C0"/>
    <w:rPr>
      <w:b/>
      <w:bCs/>
      <w:smallCaps/>
      <w:color w:val="44546A" w:themeColor="text2"/>
      <w:u w:val="single"/>
    </w:rPr>
  </w:style>
  <w:style w:type="character" w:styleId="BookTitle">
    <w:name w:val="Book Title"/>
    <w:basedOn w:val="DefaultParagraphFont"/>
    <w:uiPriority w:val="33"/>
    <w:unhideWhenUsed/>
    <w:qFormat/>
    <w:rsid w:val="006134C0"/>
    <w:rPr>
      <w:b/>
      <w:bCs/>
      <w:smallCaps/>
      <w:spacing w:val="10"/>
    </w:rPr>
  </w:style>
  <w:style w:type="paragraph" w:styleId="TOCHeading">
    <w:name w:val="TOC Heading"/>
    <w:basedOn w:val="Heading1"/>
    <w:next w:val="Normal"/>
    <w:uiPriority w:val="39"/>
    <w:unhideWhenUsed/>
    <w:qFormat/>
    <w:rsid w:val="006134C0"/>
    <w:pPr>
      <w:outlineLvl w:val="9"/>
    </w:pPr>
  </w:style>
  <w:style w:type="paragraph" w:styleId="ListParagraph">
    <w:name w:val="List Paragraph"/>
    <w:basedOn w:val="Normal"/>
    <w:link w:val="ListParagraphChar"/>
    <w:uiPriority w:val="34"/>
    <w:qFormat/>
    <w:rsid w:val="008914CE"/>
    <w:pPr>
      <w:ind w:left="720"/>
      <w:contextualSpacing/>
    </w:pPr>
  </w:style>
  <w:style w:type="character" w:styleId="HTMLSample">
    <w:name w:val="HTML Sample"/>
    <w:basedOn w:val="DefaultParagraphFont"/>
    <w:uiPriority w:val="99"/>
    <w:rsid w:val="00EB2DA6"/>
    <w:rPr>
      <w:rFonts w:ascii="Consolas" w:hAnsi="Consolas"/>
      <w:sz w:val="24"/>
      <w:szCs w:val="24"/>
    </w:rPr>
  </w:style>
  <w:style w:type="paragraph" w:styleId="HTMLPreformatted">
    <w:name w:val="HTML Preformatted"/>
    <w:basedOn w:val="Normal"/>
    <w:link w:val="HTMLPreformattedChar"/>
    <w:uiPriority w:val="99"/>
    <w:rsid w:val="00EB2D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B2DA6"/>
    <w:rPr>
      <w:rFonts w:ascii="Consolas" w:hAnsi="Consolas"/>
      <w:sz w:val="20"/>
      <w:szCs w:val="20"/>
    </w:rPr>
  </w:style>
  <w:style w:type="character" w:styleId="Hyperlink">
    <w:name w:val="Hyperlink"/>
    <w:basedOn w:val="DefaultParagraphFont"/>
    <w:uiPriority w:val="99"/>
    <w:unhideWhenUsed/>
    <w:rsid w:val="00ED6BF8"/>
    <w:rPr>
      <w:rFonts w:asciiTheme="minorHAnsi" w:hAnsiTheme="minorHAnsi"/>
      <w:color w:val="auto"/>
      <w:u w:val="single" w:color="D3420D" w:themeColor="accent1"/>
    </w:rPr>
  </w:style>
  <w:style w:type="paragraph" w:styleId="TOC1">
    <w:name w:val="toc 1"/>
    <w:basedOn w:val="Normal"/>
    <w:next w:val="Normal"/>
    <w:autoRedefine/>
    <w:uiPriority w:val="39"/>
    <w:unhideWhenUsed/>
    <w:rsid w:val="00FE2A85"/>
    <w:pPr>
      <w:tabs>
        <w:tab w:val="right" w:leader="dot" w:pos="6484"/>
      </w:tabs>
      <w:spacing w:before="120" w:after="120" w:line="240" w:lineRule="auto"/>
      <w:ind w:right="2506"/>
    </w:pPr>
    <w:rPr>
      <w:noProof/>
    </w:rPr>
  </w:style>
  <w:style w:type="paragraph" w:styleId="TOC2">
    <w:name w:val="toc 2"/>
    <w:basedOn w:val="Normal"/>
    <w:next w:val="Normal"/>
    <w:autoRedefine/>
    <w:uiPriority w:val="39"/>
    <w:unhideWhenUsed/>
    <w:rsid w:val="00032F97"/>
    <w:pPr>
      <w:spacing w:after="100"/>
      <w:ind w:left="240"/>
    </w:pPr>
  </w:style>
  <w:style w:type="paragraph" w:styleId="TOC3">
    <w:name w:val="toc 3"/>
    <w:basedOn w:val="Normal"/>
    <w:next w:val="Normal"/>
    <w:autoRedefine/>
    <w:uiPriority w:val="39"/>
    <w:unhideWhenUsed/>
    <w:rsid w:val="00032F97"/>
    <w:pPr>
      <w:spacing w:after="100"/>
      <w:ind w:left="480"/>
    </w:pPr>
  </w:style>
  <w:style w:type="character" w:customStyle="1" w:styleId="NoSpacingChar">
    <w:name w:val="No Spacing Char"/>
    <w:basedOn w:val="DefaultParagraphFont"/>
    <w:link w:val="NoSpacing"/>
    <w:uiPriority w:val="1"/>
    <w:rsid w:val="00613969"/>
  </w:style>
  <w:style w:type="character" w:styleId="PlaceholderText">
    <w:name w:val="Placeholder Text"/>
    <w:basedOn w:val="DefaultParagraphFont"/>
    <w:uiPriority w:val="99"/>
    <w:semiHidden/>
    <w:rsid w:val="00ED48A7"/>
    <w:rPr>
      <w:color w:val="808080"/>
    </w:rPr>
  </w:style>
  <w:style w:type="table" w:styleId="TableGrid">
    <w:name w:val="Table Grid"/>
    <w:basedOn w:val="TableNormal"/>
    <w:uiPriority w:val="39"/>
    <w:rsid w:val="00D3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3338F"/>
    <w:pPr>
      <w:spacing w:before="40" w:after="40" w:line="240" w:lineRule="auto"/>
    </w:pPr>
    <w:tblPr>
      <w:tblStyleRowBandSize w:val="1"/>
      <w:tblStyleColBandSize w:val="1"/>
      <w:tblBorders>
        <w:top w:val="single" w:sz="4" w:space="0" w:color="F8AE93" w:themeColor="accent1" w:themeTint="66"/>
        <w:left w:val="single" w:sz="4" w:space="0" w:color="F8AE93" w:themeColor="accent1" w:themeTint="66"/>
        <w:bottom w:val="single" w:sz="4" w:space="0" w:color="F8AE93" w:themeColor="accent1" w:themeTint="66"/>
        <w:right w:val="single" w:sz="4" w:space="0" w:color="F8AE93" w:themeColor="accent1" w:themeTint="66"/>
        <w:insideH w:val="single" w:sz="4" w:space="0" w:color="F8AE93" w:themeColor="accent1" w:themeTint="66"/>
        <w:insideV w:val="single" w:sz="4" w:space="0" w:color="F8AE93" w:themeColor="accent1" w:themeTint="66"/>
      </w:tblBorders>
    </w:tblPr>
    <w:tcPr>
      <w:vAlign w:val="center"/>
    </w:tcPr>
    <w:tblStylePr w:type="firstRow">
      <w:rPr>
        <w:b/>
        <w:bCs/>
      </w:rPr>
      <w:tblPr/>
      <w:tcPr>
        <w:tcBorders>
          <w:bottom w:val="single" w:sz="12" w:space="0" w:color="F5855D" w:themeColor="accent1" w:themeTint="99"/>
        </w:tcBorders>
      </w:tcPr>
    </w:tblStylePr>
    <w:tblStylePr w:type="lastRow">
      <w:rPr>
        <w:b/>
        <w:bCs/>
      </w:rPr>
      <w:tblPr/>
      <w:tcPr>
        <w:tcBorders>
          <w:top w:val="double" w:sz="2" w:space="0" w:color="F5855D"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3338F"/>
    <w:pPr>
      <w:spacing w:before="40" w:after="4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772F96"/>
    <w:pPr>
      <w:spacing w:before="40" w:after="40" w:line="240" w:lineRule="auto"/>
    </w:pPr>
    <w:tblPr>
      <w:tblStyleRowBandSize w:val="1"/>
      <w:tblStyleColBandSize w:val="1"/>
      <w:tblBorders>
        <w:top w:val="single" w:sz="4" w:space="0" w:color="85E2ED" w:themeColor="accent4" w:themeTint="66"/>
        <w:left w:val="single" w:sz="4" w:space="0" w:color="85E2ED" w:themeColor="accent4" w:themeTint="66"/>
        <w:bottom w:val="single" w:sz="4" w:space="0" w:color="85E2ED" w:themeColor="accent4" w:themeTint="66"/>
        <w:right w:val="single" w:sz="4" w:space="0" w:color="85E2ED" w:themeColor="accent4" w:themeTint="66"/>
        <w:insideH w:val="single" w:sz="4" w:space="0" w:color="85E2ED" w:themeColor="accent4" w:themeTint="66"/>
        <w:insideV w:val="single" w:sz="4" w:space="0" w:color="85E2ED" w:themeColor="accent4" w:themeTint="66"/>
      </w:tblBorders>
    </w:tblPr>
    <w:tcPr>
      <w:vAlign w:val="center"/>
    </w:tcPr>
    <w:tblStylePr w:type="firstRow">
      <w:rPr>
        <w:b/>
        <w:bCs/>
      </w:rPr>
      <w:tblPr/>
      <w:tcPr>
        <w:tcBorders>
          <w:bottom w:val="single" w:sz="12" w:space="0" w:color="49D4E4" w:themeColor="accent4" w:themeTint="99"/>
        </w:tcBorders>
      </w:tcPr>
    </w:tblStylePr>
    <w:tblStylePr w:type="lastRow">
      <w:rPr>
        <w:b/>
        <w:bCs/>
      </w:rPr>
      <w:tblPr/>
      <w:tcPr>
        <w:tcBorders>
          <w:top w:val="double" w:sz="2" w:space="0" w:color="49D4E4" w:themeColor="accent4" w:themeTint="99"/>
        </w:tcBorders>
      </w:tcPr>
    </w:tblStylePr>
    <w:tblStylePr w:type="firstCol">
      <w:rPr>
        <w:b/>
        <w:bCs/>
      </w:rPr>
    </w:tblStylePr>
    <w:tblStylePr w:type="lastCol">
      <w:rPr>
        <w:b/>
        <w:bCs/>
      </w:rPr>
    </w:tblStylePr>
  </w:style>
  <w:style w:type="paragraph" w:customStyle="1" w:styleId="Largeparagraph">
    <w:name w:val="Large paragraph"/>
    <w:basedOn w:val="Normal"/>
    <w:link w:val="LargeparagraphChar"/>
    <w:qFormat/>
    <w:rsid w:val="00B5269C"/>
    <w:rPr>
      <w:rFonts w:eastAsiaTheme="minorHAnsi"/>
      <w:sz w:val="28"/>
      <w:szCs w:val="22"/>
    </w:rPr>
  </w:style>
  <w:style w:type="character" w:customStyle="1" w:styleId="LargeparagraphChar">
    <w:name w:val="Large paragraph Char"/>
    <w:basedOn w:val="DefaultParagraphFont"/>
    <w:link w:val="Largeparagraph"/>
    <w:rsid w:val="00B5269C"/>
    <w:rPr>
      <w:rFonts w:eastAsiaTheme="minorHAnsi"/>
      <w:sz w:val="28"/>
      <w:szCs w:val="22"/>
    </w:rPr>
  </w:style>
  <w:style w:type="paragraph" w:styleId="EndnoteText">
    <w:name w:val="endnote text"/>
    <w:basedOn w:val="Normal"/>
    <w:link w:val="EndnoteTextChar"/>
    <w:uiPriority w:val="99"/>
    <w:semiHidden/>
    <w:unhideWhenUsed/>
    <w:rsid w:val="00B52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9C"/>
    <w:rPr>
      <w:sz w:val="20"/>
      <w:szCs w:val="20"/>
    </w:rPr>
  </w:style>
  <w:style w:type="character" w:styleId="EndnoteReference">
    <w:name w:val="endnote reference"/>
    <w:basedOn w:val="DefaultParagraphFont"/>
    <w:uiPriority w:val="99"/>
    <w:semiHidden/>
    <w:unhideWhenUsed/>
    <w:rsid w:val="00B5269C"/>
    <w:rPr>
      <w:vertAlign w:val="superscript"/>
    </w:rPr>
  </w:style>
  <w:style w:type="table" w:styleId="GridTable1Light">
    <w:name w:val="Grid Table 1 Light"/>
    <w:basedOn w:val="TableNormal"/>
    <w:uiPriority w:val="46"/>
    <w:rsid w:val="00B60102"/>
    <w:pPr>
      <w:spacing w:before="40" w:after="4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2Horz">
      <w:tblPr/>
      <w:tcPr>
        <w:shd w:val="clear" w:color="auto" w:fill="E7E6E6" w:themeFill="background2"/>
      </w:tcPr>
    </w:tblStylePr>
  </w:style>
  <w:style w:type="paragraph" w:styleId="FootnoteText">
    <w:name w:val="footnote text"/>
    <w:basedOn w:val="Normal"/>
    <w:link w:val="FootnoteTextChar"/>
    <w:uiPriority w:val="99"/>
    <w:semiHidden/>
    <w:unhideWhenUsed/>
    <w:rsid w:val="00914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E46"/>
    <w:rPr>
      <w:sz w:val="20"/>
      <w:szCs w:val="20"/>
    </w:rPr>
  </w:style>
  <w:style w:type="character" w:styleId="FootnoteReference">
    <w:name w:val="footnote reference"/>
    <w:basedOn w:val="DefaultParagraphFont"/>
    <w:uiPriority w:val="99"/>
    <w:semiHidden/>
    <w:unhideWhenUsed/>
    <w:rsid w:val="00914E46"/>
    <w:rPr>
      <w:vertAlign w:val="superscript"/>
    </w:rPr>
  </w:style>
  <w:style w:type="table" w:styleId="GridTable2">
    <w:name w:val="Grid Table 2"/>
    <w:basedOn w:val="TableNormal"/>
    <w:uiPriority w:val="47"/>
    <w:rsid w:val="00B601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enseQuoteAuthor">
    <w:name w:val="Intense Quote Author"/>
    <w:basedOn w:val="IntenseQuote"/>
    <w:next w:val="Normal"/>
    <w:qFormat/>
    <w:rsid w:val="002B6B63"/>
    <w:pPr>
      <w:pBdr>
        <w:top w:val="none" w:sz="0" w:space="0" w:color="auto"/>
        <w:bottom w:val="single" w:sz="12" w:space="4" w:color="15828E" w:themeColor="accent4"/>
      </w:pBdr>
    </w:pPr>
    <w:rPr>
      <w:color w:val="000000" w:themeColor="text1"/>
      <w:sz w:val="28"/>
      <w:szCs w:val="28"/>
    </w:rPr>
  </w:style>
  <w:style w:type="paragraph" w:customStyle="1" w:styleId="IntenseQuoteNoAuthor">
    <w:name w:val="Intense Quote No Author"/>
    <w:basedOn w:val="IntenseQuote"/>
    <w:qFormat/>
    <w:rsid w:val="002B6B63"/>
    <w:pPr>
      <w:pBdr>
        <w:bottom w:val="single" w:sz="12" w:space="6" w:color="15828E" w:themeColor="accent4"/>
      </w:pBdr>
    </w:pPr>
  </w:style>
  <w:style w:type="character" w:customStyle="1" w:styleId="normaltextrun">
    <w:name w:val="normaltextrun"/>
    <w:basedOn w:val="DefaultParagraphFont"/>
    <w:rsid w:val="00651C21"/>
  </w:style>
  <w:style w:type="paragraph" w:styleId="BalloonText">
    <w:name w:val="Balloon Text"/>
    <w:basedOn w:val="Normal"/>
    <w:link w:val="BalloonTextChar"/>
    <w:uiPriority w:val="99"/>
    <w:semiHidden/>
    <w:unhideWhenUsed/>
    <w:rsid w:val="0064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1D"/>
    <w:rPr>
      <w:rFonts w:ascii="Segoe UI" w:hAnsi="Segoe UI" w:cs="Segoe UI"/>
      <w:sz w:val="18"/>
      <w:szCs w:val="18"/>
    </w:rPr>
  </w:style>
  <w:style w:type="paragraph" w:styleId="TOC4">
    <w:name w:val="toc 4"/>
    <w:basedOn w:val="Normal"/>
    <w:next w:val="Normal"/>
    <w:autoRedefine/>
    <w:uiPriority w:val="39"/>
    <w:unhideWhenUsed/>
    <w:rsid w:val="00FE2A85"/>
    <w:pPr>
      <w:spacing w:after="100"/>
      <w:ind w:left="720"/>
    </w:pPr>
  </w:style>
  <w:style w:type="paragraph" w:customStyle="1" w:styleId="paragraph">
    <w:name w:val="paragraph"/>
    <w:basedOn w:val="Normal"/>
    <w:rsid w:val="00925CB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925CB2"/>
  </w:style>
  <w:style w:type="character" w:styleId="UnresolvedMention">
    <w:name w:val="Unresolved Mention"/>
    <w:basedOn w:val="DefaultParagraphFont"/>
    <w:uiPriority w:val="99"/>
    <w:semiHidden/>
    <w:unhideWhenUsed/>
    <w:rsid w:val="00B931A5"/>
    <w:rPr>
      <w:color w:val="605E5C"/>
      <w:shd w:val="clear" w:color="auto" w:fill="E1DFDD"/>
    </w:rPr>
  </w:style>
  <w:style w:type="character" w:styleId="CommentReference">
    <w:name w:val="annotation reference"/>
    <w:basedOn w:val="DefaultParagraphFont"/>
    <w:uiPriority w:val="99"/>
    <w:semiHidden/>
    <w:unhideWhenUsed/>
    <w:rsid w:val="001F6266"/>
    <w:rPr>
      <w:sz w:val="16"/>
      <w:szCs w:val="16"/>
    </w:rPr>
  </w:style>
  <w:style w:type="paragraph" w:styleId="CommentText">
    <w:name w:val="annotation text"/>
    <w:basedOn w:val="Normal"/>
    <w:link w:val="CommentTextChar"/>
    <w:uiPriority w:val="99"/>
    <w:unhideWhenUsed/>
    <w:rsid w:val="001F6266"/>
    <w:pPr>
      <w:spacing w:line="240" w:lineRule="auto"/>
    </w:pPr>
    <w:rPr>
      <w:sz w:val="20"/>
      <w:szCs w:val="20"/>
    </w:rPr>
  </w:style>
  <w:style w:type="character" w:customStyle="1" w:styleId="CommentTextChar">
    <w:name w:val="Comment Text Char"/>
    <w:basedOn w:val="DefaultParagraphFont"/>
    <w:link w:val="CommentText"/>
    <w:uiPriority w:val="99"/>
    <w:rsid w:val="001F6266"/>
    <w:rPr>
      <w:sz w:val="20"/>
      <w:szCs w:val="20"/>
    </w:rPr>
  </w:style>
  <w:style w:type="paragraph" w:styleId="CommentSubject">
    <w:name w:val="annotation subject"/>
    <w:basedOn w:val="CommentText"/>
    <w:next w:val="CommentText"/>
    <w:link w:val="CommentSubjectChar"/>
    <w:uiPriority w:val="99"/>
    <w:semiHidden/>
    <w:unhideWhenUsed/>
    <w:rsid w:val="001F6266"/>
    <w:rPr>
      <w:b/>
      <w:bCs/>
    </w:rPr>
  </w:style>
  <w:style w:type="character" w:customStyle="1" w:styleId="CommentSubjectChar">
    <w:name w:val="Comment Subject Char"/>
    <w:basedOn w:val="CommentTextChar"/>
    <w:link w:val="CommentSubject"/>
    <w:uiPriority w:val="99"/>
    <w:semiHidden/>
    <w:rsid w:val="001F6266"/>
    <w:rPr>
      <w:b/>
      <w:bCs/>
      <w:sz w:val="20"/>
      <w:szCs w:val="20"/>
    </w:rPr>
  </w:style>
  <w:style w:type="character" w:styleId="Mention">
    <w:name w:val="Mention"/>
    <w:basedOn w:val="DefaultParagraphFont"/>
    <w:uiPriority w:val="99"/>
    <w:unhideWhenUsed/>
    <w:rsid w:val="001F6266"/>
    <w:rPr>
      <w:color w:val="2B579A"/>
      <w:shd w:val="clear" w:color="auto" w:fill="E1DFDD"/>
    </w:rPr>
  </w:style>
  <w:style w:type="character" w:customStyle="1" w:styleId="ListParagraphChar">
    <w:name w:val="List Paragraph Char"/>
    <w:basedOn w:val="DefaultParagraphFont"/>
    <w:link w:val="ListParagraph"/>
    <w:uiPriority w:val="34"/>
    <w:rsid w:val="00D77100"/>
  </w:style>
  <w:style w:type="paragraph" w:styleId="Revision">
    <w:name w:val="Revision"/>
    <w:hidden/>
    <w:uiPriority w:val="99"/>
    <w:semiHidden/>
    <w:rsid w:val="005E5483"/>
    <w:pPr>
      <w:spacing w:after="0" w:line="240" w:lineRule="auto"/>
    </w:pPr>
  </w:style>
  <w:style w:type="character" w:styleId="FollowedHyperlink">
    <w:name w:val="FollowedHyperlink"/>
    <w:basedOn w:val="DefaultParagraphFont"/>
    <w:uiPriority w:val="99"/>
    <w:semiHidden/>
    <w:unhideWhenUsed/>
    <w:rsid w:val="003C40C5"/>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50">
      <w:bodyDiv w:val="1"/>
      <w:marLeft w:val="0"/>
      <w:marRight w:val="0"/>
      <w:marTop w:val="0"/>
      <w:marBottom w:val="0"/>
      <w:divBdr>
        <w:top w:val="none" w:sz="0" w:space="0" w:color="auto"/>
        <w:left w:val="none" w:sz="0" w:space="0" w:color="auto"/>
        <w:bottom w:val="none" w:sz="0" w:space="0" w:color="auto"/>
        <w:right w:val="none" w:sz="0" w:space="0" w:color="auto"/>
      </w:divBdr>
    </w:div>
    <w:div w:id="213738008">
      <w:bodyDiv w:val="1"/>
      <w:marLeft w:val="0"/>
      <w:marRight w:val="0"/>
      <w:marTop w:val="0"/>
      <w:marBottom w:val="0"/>
      <w:divBdr>
        <w:top w:val="none" w:sz="0" w:space="0" w:color="auto"/>
        <w:left w:val="none" w:sz="0" w:space="0" w:color="auto"/>
        <w:bottom w:val="none" w:sz="0" w:space="0" w:color="auto"/>
        <w:right w:val="none" w:sz="0" w:space="0" w:color="auto"/>
      </w:divBdr>
    </w:div>
    <w:div w:id="751270524">
      <w:bodyDiv w:val="1"/>
      <w:marLeft w:val="0"/>
      <w:marRight w:val="0"/>
      <w:marTop w:val="0"/>
      <w:marBottom w:val="0"/>
      <w:divBdr>
        <w:top w:val="none" w:sz="0" w:space="0" w:color="auto"/>
        <w:left w:val="none" w:sz="0" w:space="0" w:color="auto"/>
        <w:bottom w:val="none" w:sz="0" w:space="0" w:color="auto"/>
        <w:right w:val="none" w:sz="0" w:space="0" w:color="auto"/>
      </w:divBdr>
      <w:divsChild>
        <w:div w:id="1889147990">
          <w:marLeft w:val="0"/>
          <w:marRight w:val="0"/>
          <w:marTop w:val="0"/>
          <w:marBottom w:val="0"/>
          <w:divBdr>
            <w:top w:val="none" w:sz="0" w:space="0" w:color="auto"/>
            <w:left w:val="none" w:sz="0" w:space="0" w:color="auto"/>
            <w:bottom w:val="none" w:sz="0" w:space="0" w:color="auto"/>
            <w:right w:val="none" w:sz="0" w:space="0" w:color="auto"/>
          </w:divBdr>
          <w:divsChild>
            <w:div w:id="636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48">
      <w:bodyDiv w:val="1"/>
      <w:marLeft w:val="0"/>
      <w:marRight w:val="0"/>
      <w:marTop w:val="0"/>
      <w:marBottom w:val="0"/>
      <w:divBdr>
        <w:top w:val="none" w:sz="0" w:space="0" w:color="auto"/>
        <w:left w:val="none" w:sz="0" w:space="0" w:color="auto"/>
        <w:bottom w:val="none" w:sz="0" w:space="0" w:color="auto"/>
        <w:right w:val="none" w:sz="0" w:space="0" w:color="auto"/>
      </w:divBdr>
    </w:div>
    <w:div w:id="20460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ore.standards.org.au/product/as-iso-31000-2018?utm_source=standards.org.au&amp;utm_medium=referral&amp;utm_campaign=standards-catalogu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tandards.org.au/standards-catalogue/sa-snz/other/ob-007/as--iso--31000-colon-20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ccessinghigherground.org/evaluating-electronic-and-information-technology-eit-for-university-procur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imelb.edu.au/accessibility/project-management/procurement/assessing-ris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educause.edu/-/media/files/library/2015/7/accessrisk15-pdf.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tandards.org.au/standards-catalogue/sa-snz/other/ob-007/as--iso--31000-colon-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rch\Intopia\Account%20Management%20-%20Documents\_Templates\IntopiaBranded%20Word%20Template.dotx" TargetMode="External"/></Relationships>
</file>

<file path=word/theme/theme1.xml><?xml version="1.0" encoding="utf-8"?>
<a:theme xmlns:a="http://schemas.openxmlformats.org/drawingml/2006/main" name="Office Theme">
  <a:themeElements>
    <a:clrScheme name="Intopia">
      <a:dk1>
        <a:sysClr val="windowText" lastClr="000000"/>
      </a:dk1>
      <a:lt1>
        <a:sysClr val="window" lastClr="FFFFFF"/>
      </a:lt1>
      <a:dk2>
        <a:srgbClr val="44546A"/>
      </a:dk2>
      <a:lt2>
        <a:srgbClr val="E7E6E6"/>
      </a:lt2>
      <a:accent1>
        <a:srgbClr val="D3420D"/>
      </a:accent1>
      <a:accent2>
        <a:srgbClr val="E71348"/>
      </a:accent2>
      <a:accent3>
        <a:srgbClr val="FCEE24"/>
      </a:accent3>
      <a:accent4>
        <a:srgbClr val="15828E"/>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B9C7C5F0D34C478B598357F78776B5" ma:contentTypeVersion="15" ma:contentTypeDescription="Create a new document." ma:contentTypeScope="" ma:versionID="2eda1d51dfdab8760de389477738dfb3">
  <xsd:schema xmlns:xsd="http://www.w3.org/2001/XMLSchema" xmlns:xs="http://www.w3.org/2001/XMLSchema" xmlns:p="http://schemas.microsoft.com/office/2006/metadata/properties" xmlns:ns2="6f561ef7-a68a-4b60-9555-0cd7229d4bfb" xmlns:ns3="79611baa-74e7-4fed-920c-a461155ba2b1" targetNamespace="http://schemas.microsoft.com/office/2006/metadata/properties" ma:root="true" ma:fieldsID="49001851dafa84e08caf862fe7f59236" ns2:_="" ns3:_="">
    <xsd:import namespace="6f561ef7-a68a-4b60-9555-0cd7229d4bfb"/>
    <xsd:import namespace="79611baa-74e7-4fed-920c-a461155ba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1ef7-a68a-4b60-9555-0cd7229d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74f33f-e69d-48f8-abd1-40987bf0fe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11baa-74e7-4fed-920c-a461155ba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0054a-57ad-4d54-8e0c-96d1320e4a37}" ma:internalName="TaxCatchAll" ma:showField="CatchAllData" ma:web="79611baa-74e7-4fed-920c-a461155ba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561ef7-a68a-4b60-9555-0cd7229d4bfb">
      <Terms xmlns="http://schemas.microsoft.com/office/infopath/2007/PartnerControls"/>
    </lcf76f155ced4ddcb4097134ff3c332f>
    <TaxCatchAll xmlns="79611baa-74e7-4fed-920c-a461155ba2b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5A5438-6E8A-424D-B55D-4A5C8FD0D15E}">
  <ds:schemaRefs>
    <ds:schemaRef ds:uri="http://schemas.openxmlformats.org/officeDocument/2006/bibliography"/>
  </ds:schemaRefs>
</ds:datastoreItem>
</file>

<file path=customXml/itemProps3.xml><?xml version="1.0" encoding="utf-8"?>
<ds:datastoreItem xmlns:ds="http://schemas.openxmlformats.org/officeDocument/2006/customXml" ds:itemID="{89F32B6D-98ED-4CF2-9BBF-BA8E093294FC}"/>
</file>

<file path=customXml/itemProps4.xml><?xml version="1.0" encoding="utf-8"?>
<ds:datastoreItem xmlns:ds="http://schemas.openxmlformats.org/officeDocument/2006/customXml" ds:itemID="{9CB2EDE4-4367-4BF3-B4B1-E4B8CB0F46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DC2609-6B0F-4255-A5C2-E417ADF58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IntopiaBranded Word Template</Template>
  <TotalTime>17</TotalTime>
  <Pages>6</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Accessibility Training</vt:lpstr>
    </vt:vector>
  </TitlesOfParts>
  <Company/>
  <LinksUpToDate>false</LinksUpToDate>
  <CharactersWithSpaces>11068</CharactersWithSpaces>
  <SharedDoc>false</SharedDoc>
  <HLinks>
    <vt:vector size="18" baseType="variant">
      <vt:variant>
        <vt:i4>2818098</vt:i4>
      </vt:variant>
      <vt:variant>
        <vt:i4>15</vt:i4>
      </vt:variant>
      <vt:variant>
        <vt:i4>0</vt:i4>
      </vt:variant>
      <vt:variant>
        <vt:i4>5</vt:i4>
      </vt:variant>
      <vt:variant>
        <vt:lpwstr>https://accessinghigherground.org/evaluating-electronic-and-information-technology-eit-for-university-procurement/</vt:lpwstr>
      </vt:variant>
      <vt:variant>
        <vt:lpwstr/>
      </vt:variant>
      <vt:variant>
        <vt:i4>7995511</vt:i4>
      </vt:variant>
      <vt:variant>
        <vt:i4>12</vt:i4>
      </vt:variant>
      <vt:variant>
        <vt:i4>0</vt:i4>
      </vt:variant>
      <vt:variant>
        <vt:i4>5</vt:i4>
      </vt:variant>
      <vt:variant>
        <vt:lpwstr>https://www.unimelb.edu.au/accessibility/project-management/procurement/assessing-risk</vt:lpwstr>
      </vt:variant>
      <vt:variant>
        <vt:lpwstr/>
      </vt:variant>
      <vt:variant>
        <vt:i4>3801128</vt:i4>
      </vt:variant>
      <vt:variant>
        <vt:i4>9</vt:i4>
      </vt:variant>
      <vt:variant>
        <vt:i4>0</vt:i4>
      </vt:variant>
      <vt:variant>
        <vt:i4>5</vt:i4>
      </vt:variant>
      <vt:variant>
        <vt:lpwstr>https://library.educause.edu/-/media/files/library/2015/7/accessrisk15-pdf.pdf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Training</dc:title>
  <dc:subject/>
  <dc:creator>Andrew Arch</dc:creator>
  <cp:keywords/>
  <dc:description/>
  <cp:lastModifiedBy>Andrew Arch</cp:lastModifiedBy>
  <cp:revision>13</cp:revision>
  <cp:lastPrinted>2017-01-31T05:22:00Z</cp:lastPrinted>
  <dcterms:created xsi:type="dcterms:W3CDTF">2022-09-29T01:49:00Z</dcterms:created>
  <dcterms:modified xsi:type="dcterms:W3CDTF">2022-09-29T01:57:00Z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&lt;update client name&gt;</vt:lpwstr>
  </property>
  <property fmtid="{D5CDD505-2E9C-101B-9397-08002B2CF9AE}" pid="3" name="Website review">
    <vt:lpwstr>&lt;update website name&gt;</vt:lpwstr>
  </property>
  <property fmtid="{D5CDD505-2E9C-101B-9397-08002B2CF9AE}" pid="4" name="WCAG Version">
    <vt:lpwstr>&lt;WCAG 2.0/WCAG 2.1&gt;</vt:lpwstr>
  </property>
  <property fmtid="{D5CDD505-2E9C-101B-9397-08002B2CF9AE}" pid="5" name="ContentTypeId">
    <vt:lpwstr>0x01010030B9C7C5F0D34C478B598357F78776B5</vt:lpwstr>
  </property>
</Properties>
</file>