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35" w:rsidRPr="00A57E18" w:rsidRDefault="003E1B35" w:rsidP="00A57E18">
      <w:pPr>
        <w:pStyle w:val="Title"/>
      </w:pPr>
      <w:r w:rsidRPr="00A57E18">
        <w:t>Universal Design for VET Educators Project</w:t>
      </w:r>
    </w:p>
    <w:p w:rsidR="003E1B35" w:rsidRPr="003E1B35" w:rsidRDefault="003E1B35">
      <w:pPr>
        <w:rPr>
          <w:b/>
          <w:bCs/>
          <w:lang w:val="en-US"/>
        </w:rPr>
      </w:pPr>
      <w:proofErr w:type="spellStart"/>
      <w:r w:rsidRPr="003E1B35">
        <w:rPr>
          <w:rStyle w:val="Strong"/>
          <w:b w:val="0"/>
        </w:rPr>
        <w:t>Annemaree</w:t>
      </w:r>
      <w:proofErr w:type="spellEnd"/>
      <w:r w:rsidRPr="003E1B35">
        <w:rPr>
          <w:rStyle w:val="Strong"/>
          <w:b w:val="0"/>
        </w:rPr>
        <w:t xml:space="preserve"> Gibson </w:t>
      </w:r>
      <w:r w:rsidRPr="003E1B35">
        <w:t xml:space="preserve">and </w:t>
      </w:r>
      <w:r w:rsidRPr="003E1B35">
        <w:rPr>
          <w:rStyle w:val="Strong"/>
          <w:b w:val="0"/>
        </w:rPr>
        <w:t>Annie Carney</w:t>
      </w:r>
    </w:p>
    <w:p w:rsidR="003E1B35" w:rsidRPr="00A57E18" w:rsidRDefault="003E1B35" w:rsidP="005E3565">
      <w:pPr>
        <w:pStyle w:val="Heading2"/>
        <w:rPr>
          <w:lang w:val="en-US"/>
        </w:rPr>
      </w:pPr>
      <w:r w:rsidRPr="00A57E18">
        <w:rPr>
          <w:lang w:val="en-US"/>
        </w:rPr>
        <w:t>Slide 1:</w:t>
      </w:r>
    </w:p>
    <w:p w:rsidR="00D2685A" w:rsidRPr="00ED2A31" w:rsidRDefault="003E1B35" w:rsidP="00ED2A31">
      <w:pPr>
        <w:pStyle w:val="Heading3"/>
      </w:pPr>
      <w:r w:rsidRPr="00ED2A31">
        <w:t>Universal design research project cycles 1 and 2</w:t>
      </w:r>
    </w:p>
    <w:p w:rsidR="00A57E18" w:rsidRPr="00A57E18" w:rsidRDefault="00A57E18" w:rsidP="00A57E18">
      <w:pPr>
        <w:spacing w:after="0"/>
      </w:pPr>
      <w:proofErr w:type="spellStart"/>
      <w:r w:rsidRPr="00A57E18">
        <w:rPr>
          <w:lang w:val="en-US"/>
        </w:rPr>
        <w:t>Annemaree</w:t>
      </w:r>
      <w:proofErr w:type="spellEnd"/>
      <w:r w:rsidRPr="00A57E18">
        <w:rPr>
          <w:lang w:val="en-US"/>
        </w:rPr>
        <w:t xml:space="preserve"> Gibson &amp; Annie Carney</w:t>
      </w:r>
    </w:p>
    <w:p w:rsidR="00A57E18" w:rsidRPr="00A57E18" w:rsidRDefault="00A57E18" w:rsidP="00A57E18">
      <w:pPr>
        <w:spacing w:after="0"/>
      </w:pPr>
      <w:r w:rsidRPr="00A57E18">
        <w:rPr>
          <w:lang w:val="en-US"/>
        </w:rPr>
        <w:t>Teaching &amp; Learning Specialists</w:t>
      </w:r>
    </w:p>
    <w:p w:rsidR="00A57E18" w:rsidRPr="00A57E18" w:rsidRDefault="00A57E18" w:rsidP="00A57E18">
      <w:pPr>
        <w:spacing w:after="0"/>
      </w:pPr>
      <w:r w:rsidRPr="00A57E18">
        <w:rPr>
          <w:lang w:val="en-US"/>
        </w:rPr>
        <w:t>Box Hill Institute</w:t>
      </w:r>
    </w:p>
    <w:p w:rsidR="00A57E18" w:rsidRPr="00A57E18" w:rsidRDefault="00A57E18" w:rsidP="00ED2A31">
      <w:pPr>
        <w:pStyle w:val="Heading2"/>
        <w:rPr>
          <w:b w:val="0"/>
          <w:bCs w:val="0"/>
          <w:sz w:val="28"/>
          <w:szCs w:val="28"/>
          <w:lang w:val="en-US"/>
        </w:rPr>
      </w:pPr>
      <w:r w:rsidRPr="005E3565">
        <w:rPr>
          <w:lang w:val="en-US"/>
        </w:rPr>
        <w:t>Slide</w:t>
      </w:r>
      <w:r w:rsidRPr="00A57E18">
        <w:rPr>
          <w:b w:val="0"/>
          <w:bCs w:val="0"/>
          <w:sz w:val="28"/>
          <w:szCs w:val="28"/>
          <w:lang w:val="en-US"/>
        </w:rPr>
        <w:t xml:space="preserve"> 2:</w:t>
      </w:r>
    </w:p>
    <w:p w:rsidR="00A57E18" w:rsidRDefault="00ED2A31" w:rsidP="00ED2A31">
      <w:pPr>
        <w:pStyle w:val="Heading3"/>
      </w:pPr>
      <w:r w:rsidRPr="00ED2A31">
        <w:t>A research project</w:t>
      </w:r>
    </w:p>
    <w:p w:rsidR="00ED2A31" w:rsidRPr="00ED2A31" w:rsidRDefault="00ED2A31" w:rsidP="00ED2A31">
      <w:r w:rsidRPr="00ED2A31">
        <w:rPr>
          <w:lang w:val="en-US"/>
        </w:rPr>
        <w:t>How can VET teachers apply the Principles of Universal Design in Education to support learners of all abilities?</w:t>
      </w:r>
    </w:p>
    <w:p w:rsidR="00A57E18" w:rsidRDefault="00A57E18" w:rsidP="005E3565">
      <w:pPr>
        <w:pStyle w:val="Heading2"/>
      </w:pPr>
      <w:r>
        <w:t>Slide 3:</w:t>
      </w:r>
    </w:p>
    <w:p w:rsidR="00A57E18" w:rsidRDefault="00ED2A31" w:rsidP="00ED2A31">
      <w:pPr>
        <w:pStyle w:val="Heading3"/>
      </w:pPr>
      <w:r w:rsidRPr="00ED2A31">
        <w:t>The research cycles</w:t>
      </w:r>
    </w:p>
    <w:p w:rsidR="00ED2A31" w:rsidRPr="00ED2A31" w:rsidRDefault="00ED2A31" w:rsidP="00ED2A31">
      <w:r w:rsidRPr="00ED2A31">
        <w:t>CYCLE 1</w:t>
      </w:r>
      <w:r>
        <w:t>:</w:t>
      </w:r>
      <w:r w:rsidRPr="00ED2A31">
        <w:rPr>
          <w:lang w:val="en-US"/>
        </w:rPr>
        <w:t xml:space="preserve"> </w:t>
      </w:r>
      <w:r w:rsidRPr="00ED2A31">
        <w:t>Collaborate</w:t>
      </w:r>
      <w:r>
        <w:t xml:space="preserve">, </w:t>
      </w:r>
      <w:r w:rsidRPr="00ED2A31">
        <w:t>Implement</w:t>
      </w:r>
      <w:r>
        <w:t xml:space="preserve">, </w:t>
      </w:r>
      <w:proofErr w:type="gramStart"/>
      <w:r w:rsidRPr="00ED2A31">
        <w:t>Reflect</w:t>
      </w:r>
      <w:proofErr w:type="gramEnd"/>
    </w:p>
    <w:p w:rsidR="00A57E18" w:rsidRDefault="00ED2A31" w:rsidP="00ED2A31">
      <w:r w:rsidRPr="00ED2A31">
        <w:t xml:space="preserve">CYCLE </w:t>
      </w:r>
      <w:r>
        <w:t>2:</w:t>
      </w:r>
      <w:r w:rsidRPr="00ED2A31">
        <w:rPr>
          <w:rFonts w:eastAsia="+mn-ea" w:cs="+mn-cs"/>
          <w:color w:val="000000"/>
          <w:kern w:val="24"/>
          <w:sz w:val="36"/>
          <w:szCs w:val="36"/>
          <w:lang w:eastAsia="en-AU"/>
        </w:rPr>
        <w:t xml:space="preserve"> </w:t>
      </w:r>
      <w:r w:rsidRPr="00ED2A31">
        <w:t>Evaluate</w:t>
      </w:r>
      <w:r>
        <w:t xml:space="preserve">, </w:t>
      </w:r>
      <w:r w:rsidRPr="00ED2A31">
        <w:t>Analyse</w:t>
      </w:r>
      <w:r>
        <w:t xml:space="preserve">, </w:t>
      </w:r>
      <w:r w:rsidRPr="00ED2A31">
        <w:t>Explore</w:t>
      </w:r>
    </w:p>
    <w:p w:rsidR="00ED2A31" w:rsidRPr="00ED2A31" w:rsidRDefault="00ED2A31" w:rsidP="00ED2A31">
      <w:r>
        <w:t xml:space="preserve">PUDDLEs: </w:t>
      </w:r>
      <w:r w:rsidRPr="00ED2A31">
        <w:rPr>
          <w:lang w:val="en-US"/>
        </w:rPr>
        <w:t>Pivot</w:t>
      </w:r>
      <w:r>
        <w:rPr>
          <w:lang w:val="en-US"/>
        </w:rPr>
        <w:t xml:space="preserve">, </w:t>
      </w:r>
      <w:r w:rsidRPr="00ED2A31">
        <w:rPr>
          <w:lang w:val="en-US"/>
        </w:rPr>
        <w:t>Further enquiry</w:t>
      </w:r>
    </w:p>
    <w:p w:rsidR="00A57E18" w:rsidRDefault="00A57E18" w:rsidP="005E3565">
      <w:pPr>
        <w:pStyle w:val="Heading2"/>
      </w:pPr>
      <w:r w:rsidRPr="005E3565">
        <w:rPr>
          <w:lang w:val="en-US"/>
        </w:rPr>
        <w:t>Slide</w:t>
      </w:r>
      <w:r>
        <w:t xml:space="preserve"> 4:</w:t>
      </w:r>
    </w:p>
    <w:p w:rsidR="00A57E18" w:rsidRDefault="00ED2A31" w:rsidP="00ED2A31">
      <w:pPr>
        <w:pStyle w:val="Heading3"/>
      </w:pPr>
      <w:r w:rsidRPr="00ED2A31">
        <w:t>Cycle 1: Collaboration</w:t>
      </w:r>
    </w:p>
    <w:p w:rsidR="00ED2A31" w:rsidRPr="00ED2A31" w:rsidRDefault="00ED2A31" w:rsidP="00ED2A31">
      <w:r w:rsidRPr="00ED2A31">
        <w:rPr>
          <w:lang w:val="en-US"/>
        </w:rPr>
        <w:t>Animated video + Expert teacher + Sharing</w:t>
      </w:r>
    </w:p>
    <w:p w:rsidR="00A57E18" w:rsidRDefault="00ED2A31">
      <w:r>
        <w:t>Image 1: Predictable structure and instruction in Education (The Principles of Universal Design)</w:t>
      </w:r>
    </w:p>
    <w:p w:rsidR="00ED2A31" w:rsidRDefault="00ED2A31">
      <w:r>
        <w:t xml:space="preserve">Image 2: Dean Champ (Teacher - Special </w:t>
      </w:r>
      <w:proofErr w:type="spellStart"/>
      <w:r>
        <w:t>Eduation</w:t>
      </w:r>
      <w:proofErr w:type="spellEnd"/>
      <w:r>
        <w:t>)</w:t>
      </w:r>
    </w:p>
    <w:p w:rsidR="00A57E18" w:rsidRDefault="00A57E18" w:rsidP="005E3565">
      <w:pPr>
        <w:pStyle w:val="Heading2"/>
      </w:pPr>
      <w:r w:rsidRPr="005E3565">
        <w:rPr>
          <w:lang w:val="en-US"/>
        </w:rPr>
        <w:t>Slide</w:t>
      </w:r>
      <w:r>
        <w:t xml:space="preserve"> 5:</w:t>
      </w:r>
    </w:p>
    <w:p w:rsidR="00A57E18" w:rsidRDefault="00A673D1" w:rsidP="00A673D1">
      <w:pPr>
        <w:pStyle w:val="Heading3"/>
      </w:pPr>
      <w:r w:rsidRPr="00A673D1">
        <w:t>Cycle 1: Implementation</w:t>
      </w:r>
    </w:p>
    <w:p w:rsidR="00000000" w:rsidRPr="00A673D1" w:rsidRDefault="0031680E" w:rsidP="00A673D1">
      <w:pPr>
        <w:pStyle w:val="ListParagraph"/>
        <w:numPr>
          <w:ilvl w:val="0"/>
          <w:numId w:val="2"/>
        </w:numPr>
      </w:pPr>
      <w:r w:rsidRPr="00A673D1">
        <w:rPr>
          <w:lang w:val="en-US"/>
        </w:rPr>
        <w:t>Community of practice</w:t>
      </w:r>
    </w:p>
    <w:p w:rsidR="00000000" w:rsidRPr="00A673D1" w:rsidRDefault="0031680E" w:rsidP="00A673D1">
      <w:pPr>
        <w:pStyle w:val="ListParagraph"/>
        <w:numPr>
          <w:ilvl w:val="0"/>
          <w:numId w:val="2"/>
        </w:numPr>
      </w:pPr>
      <w:r w:rsidRPr="00A673D1">
        <w:rPr>
          <w:i/>
          <w:iCs/>
          <w:lang w:val="en-US"/>
        </w:rPr>
        <w:t>Universal Design for VET teachers</w:t>
      </w:r>
      <w:r w:rsidRPr="00A673D1">
        <w:rPr>
          <w:lang w:val="en-US"/>
        </w:rPr>
        <w:t xml:space="preserve"> course</w:t>
      </w:r>
    </w:p>
    <w:p w:rsidR="00BF4F80" w:rsidRDefault="0031680E" w:rsidP="00A673D1">
      <w:pPr>
        <w:pStyle w:val="ListParagraph"/>
        <w:numPr>
          <w:ilvl w:val="0"/>
          <w:numId w:val="2"/>
        </w:numPr>
        <w:rPr>
          <w:lang w:val="en-US"/>
        </w:rPr>
      </w:pPr>
      <w:r w:rsidRPr="00A673D1">
        <w:rPr>
          <w:lang w:val="en-US"/>
        </w:rPr>
        <w:t>A research project: </w:t>
      </w:r>
    </w:p>
    <w:p w:rsidR="00BF4F80" w:rsidRDefault="00A673D1" w:rsidP="00A673D1">
      <w:pPr>
        <w:rPr>
          <w:lang w:val="en-US"/>
        </w:rPr>
      </w:pPr>
      <w:proofErr w:type="gramStart"/>
      <w:r w:rsidRPr="00A673D1">
        <w:rPr>
          <w:lang w:val="en-US"/>
        </w:rPr>
        <w:t>" How</w:t>
      </w:r>
      <w:proofErr w:type="gramEnd"/>
      <w:r w:rsidRPr="00A673D1">
        <w:rPr>
          <w:lang w:val="en-US"/>
        </w:rPr>
        <w:t xml:space="preserve"> can VET teachers apply the Principles of Universal Design in Education to support learners of all abilities? "</w:t>
      </w:r>
    </w:p>
    <w:p w:rsidR="00A57E18" w:rsidRDefault="00A57E18" w:rsidP="005E3565">
      <w:pPr>
        <w:pStyle w:val="Heading2"/>
      </w:pPr>
      <w:r w:rsidRPr="005E3565">
        <w:rPr>
          <w:lang w:val="en-US"/>
        </w:rPr>
        <w:t>Slide</w:t>
      </w:r>
      <w:r>
        <w:t xml:space="preserve"> 6:</w:t>
      </w:r>
    </w:p>
    <w:p w:rsidR="00A57E18" w:rsidRDefault="00A673D1" w:rsidP="00A673D1">
      <w:pPr>
        <w:pStyle w:val="Heading3"/>
      </w:pPr>
      <w:r w:rsidRPr="00A673D1">
        <w:t>What the data suggests in cycle 2</w:t>
      </w:r>
    </w:p>
    <w:p w:rsidR="00BF4F80" w:rsidRDefault="00A673D1" w:rsidP="00A673D1">
      <w:pPr>
        <w:rPr>
          <w:b/>
          <w:bCs/>
          <w:lang w:val="en-US"/>
        </w:rPr>
      </w:pPr>
      <w:r w:rsidRPr="00A673D1">
        <w:rPr>
          <w:b/>
          <w:bCs/>
        </w:rPr>
        <w:t>Insufficient data</w:t>
      </w:r>
    </w:p>
    <w:p w:rsidR="00000000" w:rsidRPr="00A673D1" w:rsidRDefault="0031680E" w:rsidP="00A673D1">
      <w:pPr>
        <w:pStyle w:val="ListParagraph"/>
        <w:numPr>
          <w:ilvl w:val="0"/>
          <w:numId w:val="2"/>
        </w:numPr>
        <w:rPr>
          <w:lang w:val="en-US"/>
        </w:rPr>
      </w:pPr>
      <w:r w:rsidRPr="00A673D1">
        <w:rPr>
          <w:lang w:val="en-US"/>
        </w:rPr>
        <w:t>Limited participants</w:t>
      </w:r>
    </w:p>
    <w:p w:rsidR="00000000" w:rsidRPr="00A673D1" w:rsidRDefault="0031680E" w:rsidP="00A673D1">
      <w:pPr>
        <w:pStyle w:val="ListParagraph"/>
        <w:numPr>
          <w:ilvl w:val="0"/>
          <w:numId w:val="2"/>
        </w:numPr>
        <w:rPr>
          <w:lang w:val="en-US"/>
        </w:rPr>
      </w:pPr>
      <w:r w:rsidRPr="00A673D1">
        <w:rPr>
          <w:lang w:val="en-US"/>
        </w:rPr>
        <w:t>Short timeframe</w:t>
      </w:r>
    </w:p>
    <w:p w:rsidR="00BF4F80" w:rsidRDefault="00A673D1" w:rsidP="00A673D1">
      <w:pPr>
        <w:rPr>
          <w:b/>
          <w:bCs/>
        </w:rPr>
      </w:pPr>
      <w:r w:rsidRPr="00A673D1">
        <w:rPr>
          <w:b/>
          <w:bCs/>
        </w:rPr>
        <w:lastRenderedPageBreak/>
        <w:t>Why?</w:t>
      </w:r>
    </w:p>
    <w:p w:rsidR="00000000" w:rsidRPr="00A673D1" w:rsidRDefault="0031680E" w:rsidP="00A673D1">
      <w:pPr>
        <w:pStyle w:val="ListParagraph"/>
        <w:numPr>
          <w:ilvl w:val="0"/>
          <w:numId w:val="2"/>
        </w:numPr>
        <w:rPr>
          <w:lang w:val="en-US"/>
        </w:rPr>
      </w:pPr>
      <w:r w:rsidRPr="00A673D1">
        <w:rPr>
          <w:lang w:val="en-US"/>
        </w:rPr>
        <w:t>Participation barriers</w:t>
      </w:r>
    </w:p>
    <w:p w:rsidR="00BF4F80" w:rsidRDefault="0031680E" w:rsidP="00A673D1">
      <w:pPr>
        <w:pStyle w:val="ListParagraph"/>
        <w:numPr>
          <w:ilvl w:val="0"/>
          <w:numId w:val="2"/>
        </w:numPr>
        <w:rPr>
          <w:lang w:val="en-US"/>
        </w:rPr>
      </w:pPr>
      <w:r w:rsidRPr="00A673D1">
        <w:rPr>
          <w:lang w:val="en-US"/>
        </w:rPr>
        <w:t>Too early</w:t>
      </w:r>
    </w:p>
    <w:p w:rsidR="00A57E18" w:rsidRDefault="00A57E18" w:rsidP="005E3565">
      <w:pPr>
        <w:pStyle w:val="Heading2"/>
      </w:pPr>
      <w:r>
        <w:t>Slide 7:</w:t>
      </w:r>
    </w:p>
    <w:p w:rsidR="00A57E18" w:rsidRDefault="00A673D1" w:rsidP="00A673D1">
      <w:pPr>
        <w:pStyle w:val="Heading3"/>
      </w:pPr>
      <w:r w:rsidRPr="00A673D1">
        <w:t>EMAR CPDE outcomes – cycle 2</w:t>
      </w:r>
    </w:p>
    <w:p w:rsidR="00BF4F80" w:rsidRDefault="00A673D1" w:rsidP="00A673D1">
      <w:pPr>
        <w:rPr>
          <w:b/>
          <w:bCs/>
          <w:lang w:val="en-US"/>
        </w:rPr>
      </w:pPr>
      <w:r w:rsidRPr="00A673D1">
        <w:rPr>
          <w:b/>
          <w:bCs/>
        </w:rPr>
        <w:t>Time to consider and adapt</w:t>
      </w:r>
    </w:p>
    <w:p w:rsidR="00BF4F80" w:rsidRDefault="0031680E" w:rsidP="00A673D1">
      <w:pPr>
        <w:pStyle w:val="ListParagraph"/>
        <w:numPr>
          <w:ilvl w:val="0"/>
          <w:numId w:val="2"/>
        </w:numPr>
        <w:rPr>
          <w:lang w:val="en-US"/>
        </w:rPr>
      </w:pPr>
      <w:r w:rsidRPr="00A673D1">
        <w:rPr>
          <w:lang w:val="en-US"/>
        </w:rPr>
        <w:t>Enrolment comparison</w:t>
      </w:r>
    </w:p>
    <w:p w:rsidR="00000000" w:rsidRPr="00A673D1" w:rsidRDefault="0031680E" w:rsidP="00A673D1">
      <w:pPr>
        <w:pStyle w:val="ListParagraph"/>
        <w:numPr>
          <w:ilvl w:val="0"/>
          <w:numId w:val="2"/>
        </w:numPr>
        <w:rPr>
          <w:lang w:val="en-US"/>
        </w:rPr>
      </w:pPr>
      <w:r w:rsidRPr="00A673D1">
        <w:rPr>
          <w:lang w:val="en-US"/>
        </w:rPr>
        <w:t>Make compulsory or promote?</w:t>
      </w:r>
    </w:p>
    <w:p w:rsidR="00000000" w:rsidRPr="00A673D1" w:rsidRDefault="0031680E" w:rsidP="00A673D1">
      <w:pPr>
        <w:pStyle w:val="ListParagraph"/>
        <w:numPr>
          <w:ilvl w:val="1"/>
          <w:numId w:val="2"/>
        </w:numPr>
        <w:rPr>
          <w:lang w:val="en-US"/>
        </w:rPr>
      </w:pPr>
      <w:r w:rsidRPr="00A673D1">
        <w:rPr>
          <w:lang w:val="en-US"/>
        </w:rPr>
        <w:t>Intrinsic versus extrinsic motivation</w:t>
      </w:r>
    </w:p>
    <w:p w:rsidR="00A57E18" w:rsidRPr="00A673D1" w:rsidRDefault="00A673D1" w:rsidP="00A673D1">
      <w:pPr>
        <w:pStyle w:val="ListParagraph"/>
        <w:numPr>
          <w:ilvl w:val="1"/>
          <w:numId w:val="2"/>
        </w:numPr>
        <w:rPr>
          <w:lang w:val="en-US"/>
        </w:rPr>
      </w:pPr>
      <w:r w:rsidRPr="00A673D1">
        <w:rPr>
          <w:lang w:val="en-US"/>
        </w:rPr>
        <w:t>Communication strategies</w:t>
      </w:r>
    </w:p>
    <w:p w:rsidR="00A57E18" w:rsidRDefault="00A57E18" w:rsidP="005E3565">
      <w:pPr>
        <w:pStyle w:val="Heading2"/>
      </w:pPr>
      <w:r>
        <w:t>Slide 8:</w:t>
      </w:r>
    </w:p>
    <w:p w:rsidR="00A57E18" w:rsidRDefault="003676B3" w:rsidP="003676B3">
      <w:pPr>
        <w:pStyle w:val="Heading3"/>
      </w:pPr>
      <w:r w:rsidRPr="003676B3">
        <w:t>Cycle 2 conclusions</w:t>
      </w:r>
    </w:p>
    <w:p w:rsidR="00BF4F80" w:rsidRDefault="003676B3" w:rsidP="009575D5">
      <w:pPr>
        <w:spacing w:after="120"/>
        <w:rPr>
          <w:b/>
          <w:bCs/>
        </w:rPr>
      </w:pPr>
      <w:r w:rsidRPr="003676B3">
        <w:rPr>
          <w:b/>
          <w:bCs/>
        </w:rPr>
        <w:t>EMAR tool</w:t>
      </w:r>
    </w:p>
    <w:p w:rsidR="003676B3" w:rsidRPr="003676B3" w:rsidRDefault="003676B3" w:rsidP="003676B3">
      <w:pPr>
        <w:pStyle w:val="ListParagraph"/>
        <w:numPr>
          <w:ilvl w:val="0"/>
          <w:numId w:val="2"/>
        </w:numPr>
        <w:rPr>
          <w:lang w:val="en-US"/>
        </w:rPr>
      </w:pPr>
      <w:r w:rsidRPr="003676B3">
        <w:rPr>
          <w:lang w:val="en-US"/>
        </w:rPr>
        <w:t>Effectiveness: critical decision points</w:t>
      </w:r>
    </w:p>
    <w:p w:rsidR="00BF4F80" w:rsidRDefault="003676B3" w:rsidP="003676B3">
      <w:pPr>
        <w:pStyle w:val="ListParagraph"/>
        <w:numPr>
          <w:ilvl w:val="0"/>
          <w:numId w:val="2"/>
        </w:numPr>
        <w:rPr>
          <w:lang w:val="en-US"/>
        </w:rPr>
      </w:pPr>
      <w:r w:rsidRPr="003676B3">
        <w:rPr>
          <w:lang w:val="en-US"/>
        </w:rPr>
        <w:t>Where we are now</w:t>
      </w:r>
    </w:p>
    <w:p w:rsidR="00BF4F80" w:rsidRDefault="003676B3" w:rsidP="003676B3">
      <w:pPr>
        <w:pStyle w:val="ListParagraph"/>
        <w:numPr>
          <w:ilvl w:val="0"/>
          <w:numId w:val="2"/>
        </w:numPr>
        <w:rPr>
          <w:lang w:val="en-US"/>
        </w:rPr>
      </w:pPr>
      <w:r w:rsidRPr="003676B3">
        <w:rPr>
          <w:lang w:val="en-US"/>
        </w:rPr>
        <w:t>Where to next?</w:t>
      </w:r>
    </w:p>
    <w:p w:rsidR="00BF4F80" w:rsidRDefault="003676B3" w:rsidP="009575D5">
      <w:pPr>
        <w:spacing w:after="120"/>
        <w:rPr>
          <w:b/>
          <w:bCs/>
        </w:rPr>
      </w:pPr>
      <w:r w:rsidRPr="003676B3">
        <w:rPr>
          <w:b/>
          <w:bCs/>
        </w:rPr>
        <w:t>Further enquiry</w:t>
      </w:r>
    </w:p>
    <w:p w:rsidR="00BF4F80" w:rsidRDefault="003676B3" w:rsidP="003676B3">
      <w:pPr>
        <w:pStyle w:val="ListParagraph"/>
        <w:numPr>
          <w:ilvl w:val="0"/>
          <w:numId w:val="2"/>
        </w:numPr>
        <w:rPr>
          <w:lang w:val="en-US"/>
        </w:rPr>
      </w:pPr>
      <w:r w:rsidRPr="003676B3">
        <w:rPr>
          <w:lang w:val="en-US"/>
        </w:rPr>
        <w:t>Emerging themes</w:t>
      </w:r>
    </w:p>
    <w:p w:rsidR="00BF4F80" w:rsidRDefault="003676B3" w:rsidP="003676B3">
      <w:pPr>
        <w:pStyle w:val="ListParagraph"/>
        <w:numPr>
          <w:ilvl w:val="0"/>
          <w:numId w:val="2"/>
        </w:numPr>
        <w:rPr>
          <w:lang w:val="en-US"/>
        </w:rPr>
      </w:pPr>
      <w:r w:rsidRPr="003676B3">
        <w:rPr>
          <w:lang w:val="en-US"/>
        </w:rPr>
        <w:t>Literature and environmental review</w:t>
      </w:r>
    </w:p>
    <w:p w:rsidR="00A57E18" w:rsidRDefault="00A57E18" w:rsidP="005E3565">
      <w:pPr>
        <w:pStyle w:val="Heading2"/>
      </w:pPr>
      <w:r w:rsidRPr="005E3565">
        <w:rPr>
          <w:lang w:val="en-US"/>
        </w:rPr>
        <w:t>Slide</w:t>
      </w:r>
      <w:r>
        <w:t xml:space="preserve"> 9:</w:t>
      </w:r>
    </w:p>
    <w:p w:rsidR="00A57E18" w:rsidRDefault="003676B3" w:rsidP="003676B3">
      <w:pPr>
        <w:pStyle w:val="Heading3"/>
      </w:pPr>
      <w:r w:rsidRPr="003676B3">
        <w:t>Principles of Universal Design Development Learning Essentials (PUDDLEs)</w:t>
      </w:r>
    </w:p>
    <w:p w:rsidR="00000000" w:rsidRPr="003676B3" w:rsidRDefault="0031680E" w:rsidP="003676B3">
      <w:r w:rsidRPr="003676B3">
        <w:rPr>
          <w:lang w:val="en-US"/>
        </w:rPr>
        <w:t xml:space="preserve">'Acronyms are a powerful tool for recalling information which makes them a fantastic memory aid.' Dr </w:t>
      </w:r>
      <w:proofErr w:type="spellStart"/>
      <w:r w:rsidRPr="003676B3">
        <w:rPr>
          <w:lang w:val="en-US"/>
        </w:rPr>
        <w:t>Sharmon</w:t>
      </w:r>
      <w:proofErr w:type="spellEnd"/>
      <w:r w:rsidRPr="003676B3">
        <w:rPr>
          <w:lang w:val="en-US"/>
        </w:rPr>
        <w:t xml:space="preserve">, </w:t>
      </w:r>
      <w:proofErr w:type="spellStart"/>
      <w:r w:rsidRPr="003676B3">
        <w:rPr>
          <w:lang w:val="en-US"/>
        </w:rPr>
        <w:t>Deakin</w:t>
      </w:r>
      <w:proofErr w:type="spellEnd"/>
      <w:r w:rsidRPr="003676B3">
        <w:rPr>
          <w:lang w:val="en-US"/>
        </w:rPr>
        <w:t xml:space="preserve"> University</w:t>
      </w:r>
    </w:p>
    <w:p w:rsidR="00A57E18" w:rsidRDefault="00A57E18" w:rsidP="005E3565">
      <w:pPr>
        <w:pStyle w:val="Heading2"/>
      </w:pPr>
      <w:r>
        <w:t>Slide 10:</w:t>
      </w:r>
    </w:p>
    <w:p w:rsidR="00A57E18" w:rsidRDefault="003676B3" w:rsidP="003676B3">
      <w:pPr>
        <w:pStyle w:val="Heading3"/>
      </w:pPr>
      <w:r w:rsidRPr="003676B3">
        <w:t>Change Agents</w:t>
      </w:r>
    </w:p>
    <w:p w:rsidR="00000000" w:rsidRPr="003676B3" w:rsidRDefault="0031680E" w:rsidP="003676B3">
      <w:pPr>
        <w:pStyle w:val="ListParagraph"/>
        <w:numPr>
          <w:ilvl w:val="0"/>
          <w:numId w:val="2"/>
        </w:numPr>
        <w:rPr>
          <w:lang w:val="en-US"/>
        </w:rPr>
      </w:pPr>
      <w:r w:rsidRPr="003676B3">
        <w:rPr>
          <w:lang w:val="en-US"/>
        </w:rPr>
        <w:t>Planting early adopters to act as change agents in faculties.</w:t>
      </w:r>
    </w:p>
    <w:p w:rsidR="003676B3" w:rsidRPr="003676B3" w:rsidRDefault="003676B3" w:rsidP="003676B3">
      <w:pPr>
        <w:ind w:left="1080"/>
        <w:rPr>
          <w:lang w:val="en-US"/>
        </w:rPr>
      </w:pPr>
      <w:r w:rsidRPr="003676B3">
        <w:rPr>
          <w:lang w:val="en-US"/>
        </w:rPr>
        <w:t>Or</w:t>
      </w:r>
    </w:p>
    <w:p w:rsidR="00000000" w:rsidRPr="003676B3" w:rsidRDefault="0031680E" w:rsidP="003676B3">
      <w:pPr>
        <w:pStyle w:val="ListParagraph"/>
        <w:numPr>
          <w:ilvl w:val="0"/>
          <w:numId w:val="2"/>
        </w:numPr>
        <w:rPr>
          <w:lang w:val="en-US"/>
        </w:rPr>
      </w:pPr>
      <w:r w:rsidRPr="003676B3">
        <w:rPr>
          <w:lang w:val="en-US"/>
        </w:rPr>
        <w:t>Faculty pilot programs.</w:t>
      </w:r>
    </w:p>
    <w:p w:rsidR="00A57E18" w:rsidRDefault="00A57E18" w:rsidP="005E3565">
      <w:pPr>
        <w:pStyle w:val="Heading2"/>
      </w:pPr>
      <w:r w:rsidRPr="005E3565">
        <w:rPr>
          <w:lang w:val="en-US"/>
        </w:rPr>
        <w:t>Slide</w:t>
      </w:r>
      <w:r>
        <w:t xml:space="preserve"> 11:</w:t>
      </w:r>
    </w:p>
    <w:p w:rsidR="00A57E18" w:rsidRDefault="009575D5" w:rsidP="009575D5">
      <w:pPr>
        <w:pStyle w:val="Heading3"/>
      </w:pPr>
      <w:r w:rsidRPr="009575D5">
        <w:t>What is on the horizon?</w:t>
      </w:r>
    </w:p>
    <w:p w:rsidR="00BF4F80" w:rsidRDefault="009575D5" w:rsidP="009575D5">
      <w:pPr>
        <w:spacing w:after="120"/>
        <w:rPr>
          <w:b/>
          <w:bCs/>
          <w:lang w:val="en-US"/>
        </w:rPr>
      </w:pPr>
      <w:r w:rsidRPr="009575D5">
        <w:rPr>
          <w:b/>
          <w:bCs/>
        </w:rPr>
        <w:t>Environmental scan</w:t>
      </w:r>
    </w:p>
    <w:p w:rsidR="00BF4F80" w:rsidRDefault="009575D5" w:rsidP="009575D5">
      <w:pPr>
        <w:pStyle w:val="ListParagraph"/>
        <w:numPr>
          <w:ilvl w:val="0"/>
          <w:numId w:val="2"/>
        </w:numPr>
        <w:rPr>
          <w:lang w:val="en-US"/>
        </w:rPr>
      </w:pPr>
      <w:r w:rsidRPr="009575D5">
        <w:rPr>
          <w:lang w:val="en-US"/>
        </w:rPr>
        <w:t>What can we borrow?</w:t>
      </w:r>
    </w:p>
    <w:p w:rsidR="00BF4F80" w:rsidRDefault="009575D5" w:rsidP="009575D5">
      <w:pPr>
        <w:spacing w:after="120"/>
        <w:rPr>
          <w:b/>
          <w:bCs/>
        </w:rPr>
      </w:pPr>
      <w:r w:rsidRPr="009575D5">
        <w:rPr>
          <w:b/>
          <w:bCs/>
        </w:rPr>
        <w:t>Further enquiry</w:t>
      </w:r>
    </w:p>
    <w:p w:rsidR="00BF4F80" w:rsidRDefault="009575D5" w:rsidP="009575D5">
      <w:pPr>
        <w:pStyle w:val="ListParagraph"/>
        <w:numPr>
          <w:ilvl w:val="0"/>
          <w:numId w:val="2"/>
        </w:numPr>
        <w:rPr>
          <w:lang w:val="en-US"/>
        </w:rPr>
      </w:pPr>
      <w:r w:rsidRPr="009575D5">
        <w:rPr>
          <w:lang w:val="en-US"/>
        </w:rPr>
        <w:lastRenderedPageBreak/>
        <w:t>Rubric</w:t>
      </w:r>
    </w:p>
    <w:p w:rsidR="00BF4F80" w:rsidRDefault="009575D5" w:rsidP="009575D5">
      <w:pPr>
        <w:pStyle w:val="ListParagraph"/>
        <w:numPr>
          <w:ilvl w:val="0"/>
          <w:numId w:val="2"/>
        </w:numPr>
        <w:rPr>
          <w:lang w:val="en-US"/>
        </w:rPr>
      </w:pPr>
      <w:r w:rsidRPr="009575D5">
        <w:rPr>
          <w:lang w:val="en-US"/>
        </w:rPr>
        <w:t>Checklist</w:t>
      </w:r>
    </w:p>
    <w:p w:rsidR="00BF4F80" w:rsidRDefault="009575D5" w:rsidP="009575D5">
      <w:pPr>
        <w:pStyle w:val="ListParagraph"/>
        <w:numPr>
          <w:ilvl w:val="0"/>
          <w:numId w:val="2"/>
        </w:numPr>
        <w:rPr>
          <w:lang w:val="en-US"/>
        </w:rPr>
      </w:pPr>
      <w:r w:rsidRPr="009575D5">
        <w:rPr>
          <w:lang w:val="en-US"/>
        </w:rPr>
        <w:t>Template</w:t>
      </w:r>
    </w:p>
    <w:p w:rsidR="00A57E18" w:rsidRDefault="00A57E18" w:rsidP="005E3565">
      <w:pPr>
        <w:pStyle w:val="Heading2"/>
      </w:pPr>
      <w:r>
        <w:t>Slide 12:</w:t>
      </w:r>
    </w:p>
    <w:p w:rsidR="00A57E18" w:rsidRDefault="000E01FD" w:rsidP="000E01FD">
      <w:pPr>
        <w:pStyle w:val="Heading3"/>
      </w:pPr>
      <w:r>
        <w:t>Can be replicated or elaborated</w:t>
      </w:r>
    </w:p>
    <w:p w:rsidR="000E01FD" w:rsidRPr="000E01FD" w:rsidRDefault="000E01FD" w:rsidP="000E01FD">
      <w:r w:rsidRPr="000E01FD">
        <w:rPr>
          <w:lang w:val="en-US"/>
        </w:rPr>
        <w:t>The activity or work has significance beyond the individual context: Breaks new ground or is innovative</w:t>
      </w:r>
    </w:p>
    <w:p w:rsidR="00A57E18" w:rsidRDefault="00A57E18" w:rsidP="005E3565">
      <w:pPr>
        <w:pStyle w:val="Heading2"/>
      </w:pPr>
      <w:r w:rsidRPr="005E3565">
        <w:rPr>
          <w:lang w:val="en-US"/>
        </w:rPr>
        <w:t>Slide13</w:t>
      </w:r>
      <w:r>
        <w:t>:</w:t>
      </w:r>
    </w:p>
    <w:p w:rsidR="00A57E18" w:rsidRDefault="000E01FD" w:rsidP="000E01FD">
      <w:pPr>
        <w:pStyle w:val="Heading3"/>
      </w:pPr>
      <w:r w:rsidRPr="000E01FD">
        <w:t>References</w:t>
      </w:r>
    </w:p>
    <w:p w:rsidR="00BF4F80" w:rsidRPr="0031680E" w:rsidRDefault="0031680E" w:rsidP="0031680E">
      <w:pPr>
        <w:pStyle w:val="ListParagraph"/>
        <w:numPr>
          <w:ilvl w:val="0"/>
          <w:numId w:val="15"/>
        </w:numPr>
        <w:rPr>
          <w:lang w:val="de-DE"/>
        </w:rPr>
      </w:pPr>
      <w:r w:rsidRPr="000E01FD">
        <w:t>ACCESS Project, 2011, 'Universal Design for Learning: A Concise Introduction', Colorado State University [PDF] </w:t>
      </w:r>
      <w:hyperlink r:id="rId5" w:history="1">
        <w:r w:rsidRPr="000E01FD">
          <w:rPr>
            <w:rStyle w:val="Hyperlink"/>
          </w:rPr>
          <w:t>http://accessproject.colostate.edu/udl/modules/udl_introduction/udl_concise_intro.pdf</w:t>
        </w:r>
      </w:hyperlink>
    </w:p>
    <w:p w:rsidR="00BF4F80" w:rsidRDefault="0031680E" w:rsidP="0031680E">
      <w:pPr>
        <w:pStyle w:val="ListParagraph"/>
        <w:numPr>
          <w:ilvl w:val="0"/>
          <w:numId w:val="15"/>
        </w:numPr>
      </w:pPr>
      <w:r w:rsidRPr="000E01FD">
        <w:t>ADCET: Universal Design </w:t>
      </w:r>
      <w:hyperlink r:id="rId6" w:history="1">
        <w:r w:rsidRPr="000E01FD">
          <w:rPr>
            <w:rStyle w:val="Hyperlink"/>
          </w:rPr>
          <w:t>https://www.adcet.edu.au/disability-practitioner/course-design-and-implementation/universal-design</w:t>
        </w:r>
      </w:hyperlink>
    </w:p>
    <w:p w:rsidR="00BF4F80" w:rsidRDefault="0031680E" w:rsidP="0031680E">
      <w:pPr>
        <w:pStyle w:val="ListParagraph"/>
        <w:numPr>
          <w:ilvl w:val="0"/>
          <w:numId w:val="15"/>
        </w:numPr>
      </w:pPr>
      <w:r w:rsidRPr="0031680E">
        <w:rPr>
          <w:lang w:val="de-DE"/>
        </w:rPr>
        <w:t xml:space="preserve">Altrichter, H., Posch, P. &amp; </w:t>
      </w:r>
      <w:r w:rsidRPr="0031680E">
        <w:rPr>
          <w:lang w:val="de-DE"/>
        </w:rPr>
        <w:t>Somekh, B. 1993,</w:t>
      </w:r>
      <w:r w:rsidRPr="0031680E">
        <w:rPr>
          <w:i/>
          <w:iCs/>
        </w:rPr>
        <w:t>Teachers Investigate Their Work: An Introduction to the Methods of Action Research</w:t>
      </w:r>
      <w:r w:rsidRPr="000E01FD">
        <w:t xml:space="preserve">, </w:t>
      </w:r>
      <w:proofErr w:type="spellStart"/>
      <w:r w:rsidRPr="000E01FD">
        <w:t>Routledge</w:t>
      </w:r>
      <w:proofErr w:type="spellEnd"/>
      <w:r w:rsidRPr="000E01FD">
        <w:t>, London </w:t>
      </w:r>
      <w:hyperlink r:id="rId7" w:history="1">
        <w:r w:rsidRPr="000E01FD">
          <w:rPr>
            <w:rStyle w:val="Hyperlink"/>
          </w:rPr>
          <w:t>https://kangkholidblog</w:t>
        </w:r>
        <w:r w:rsidRPr="000E01FD">
          <w:rPr>
            <w:rStyle w:val="Hyperlink"/>
          </w:rPr>
          <w:t>.files.wordpress.com/2018/03/herbert-dkk-teachers-investigate-their-works.pdf</w:t>
        </w:r>
      </w:hyperlink>
      <w:r w:rsidRPr="000E01FD">
        <w:t> </w:t>
      </w:r>
    </w:p>
    <w:p w:rsidR="00BF4F80" w:rsidRPr="0031680E" w:rsidRDefault="0031680E" w:rsidP="0031680E">
      <w:pPr>
        <w:pStyle w:val="ListParagraph"/>
        <w:numPr>
          <w:ilvl w:val="0"/>
          <w:numId w:val="15"/>
        </w:numPr>
        <w:rPr>
          <w:lang w:val="en-US"/>
        </w:rPr>
      </w:pPr>
      <w:r w:rsidRPr="0031680E">
        <w:rPr>
          <w:lang w:val="en-US"/>
        </w:rPr>
        <w:t xml:space="preserve">Australian Vocational Education and Training Research Association, 2021. </w:t>
      </w:r>
      <w:r w:rsidRPr="0031680E">
        <w:rPr>
          <w:i/>
          <w:iCs/>
          <w:lang w:val="en-US"/>
        </w:rPr>
        <w:t xml:space="preserve">Webinar 7: Human research ethics. </w:t>
      </w:r>
      <w:r w:rsidRPr="0031680E">
        <w:rPr>
          <w:lang w:val="en-US"/>
        </w:rPr>
        <w:t xml:space="preserve">[Online] </w:t>
      </w:r>
      <w:r w:rsidRPr="0031680E">
        <w:rPr>
          <w:lang w:val="en-US"/>
        </w:rPr>
        <w:br/>
        <w:t xml:space="preserve">Available at: </w:t>
      </w:r>
      <w:r w:rsidRPr="0031680E">
        <w:rPr>
          <w:u w:val="single"/>
          <w:lang w:val="en-US"/>
        </w:rPr>
        <w:t>https://avetra.org.au/events.php/40/webinar-</w:t>
      </w:r>
      <w:r w:rsidRPr="0031680E">
        <w:rPr>
          <w:u w:val="single"/>
          <w:lang w:val="en-US"/>
        </w:rPr>
        <w:t>7-human-research-ethics</w:t>
      </w:r>
    </w:p>
    <w:p w:rsidR="00BF4F80" w:rsidRDefault="0031680E" w:rsidP="0031680E">
      <w:pPr>
        <w:pStyle w:val="ListParagraph"/>
        <w:numPr>
          <w:ilvl w:val="0"/>
          <w:numId w:val="15"/>
        </w:numPr>
      </w:pPr>
      <w:proofErr w:type="spellStart"/>
      <w:r w:rsidRPr="000E01FD">
        <w:t>Burgstahler</w:t>
      </w:r>
      <w:proofErr w:type="spellEnd"/>
      <w:r w:rsidRPr="000E01FD">
        <w:t>, S. 2020, </w:t>
      </w:r>
      <w:r w:rsidRPr="0031680E">
        <w:rPr>
          <w:i/>
          <w:iCs/>
        </w:rPr>
        <w:t>Universal Design of Instruction (UDI): Definition, Principles, Guidelines, and Examples</w:t>
      </w:r>
      <w:r w:rsidRPr="000E01FD">
        <w:t>, DO.IT (Disabilities, Opportunities, Internetworking and Technology) </w:t>
      </w:r>
      <w:hyperlink r:id="rId8" w:history="1">
        <w:r w:rsidRPr="000E01FD">
          <w:rPr>
            <w:rStyle w:val="Hyperlink"/>
          </w:rPr>
          <w:t>https://www.washington.edu/doit/universal-design-instruction-udi-definition-principles-guidelines-and-examples</w:t>
        </w:r>
      </w:hyperlink>
    </w:p>
    <w:p w:rsidR="00BF4F80" w:rsidRDefault="0031680E" w:rsidP="0031680E">
      <w:pPr>
        <w:pStyle w:val="ListParagraph"/>
        <w:numPr>
          <w:ilvl w:val="0"/>
          <w:numId w:val="15"/>
        </w:numPr>
      </w:pPr>
      <w:r w:rsidRPr="000E01FD">
        <w:t xml:space="preserve">CAST, </w:t>
      </w:r>
      <w:r w:rsidRPr="0031680E">
        <w:rPr>
          <w:i/>
          <w:iCs/>
        </w:rPr>
        <w:t>About Univ</w:t>
      </w:r>
      <w:r w:rsidRPr="0031680E">
        <w:rPr>
          <w:i/>
          <w:iCs/>
        </w:rPr>
        <w:t>ersal Design for Learning</w:t>
      </w:r>
      <w:r w:rsidRPr="000E01FD">
        <w:t>, </w:t>
      </w:r>
      <w:hyperlink r:id="rId9" w:history="1">
        <w:r w:rsidRPr="000E01FD">
          <w:rPr>
            <w:rStyle w:val="Hyperlink"/>
          </w:rPr>
          <w:t>https://www.cast.org/impact/universal-design-for-learning-udl</w:t>
        </w:r>
      </w:hyperlink>
      <w:r w:rsidRPr="000E01FD">
        <w:t> </w:t>
      </w:r>
    </w:p>
    <w:p w:rsidR="00BF4F80" w:rsidRDefault="0031680E" w:rsidP="0031680E">
      <w:pPr>
        <w:pStyle w:val="ListParagraph"/>
        <w:numPr>
          <w:ilvl w:val="0"/>
          <w:numId w:val="15"/>
        </w:numPr>
      </w:pPr>
      <w:r w:rsidRPr="000E01FD">
        <w:t xml:space="preserve">Connell, B. R., Jones, M., Mace, R., Mueller, J., </w:t>
      </w:r>
      <w:proofErr w:type="spellStart"/>
      <w:r w:rsidRPr="000E01FD">
        <w:t>Mullick</w:t>
      </w:r>
      <w:proofErr w:type="spellEnd"/>
      <w:r w:rsidRPr="000E01FD">
        <w:t xml:space="preserve">, A., </w:t>
      </w:r>
      <w:proofErr w:type="spellStart"/>
      <w:r w:rsidRPr="000E01FD">
        <w:t>Ostroff</w:t>
      </w:r>
      <w:proofErr w:type="spellEnd"/>
      <w:r w:rsidRPr="000E01FD">
        <w:t>, E., Sanford, J</w:t>
      </w:r>
      <w:r w:rsidRPr="000E01FD">
        <w:t xml:space="preserve">., </w:t>
      </w:r>
      <w:proofErr w:type="spellStart"/>
      <w:r w:rsidRPr="000E01FD">
        <w:t>Steinfeld</w:t>
      </w:r>
      <w:proofErr w:type="spellEnd"/>
      <w:r w:rsidRPr="000E01FD">
        <w:t>, E., Story, M. </w:t>
      </w:r>
      <w:proofErr w:type="spellStart"/>
      <w:r w:rsidRPr="000E01FD">
        <w:t>Vanderheiden</w:t>
      </w:r>
      <w:proofErr w:type="spellEnd"/>
      <w:r w:rsidRPr="000E01FD">
        <w:t xml:space="preserve">, G. 1997, </w:t>
      </w:r>
      <w:r w:rsidRPr="0031680E">
        <w:rPr>
          <w:i/>
          <w:iCs/>
        </w:rPr>
        <w:t>The Principles of Universal Design</w:t>
      </w:r>
      <w:r w:rsidRPr="000E01FD">
        <w:t xml:space="preserve">, The </w:t>
      </w:r>
      <w:proofErr w:type="spellStart"/>
      <w:r w:rsidRPr="000E01FD">
        <w:t>Center</w:t>
      </w:r>
      <w:proofErr w:type="spellEnd"/>
      <w:r w:rsidRPr="000E01FD">
        <w:t xml:space="preserve"> for Universal Design, NC State University </w:t>
      </w:r>
      <w:hyperlink r:id="rId10" w:history="1">
        <w:r w:rsidRPr="000E01FD">
          <w:rPr>
            <w:rStyle w:val="Hyperlink"/>
          </w:rPr>
          <w:t>https://projects.ncsu.edu/ncsu/design/cud/about_ud/udprinciplestext.htm</w:t>
        </w:r>
      </w:hyperlink>
    </w:p>
    <w:p w:rsidR="00BF4F80" w:rsidRDefault="0031680E" w:rsidP="0031680E">
      <w:pPr>
        <w:pStyle w:val="ListParagraph"/>
        <w:numPr>
          <w:ilvl w:val="0"/>
          <w:numId w:val="15"/>
        </w:numPr>
      </w:pPr>
      <w:r w:rsidRPr="0031680E">
        <w:rPr>
          <w:lang w:val="en-US"/>
        </w:rPr>
        <w:t xml:space="preserve">McPherson, M. &amp; </w:t>
      </w:r>
      <w:proofErr w:type="spellStart"/>
      <w:r w:rsidRPr="0031680E">
        <w:rPr>
          <w:lang w:val="en-US"/>
        </w:rPr>
        <w:t>Nunes</w:t>
      </w:r>
      <w:proofErr w:type="spellEnd"/>
      <w:r w:rsidRPr="0031680E">
        <w:rPr>
          <w:lang w:val="en-US"/>
        </w:rPr>
        <w:t xml:space="preserve">, M. B., 2004. </w:t>
      </w:r>
      <w:r w:rsidRPr="0031680E">
        <w:rPr>
          <w:i/>
          <w:iCs/>
          <w:lang w:val="en-US"/>
        </w:rPr>
        <w:t xml:space="preserve">Developing Innovation in Online Learning: An Action Research Framework. </w:t>
      </w:r>
      <w:r w:rsidRPr="0031680E">
        <w:rPr>
          <w:lang w:val="en-US"/>
        </w:rPr>
        <w:t xml:space="preserve">1 ed. London: </w:t>
      </w:r>
      <w:proofErr w:type="spellStart"/>
      <w:r w:rsidRPr="0031680E">
        <w:rPr>
          <w:lang w:val="en-US"/>
        </w:rPr>
        <w:t>Routlege-Falmer</w:t>
      </w:r>
      <w:proofErr w:type="spellEnd"/>
      <w:r w:rsidRPr="0031680E">
        <w:rPr>
          <w:lang w:val="en-US"/>
        </w:rPr>
        <w:t>.</w:t>
      </w:r>
    </w:p>
    <w:p w:rsidR="00000000" w:rsidRPr="000E01FD" w:rsidRDefault="0031680E" w:rsidP="0031680E">
      <w:pPr>
        <w:pStyle w:val="ListParagraph"/>
        <w:numPr>
          <w:ilvl w:val="0"/>
          <w:numId w:val="15"/>
        </w:numPr>
      </w:pPr>
      <w:r w:rsidRPr="000E01FD">
        <w:t>National Centre for Student Equity in Hig</w:t>
      </w:r>
      <w:r w:rsidRPr="000E01FD">
        <w:t xml:space="preserve">her Education (NCSEHE) 2018, </w:t>
      </w:r>
      <w:r w:rsidRPr="0031680E">
        <w:rPr>
          <w:i/>
          <w:iCs/>
        </w:rPr>
        <w:t>Deakin University — Inclusive Curriculum and Capacity Building (ICCB)</w:t>
      </w:r>
      <w:r w:rsidRPr="000E01FD">
        <w:t>, Curtin University.</w:t>
      </w:r>
    </w:p>
    <w:p w:rsidR="00BF4F80" w:rsidRDefault="0031680E" w:rsidP="0031680E">
      <w:pPr>
        <w:pStyle w:val="ListParagraph"/>
        <w:numPr>
          <w:ilvl w:val="0"/>
          <w:numId w:val="15"/>
        </w:numPr>
      </w:pPr>
      <w:r w:rsidRPr="0031680E">
        <w:rPr>
          <w:lang w:val="en-US"/>
        </w:rPr>
        <w:t xml:space="preserve">Nous Group. (2019). </w:t>
      </w:r>
      <w:r w:rsidRPr="0031680E">
        <w:rPr>
          <w:i/>
          <w:iCs/>
          <w:lang w:val="en-US"/>
        </w:rPr>
        <w:t xml:space="preserve">Improving </w:t>
      </w:r>
      <w:proofErr w:type="spellStart"/>
      <w:r w:rsidRPr="0031680E">
        <w:rPr>
          <w:i/>
          <w:iCs/>
          <w:lang w:val="en-US"/>
        </w:rPr>
        <w:t>assess</w:t>
      </w:r>
      <w:proofErr w:type="spellEnd"/>
      <w:r w:rsidRPr="0031680E">
        <w:rPr>
          <w:i/>
          <w:iCs/>
          <w:lang w:val="en-US"/>
        </w:rPr>
        <w:t xml:space="preserve"> and achievement for students with a disability - final report.</w:t>
      </w:r>
      <w:r w:rsidRPr="0031680E">
        <w:rPr>
          <w:lang w:val="en-US"/>
        </w:rPr>
        <w:t xml:space="preserve"> Melbourne: Box Hill Institute (commi</w:t>
      </w:r>
      <w:r w:rsidRPr="0031680E">
        <w:rPr>
          <w:lang w:val="en-US"/>
        </w:rPr>
        <w:t>ssioned on behalf of the TAFE network).</w:t>
      </w:r>
    </w:p>
    <w:p w:rsidR="00BF4F80" w:rsidRDefault="0031680E" w:rsidP="0031680E">
      <w:pPr>
        <w:pStyle w:val="ListParagraph"/>
        <w:numPr>
          <w:ilvl w:val="0"/>
          <w:numId w:val="15"/>
        </w:numPr>
      </w:pPr>
      <w:r w:rsidRPr="0031680E">
        <w:rPr>
          <w:lang w:val="en-US"/>
        </w:rPr>
        <w:t xml:space="preserve">OECD, 2009. </w:t>
      </w:r>
      <w:r w:rsidRPr="0031680E">
        <w:rPr>
          <w:i/>
          <w:iCs/>
          <w:lang w:val="en-US"/>
        </w:rPr>
        <w:t xml:space="preserve">Creating Effective Teaching and Learning Environments: First Results from TALIS, </w:t>
      </w:r>
      <w:proofErr w:type="spellStart"/>
      <w:r w:rsidRPr="0031680E">
        <w:rPr>
          <w:lang w:val="en-US"/>
        </w:rPr>
        <w:t>s.l</w:t>
      </w:r>
      <w:proofErr w:type="spellEnd"/>
      <w:r w:rsidRPr="0031680E">
        <w:rPr>
          <w:lang w:val="en-US"/>
        </w:rPr>
        <w:t>.: Source OECD.</w:t>
      </w:r>
    </w:p>
    <w:p w:rsidR="00BF4F80" w:rsidRDefault="0031680E" w:rsidP="0031680E">
      <w:pPr>
        <w:pStyle w:val="ListParagraph"/>
        <w:numPr>
          <w:ilvl w:val="0"/>
          <w:numId w:val="15"/>
        </w:numPr>
      </w:pPr>
      <w:r w:rsidRPr="0031680E">
        <w:rPr>
          <w:lang w:val="en-US"/>
        </w:rPr>
        <w:lastRenderedPageBreak/>
        <w:t xml:space="preserve">Pitman, T. (2021, February 14). </w:t>
      </w:r>
      <w:r w:rsidRPr="0031680E">
        <w:rPr>
          <w:i/>
          <w:iCs/>
          <w:lang w:val="en-US"/>
        </w:rPr>
        <w:t>Disability not the problem, awareness and accessibility are.</w:t>
      </w:r>
      <w:r w:rsidRPr="0031680E">
        <w:rPr>
          <w:lang w:val="en-US"/>
        </w:rPr>
        <w:t xml:space="preserve"> Retriev</w:t>
      </w:r>
      <w:r w:rsidRPr="0031680E">
        <w:rPr>
          <w:lang w:val="en-US"/>
        </w:rPr>
        <w:t>ed from Campus morning mail: https://campusmorningmail.com.au/news/disability-not-the-problem-awareness-and-accessibility-are/</w:t>
      </w:r>
    </w:p>
    <w:p w:rsidR="00000000" w:rsidRPr="000E01FD" w:rsidRDefault="0031680E" w:rsidP="0031680E">
      <w:pPr>
        <w:pStyle w:val="ListParagraph"/>
        <w:numPr>
          <w:ilvl w:val="0"/>
          <w:numId w:val="15"/>
        </w:numPr>
      </w:pPr>
      <w:proofErr w:type="spellStart"/>
      <w:r w:rsidRPr="000E01FD">
        <w:t>Rickinson</w:t>
      </w:r>
      <w:proofErr w:type="spellEnd"/>
      <w:r w:rsidRPr="000E01FD">
        <w:t xml:space="preserve">, M., </w:t>
      </w:r>
      <w:proofErr w:type="spellStart"/>
      <w:r w:rsidRPr="000E01FD">
        <w:t>Mildon</w:t>
      </w:r>
      <w:proofErr w:type="spellEnd"/>
      <w:r w:rsidRPr="000E01FD">
        <w:t xml:space="preserve">, R. &amp; Donovan, J., 2020. </w:t>
      </w:r>
      <w:r w:rsidRPr="0031680E">
        <w:rPr>
          <w:i/>
          <w:iCs/>
        </w:rPr>
        <w:t>What does it mean to use research evidence well in education</w:t>
      </w:r>
      <w:proofErr w:type="gramStart"/>
      <w:r w:rsidRPr="0031680E">
        <w:rPr>
          <w:i/>
          <w:iCs/>
        </w:rPr>
        <w:t>?.</w:t>
      </w:r>
      <w:proofErr w:type="gramEnd"/>
      <w:r w:rsidRPr="0031680E">
        <w:rPr>
          <w:i/>
          <w:iCs/>
        </w:rPr>
        <w:t xml:space="preserve"> </w:t>
      </w:r>
      <w:hyperlink r:id="rId11" w:history="1">
        <w:r w:rsidRPr="000E01FD">
          <w:rPr>
            <w:rStyle w:val="Hyperlink"/>
          </w:rPr>
          <w:t>https://www.eisummit.org/events</w:t>
        </w:r>
      </w:hyperlink>
      <w:r w:rsidRPr="000E01FD">
        <w:t>: Evidence and Implementation Summit 2021.</w:t>
      </w:r>
    </w:p>
    <w:p w:rsidR="00A57E18" w:rsidRPr="00BF4F80" w:rsidRDefault="0031680E" w:rsidP="0031680E">
      <w:pPr>
        <w:pStyle w:val="ListParagraph"/>
        <w:numPr>
          <w:ilvl w:val="0"/>
          <w:numId w:val="15"/>
        </w:numPr>
      </w:pPr>
      <w:proofErr w:type="spellStart"/>
      <w:r w:rsidRPr="000E01FD">
        <w:t>Venville</w:t>
      </w:r>
      <w:proofErr w:type="spellEnd"/>
      <w:r w:rsidRPr="000E01FD">
        <w:t xml:space="preserve">, A., Street, A. &amp; </w:t>
      </w:r>
      <w:proofErr w:type="spellStart"/>
      <w:r w:rsidRPr="000E01FD">
        <w:t>Fossey</w:t>
      </w:r>
      <w:proofErr w:type="spellEnd"/>
      <w:r w:rsidRPr="000E01FD">
        <w:t xml:space="preserve">, E., 2014. Student perspective on disclosure of mental illness in post-compulsory education: displacing </w:t>
      </w:r>
      <w:proofErr w:type="spellStart"/>
      <w:r w:rsidRPr="000E01FD">
        <w:t>doxa</w:t>
      </w:r>
      <w:proofErr w:type="spellEnd"/>
      <w:r w:rsidRPr="000E01FD">
        <w:t xml:space="preserve">. </w:t>
      </w:r>
      <w:r w:rsidRPr="0031680E">
        <w:rPr>
          <w:i/>
          <w:iCs/>
        </w:rPr>
        <w:t xml:space="preserve">Disability &amp; Society, </w:t>
      </w:r>
      <w:r w:rsidR="00BF4F80">
        <w:t>29(5), pp. 792-806</w:t>
      </w:r>
      <w:r w:rsidRPr="000E01FD">
        <w:t>.</w:t>
      </w:r>
    </w:p>
    <w:sectPr w:rsidR="00A57E18" w:rsidRPr="00BF4F80" w:rsidSect="00D26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AA2"/>
    <w:multiLevelType w:val="hybridMultilevel"/>
    <w:tmpl w:val="EDE88334"/>
    <w:lvl w:ilvl="0" w:tplc="F2C05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E71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23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ED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2D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42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EF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042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20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1B116F"/>
    <w:multiLevelType w:val="hybridMultilevel"/>
    <w:tmpl w:val="0EBC8326"/>
    <w:lvl w:ilvl="0" w:tplc="A7DAC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89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6E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2F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AC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845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8E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48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EB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034E5B"/>
    <w:multiLevelType w:val="hybridMultilevel"/>
    <w:tmpl w:val="A028D1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241FC3"/>
    <w:multiLevelType w:val="hybridMultilevel"/>
    <w:tmpl w:val="5B844BF4"/>
    <w:lvl w:ilvl="0" w:tplc="59D82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A4608">
      <w:start w:val="142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23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0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6F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2B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63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22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3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09F7196"/>
    <w:multiLevelType w:val="hybridMultilevel"/>
    <w:tmpl w:val="9F2E56D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2A645F9"/>
    <w:multiLevelType w:val="hybridMultilevel"/>
    <w:tmpl w:val="2C80886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4A400D4"/>
    <w:multiLevelType w:val="hybridMultilevel"/>
    <w:tmpl w:val="F160B634"/>
    <w:lvl w:ilvl="0" w:tplc="6590A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8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41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E0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E8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C0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148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CEB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41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DF2337"/>
    <w:multiLevelType w:val="hybridMultilevel"/>
    <w:tmpl w:val="669CE3D0"/>
    <w:lvl w:ilvl="0" w:tplc="6650898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7C24CF"/>
    <w:multiLevelType w:val="hybridMultilevel"/>
    <w:tmpl w:val="BB1CA9EC"/>
    <w:lvl w:ilvl="0" w:tplc="66508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C2C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AE6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24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2D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83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F2E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E87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6AB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5A15560"/>
    <w:multiLevelType w:val="hybridMultilevel"/>
    <w:tmpl w:val="150A8084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C24BF6"/>
    <w:multiLevelType w:val="hybridMultilevel"/>
    <w:tmpl w:val="9E18A776"/>
    <w:lvl w:ilvl="0" w:tplc="C89A3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A7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8E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A2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6B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86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43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C2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2D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3D2225B"/>
    <w:multiLevelType w:val="hybridMultilevel"/>
    <w:tmpl w:val="79D2D3F4"/>
    <w:lvl w:ilvl="0" w:tplc="B434A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A9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4C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AF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46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2C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A8E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E8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40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77804AF"/>
    <w:multiLevelType w:val="hybridMultilevel"/>
    <w:tmpl w:val="B734E7BC"/>
    <w:lvl w:ilvl="0" w:tplc="6650898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607ACE"/>
    <w:multiLevelType w:val="hybridMultilevel"/>
    <w:tmpl w:val="1840D8EC"/>
    <w:lvl w:ilvl="0" w:tplc="9154D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4034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8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62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C9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EA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A4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AC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26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FE30583"/>
    <w:multiLevelType w:val="hybridMultilevel"/>
    <w:tmpl w:val="5BE85ED0"/>
    <w:lvl w:ilvl="0" w:tplc="E8269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EF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44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04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47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68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24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CCE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902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14"/>
  </w:num>
  <w:num w:numId="11">
    <w:abstractNumId w:val="11"/>
  </w:num>
  <w:num w:numId="12">
    <w:abstractNumId w:val="6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E1B35"/>
    <w:rsid w:val="000E01FD"/>
    <w:rsid w:val="0031680E"/>
    <w:rsid w:val="003676B3"/>
    <w:rsid w:val="003E1B35"/>
    <w:rsid w:val="005E3565"/>
    <w:rsid w:val="007E199A"/>
    <w:rsid w:val="009575D5"/>
    <w:rsid w:val="00A57E18"/>
    <w:rsid w:val="00A673D1"/>
    <w:rsid w:val="00BF4F80"/>
    <w:rsid w:val="00C130D1"/>
    <w:rsid w:val="00D2685A"/>
    <w:rsid w:val="00ED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5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3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A31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1680E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rsid w:val="0031680E"/>
    <w:rPr>
      <w:rFonts w:ascii="Arial" w:eastAsiaTheme="majorEastAsia" w:hAnsi="Arial" w:cs="Arial"/>
      <w:spacing w:val="-10"/>
      <w:kern w:val="28"/>
      <w:sz w:val="40"/>
      <w:szCs w:val="48"/>
    </w:rPr>
  </w:style>
  <w:style w:type="character" w:styleId="Strong">
    <w:name w:val="Strong"/>
    <w:basedOn w:val="DefaultParagraphFont"/>
    <w:uiPriority w:val="22"/>
    <w:qFormat/>
    <w:rsid w:val="003E1B3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673D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D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D2A31"/>
    <w:rPr>
      <w:rFonts w:asciiTheme="majorHAnsi" w:eastAsiaTheme="majorEastAsia" w:hAnsiTheme="majorHAnsi" w:cstheme="majorBidi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A67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6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01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9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33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2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2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8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6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3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6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4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9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32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.edu/doit/universal-design-instruction-udi-definition-principles-guidelines-and-exampl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ngkholidblog.files.wordpress.com/2018/03/herbert-dkk-teachers-investigate-their-work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cet.edu.au/disability-practitioner/course-design-and-implementation/universal-design" TargetMode="External"/><Relationship Id="rId11" Type="http://schemas.openxmlformats.org/officeDocument/2006/relationships/hyperlink" Target="https://www.eisummit.org/events" TargetMode="External"/><Relationship Id="rId5" Type="http://schemas.openxmlformats.org/officeDocument/2006/relationships/hyperlink" Target="http://accessproject.colostate.edu/udl/modules/udl_introduction/udl_concise_intro.pdf" TargetMode="External"/><Relationship Id="rId10" Type="http://schemas.openxmlformats.org/officeDocument/2006/relationships/hyperlink" Target="https://projects.ncsu.edu/ncsu/design/cud/about_ud/udprinciplestex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st.org/impact/universal-design-for-learning-u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</dc:creator>
  <cp:lastModifiedBy>Kylie</cp:lastModifiedBy>
  <cp:revision>11</cp:revision>
  <dcterms:created xsi:type="dcterms:W3CDTF">2021-05-26T15:40:00Z</dcterms:created>
  <dcterms:modified xsi:type="dcterms:W3CDTF">2021-05-26T16:14:00Z</dcterms:modified>
</cp:coreProperties>
</file>