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01325" w14:textId="77777777" w:rsidR="00CB5FA2" w:rsidRPr="00BF7508" w:rsidRDefault="00BF7508" w:rsidP="006A1999">
      <w:pPr>
        <w:pStyle w:val="Heading1"/>
      </w:pPr>
      <w:bookmarkStart w:id="0" w:name="_GoBack"/>
      <w:bookmarkEnd w:id="0"/>
      <w:r w:rsidRPr="00BF7508">
        <w:t>Access Plans for VET Educators - Glossary</w:t>
      </w:r>
    </w:p>
    <w:p w14:paraId="6D2B24CA" w14:textId="77777777" w:rsidR="00CB5FA2" w:rsidRPr="00BF7508" w:rsidRDefault="00CB5FA2">
      <w:pPr>
        <w:rPr>
          <w:rFonts w:ascii="Century Gothic" w:eastAsia="Comfortaa" w:hAnsi="Century Gothic" w:cs="Comfortaa"/>
          <w:b/>
          <w:sz w:val="28"/>
          <w:szCs w:val="28"/>
        </w:rPr>
      </w:pPr>
    </w:p>
    <w:p w14:paraId="1D3AD87D" w14:textId="77777777" w:rsidR="002A45E8" w:rsidRDefault="00BF7508" w:rsidP="006A1999">
      <w:pPr>
        <w:pStyle w:val="Heading2"/>
      </w:pPr>
      <w:r w:rsidRPr="00BF7508">
        <w:t>Access Plans</w:t>
      </w:r>
    </w:p>
    <w:p w14:paraId="2B2F5BFC" w14:textId="2D851989" w:rsidR="00CB5FA2" w:rsidRPr="002A45E8" w:rsidRDefault="00BF7508" w:rsidP="002A45E8">
      <w:pPr>
        <w:spacing w:before="240"/>
        <w:rPr>
          <w:rFonts w:ascii="Century Gothic" w:eastAsia="Comfortaa" w:hAnsi="Century Gothic" w:cs="Comfortaa"/>
          <w:sz w:val="24"/>
          <w:szCs w:val="24"/>
        </w:rPr>
      </w:pPr>
      <w:r w:rsidRPr="002A45E8">
        <w:rPr>
          <w:rFonts w:ascii="Century Gothic" w:eastAsia="Comfortaa" w:hAnsi="Century Gothic" w:cs="Comfortaa"/>
          <w:sz w:val="24"/>
          <w:szCs w:val="24"/>
        </w:rPr>
        <w:t>An Access Plan is the formal document used in education and training to detail services, supports and reasonable adjustments and accommodations made available to a student with a disability and / or health condition. An Access Plan may also be known as a Disability Access Plan, Learning Access Plan, Learning Support Plan, Individual Education Access Plan.</w:t>
      </w:r>
    </w:p>
    <w:p w14:paraId="3E838EB9" w14:textId="77777777" w:rsidR="002A45E8" w:rsidRDefault="00BF7508" w:rsidP="006A1999">
      <w:pPr>
        <w:pStyle w:val="Heading2"/>
      </w:pPr>
      <w:r w:rsidRPr="00BF7508">
        <w:t xml:space="preserve">Inherent requirements </w:t>
      </w:r>
    </w:p>
    <w:p w14:paraId="40DFBE05" w14:textId="58071C9B" w:rsidR="00CB5FA2" w:rsidRPr="002A45E8" w:rsidRDefault="00BF7508" w:rsidP="002A45E8">
      <w:pPr>
        <w:spacing w:before="240"/>
        <w:rPr>
          <w:rFonts w:ascii="Century Gothic" w:eastAsia="Comfortaa" w:hAnsi="Century Gothic" w:cs="Comfortaa"/>
          <w:sz w:val="24"/>
          <w:szCs w:val="24"/>
        </w:rPr>
      </w:pPr>
      <w:r w:rsidRPr="002A45E8">
        <w:rPr>
          <w:rFonts w:ascii="Century Gothic" w:eastAsia="Comfortaa" w:hAnsi="Century Gothic" w:cs="Comfortaa"/>
          <w:sz w:val="24"/>
          <w:szCs w:val="24"/>
        </w:rPr>
        <w:t>Inherent requirements are the fundamental parts of a course that must be met by all students for them to be deemed competent; they are the abilities, skills and knowledge students need to complete the course; removal of inherent requirements compromises learning outcomes.</w:t>
      </w:r>
    </w:p>
    <w:p w14:paraId="542F082B" w14:textId="77777777" w:rsidR="00CB5FA2" w:rsidRPr="002A45E8" w:rsidRDefault="00BF7508" w:rsidP="006A1999">
      <w:pPr>
        <w:pStyle w:val="Heading2"/>
      </w:pPr>
      <w:r w:rsidRPr="002A45E8">
        <w:t xml:space="preserve">Reasonable Adjustments </w:t>
      </w:r>
    </w:p>
    <w:p w14:paraId="2B594140" w14:textId="77777777" w:rsidR="00CB5FA2" w:rsidRPr="002A45E8" w:rsidRDefault="00BF7508">
      <w:pPr>
        <w:spacing w:before="240"/>
        <w:rPr>
          <w:rFonts w:ascii="Century Gothic" w:eastAsia="Comfortaa" w:hAnsi="Century Gothic" w:cs="Comfortaa"/>
          <w:sz w:val="24"/>
          <w:szCs w:val="24"/>
        </w:rPr>
      </w:pPr>
      <w:r w:rsidRPr="00BF7508">
        <w:rPr>
          <w:rFonts w:ascii="Century Gothic" w:eastAsia="Comfortaa" w:hAnsi="Century Gothic" w:cs="Comfortaa"/>
          <w:sz w:val="24"/>
          <w:szCs w:val="24"/>
        </w:rPr>
        <w:t xml:space="preserve">Reasonable adjustment is a legislative term that refers to a measure or action taken by an education provider to enable learners with disability to participate in education and training on the same basis as learners without disability. </w:t>
      </w:r>
      <w:r w:rsidRPr="002A45E8">
        <w:rPr>
          <w:rFonts w:ascii="Century Gothic" w:eastAsia="Comfortaa" w:hAnsi="Century Gothic" w:cs="Comfortaa"/>
          <w:sz w:val="24"/>
          <w:szCs w:val="24"/>
        </w:rPr>
        <w:t>Adjustments must not impact the inherent course requirements.</w:t>
      </w:r>
    </w:p>
    <w:p w14:paraId="2F822E68" w14:textId="77777777" w:rsidR="00CB5FA2" w:rsidRPr="006A1999" w:rsidRDefault="00BF7508" w:rsidP="006A1999">
      <w:pPr>
        <w:pStyle w:val="Heading2"/>
      </w:pPr>
      <w:r w:rsidRPr="002A45E8">
        <w:t>Universal</w:t>
      </w:r>
      <w:r w:rsidRPr="006A1999">
        <w:t xml:space="preserve"> Design for Learning</w:t>
      </w:r>
    </w:p>
    <w:p w14:paraId="303B1237" w14:textId="77777777" w:rsidR="00CB5FA2" w:rsidRPr="00BF7508" w:rsidRDefault="00BF7508">
      <w:pPr>
        <w:spacing w:before="240"/>
        <w:rPr>
          <w:rFonts w:ascii="Century Gothic" w:eastAsia="Comfortaa" w:hAnsi="Century Gothic" w:cs="Comfortaa"/>
          <w:sz w:val="24"/>
          <w:szCs w:val="24"/>
        </w:rPr>
      </w:pPr>
      <w:r w:rsidRPr="00BF7508">
        <w:rPr>
          <w:rFonts w:ascii="Century Gothic" w:eastAsia="Comfortaa" w:hAnsi="Century Gothic" w:cs="Comfortaa"/>
          <w:sz w:val="24"/>
          <w:szCs w:val="24"/>
        </w:rPr>
        <w:t>Universal Design for Learning (UDL) is a framework to improve and optimise teaching and learning for all people. UDL describes a way of teaching and learning that is flexible and facilitates equal access for learners.</w:t>
      </w:r>
    </w:p>
    <w:p w14:paraId="08A0BE6D" w14:textId="77777777" w:rsidR="002A45E8" w:rsidRDefault="00BF7508" w:rsidP="006A1999">
      <w:pPr>
        <w:pStyle w:val="Heading2"/>
      </w:pPr>
      <w:r w:rsidRPr="00BF7508">
        <w:t>Assistive Technology</w:t>
      </w:r>
    </w:p>
    <w:p w14:paraId="1C910B31" w14:textId="77777777" w:rsidR="00CB5FA2" w:rsidRPr="00BF7508" w:rsidRDefault="00BF7508" w:rsidP="00A05F4A">
      <w:pPr>
        <w:spacing w:before="240"/>
        <w:rPr>
          <w:rFonts w:ascii="Century Gothic" w:eastAsia="Comfortaa" w:hAnsi="Century Gothic" w:cs="Comfortaa"/>
          <w:sz w:val="24"/>
          <w:szCs w:val="24"/>
        </w:rPr>
      </w:pPr>
      <w:r w:rsidRPr="00BF7508">
        <w:rPr>
          <w:rFonts w:ascii="Century Gothic" w:eastAsia="Comfortaa" w:hAnsi="Century Gothic" w:cs="Comfortaa"/>
          <w:sz w:val="24"/>
          <w:szCs w:val="24"/>
        </w:rPr>
        <w:t>Adaptive devices that enable people with disability to access technical products and services; they cover a whole range of tools from customised keyboards and speech recognition software to braille computer displays and closed captioning systems</w:t>
      </w:r>
    </w:p>
    <w:p w14:paraId="180DE6A9" w14:textId="7B8C399E" w:rsidR="00CB5FA2" w:rsidRPr="00BF7508" w:rsidRDefault="00BF7508" w:rsidP="006A1999">
      <w:pPr>
        <w:pStyle w:val="Heading2"/>
      </w:pPr>
      <w:r w:rsidRPr="00BF7508">
        <w:lastRenderedPageBreak/>
        <w:t>Educational Technology</w:t>
      </w:r>
    </w:p>
    <w:p w14:paraId="6856B191" w14:textId="77777777" w:rsidR="00CB5FA2" w:rsidRPr="00BF7508" w:rsidRDefault="00BF7508">
      <w:pPr>
        <w:spacing w:before="240"/>
        <w:rPr>
          <w:rFonts w:ascii="Century Gothic" w:eastAsia="Comfortaa" w:hAnsi="Century Gothic" w:cs="Comfortaa"/>
          <w:sz w:val="24"/>
          <w:szCs w:val="24"/>
        </w:rPr>
      </w:pPr>
      <w:r w:rsidRPr="00BF7508">
        <w:rPr>
          <w:rFonts w:ascii="Century Gothic" w:eastAsia="Comfortaa" w:hAnsi="Century Gothic" w:cs="Comfortaa"/>
          <w:sz w:val="24"/>
          <w:szCs w:val="24"/>
        </w:rPr>
        <w:t>Educational technology refers to tools—physical hardware or software—used to facilitate learning, improve performance and assist learners; an example of this may be the use of speech-to-text technology.</w:t>
      </w:r>
    </w:p>
    <w:p w14:paraId="16717F17" w14:textId="77777777" w:rsidR="006A1999" w:rsidRDefault="00BF7508" w:rsidP="006A1999">
      <w:pPr>
        <w:pStyle w:val="Heading2"/>
      </w:pPr>
      <w:r w:rsidRPr="00BF7508">
        <w:t>Disability</w:t>
      </w:r>
    </w:p>
    <w:p w14:paraId="1B25599E" w14:textId="77777777" w:rsidR="00CB5FA2" w:rsidRPr="00A05F4A" w:rsidRDefault="00BF7508" w:rsidP="00A05F4A">
      <w:pPr>
        <w:spacing w:before="240"/>
        <w:rPr>
          <w:rFonts w:ascii="Century Gothic" w:eastAsia="Comfortaa" w:hAnsi="Century Gothic" w:cs="Comfortaa"/>
          <w:sz w:val="24"/>
          <w:szCs w:val="24"/>
        </w:rPr>
      </w:pPr>
      <w:r w:rsidRPr="00A05F4A">
        <w:rPr>
          <w:rFonts w:ascii="Century Gothic" w:eastAsia="Comfortaa" w:hAnsi="Century Gothic" w:cs="Comfortaa"/>
          <w:sz w:val="24"/>
          <w:szCs w:val="24"/>
        </w:rPr>
        <w:t>Total or partial loss of the person’s bodily or mental functions (The Disability Act 1992). Describes a person’s impairment of body or function, a limitation in activities or a restriction in participation when interacting with their environment.</w:t>
      </w:r>
    </w:p>
    <w:p w14:paraId="2A67A49F" w14:textId="77777777" w:rsidR="006A1999" w:rsidRPr="002A45E8" w:rsidRDefault="00BF7508" w:rsidP="006A1999">
      <w:pPr>
        <w:pStyle w:val="Heading2"/>
      </w:pPr>
      <w:r w:rsidRPr="002A45E8">
        <w:t xml:space="preserve">Disclosure </w:t>
      </w:r>
    </w:p>
    <w:p w14:paraId="65233D2E" w14:textId="77777777" w:rsidR="00CB5FA2" w:rsidRPr="00A05F4A" w:rsidRDefault="00BF7508" w:rsidP="00A05F4A">
      <w:pPr>
        <w:spacing w:before="240"/>
        <w:rPr>
          <w:rFonts w:ascii="Century Gothic" w:eastAsia="Comfortaa" w:hAnsi="Century Gothic" w:cs="Comfortaa"/>
          <w:sz w:val="24"/>
          <w:szCs w:val="24"/>
        </w:rPr>
      </w:pPr>
      <w:r w:rsidRPr="00A05F4A">
        <w:rPr>
          <w:rFonts w:ascii="Century Gothic" w:eastAsia="Comfortaa" w:hAnsi="Century Gothic" w:cs="Comfortaa"/>
          <w:sz w:val="24"/>
          <w:szCs w:val="24"/>
        </w:rPr>
        <w:t xml:space="preserve">A personal decision to share information about disability, and the impact it has on aspects of a person’s life, in order to determine strategies for support and reasonable adjustment. </w:t>
      </w:r>
    </w:p>
    <w:p w14:paraId="530FD189" w14:textId="77777777" w:rsidR="006A1999" w:rsidRDefault="00BF7508" w:rsidP="006A1999">
      <w:pPr>
        <w:pStyle w:val="Heading2"/>
      </w:pPr>
      <w:r w:rsidRPr="00BF7508">
        <w:t>Equity Support Services</w:t>
      </w:r>
    </w:p>
    <w:p w14:paraId="20E65415" w14:textId="77777777" w:rsidR="00CB5FA2" w:rsidRPr="00BF7508" w:rsidRDefault="00BF7508" w:rsidP="00A05F4A">
      <w:pPr>
        <w:spacing w:before="240"/>
        <w:rPr>
          <w:rFonts w:ascii="Century Gothic" w:eastAsia="Comfortaa" w:hAnsi="Century Gothic" w:cs="Comfortaa"/>
          <w:sz w:val="24"/>
          <w:szCs w:val="24"/>
        </w:rPr>
      </w:pPr>
      <w:r w:rsidRPr="00BF7508">
        <w:rPr>
          <w:rFonts w:ascii="Century Gothic" w:eastAsia="Comfortaa" w:hAnsi="Century Gothic" w:cs="Comfortaa"/>
          <w:sz w:val="24"/>
          <w:szCs w:val="24"/>
        </w:rPr>
        <w:t xml:space="preserve">Equity Support Services in education and training are services, supports and tools provided to ensure that students receive what they need to be successful in their learning journey. Equity services usually include student services, disability or access and inclusion services and supports, provisions of accessibility tools and software, learning support, counselling services etc. </w:t>
      </w:r>
    </w:p>
    <w:p w14:paraId="5729A360" w14:textId="77777777" w:rsidR="00CB5FA2" w:rsidRPr="00BF7508" w:rsidRDefault="00BF7508" w:rsidP="006A1999">
      <w:pPr>
        <w:pStyle w:val="Heading2"/>
      </w:pPr>
      <w:r w:rsidRPr="00BF7508">
        <w:t>Individual Learning/Training Plans</w:t>
      </w:r>
    </w:p>
    <w:p w14:paraId="4B58A9FE" w14:textId="77777777" w:rsidR="00CB5FA2" w:rsidRPr="00A05F4A" w:rsidRDefault="00BF7508" w:rsidP="00A05F4A">
      <w:pPr>
        <w:spacing w:before="240"/>
        <w:rPr>
          <w:rFonts w:ascii="Century Gothic" w:eastAsia="Comfortaa" w:hAnsi="Century Gothic" w:cs="Comfortaa"/>
          <w:sz w:val="24"/>
          <w:szCs w:val="24"/>
        </w:rPr>
      </w:pPr>
      <w:r w:rsidRPr="00BF7508">
        <w:rPr>
          <w:rFonts w:ascii="Century Gothic" w:eastAsia="Comfortaa" w:hAnsi="Century Gothic" w:cs="Comfortaa"/>
          <w:sz w:val="24"/>
          <w:szCs w:val="24"/>
        </w:rPr>
        <w:t>An individual Learning/Training Plan is a document that outlines the schedule for training a student will undertake and provides opportunity to document progress.</w:t>
      </w:r>
    </w:p>
    <w:sectPr w:rsidR="00CB5FA2" w:rsidRPr="00A05F4A" w:rsidSect="00B753A7">
      <w:footerReference w:type="default" r:id="rId6"/>
      <w:pgSz w:w="12240" w:h="15840"/>
      <w:pgMar w:top="567"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4049A" w14:textId="77777777" w:rsidR="00B6629C" w:rsidRDefault="00B6629C">
      <w:pPr>
        <w:spacing w:line="240" w:lineRule="auto"/>
      </w:pPr>
      <w:r>
        <w:separator/>
      </w:r>
    </w:p>
  </w:endnote>
  <w:endnote w:type="continuationSeparator" w:id="0">
    <w:p w14:paraId="4C8E4FB8" w14:textId="77777777" w:rsidR="00B6629C" w:rsidRDefault="00B662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fortaa">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2567557"/>
      <w:docPartObj>
        <w:docPartGallery w:val="Page Numbers (Bottom of Page)"/>
        <w:docPartUnique/>
      </w:docPartObj>
    </w:sdtPr>
    <w:sdtEndPr/>
    <w:sdtContent>
      <w:sdt>
        <w:sdtPr>
          <w:id w:val="-1769616900"/>
          <w:docPartObj>
            <w:docPartGallery w:val="Page Numbers (Top of Page)"/>
            <w:docPartUnique/>
          </w:docPartObj>
        </w:sdtPr>
        <w:sdtEndPr/>
        <w:sdtContent>
          <w:p w14:paraId="4725792F" w14:textId="77777777" w:rsidR="00BF7508" w:rsidRDefault="00BF7508">
            <w:pPr>
              <w:pStyle w:val="Footer"/>
              <w:jc w:val="right"/>
            </w:pPr>
            <w:r w:rsidRPr="00BF7508">
              <w:rPr>
                <w:rFonts w:ascii="Century Gothic" w:hAnsi="Century Gothic"/>
              </w:rPr>
              <w:t xml:space="preserve">Page </w:t>
            </w:r>
            <w:r w:rsidR="00605844" w:rsidRPr="00BF7508">
              <w:rPr>
                <w:rFonts w:ascii="Century Gothic" w:hAnsi="Century Gothic"/>
                <w:sz w:val="24"/>
                <w:szCs w:val="24"/>
              </w:rPr>
              <w:fldChar w:fldCharType="begin"/>
            </w:r>
            <w:r w:rsidRPr="00BF7508">
              <w:rPr>
                <w:rFonts w:ascii="Century Gothic" w:hAnsi="Century Gothic"/>
              </w:rPr>
              <w:instrText xml:space="preserve"> PAGE </w:instrText>
            </w:r>
            <w:r w:rsidR="00605844" w:rsidRPr="00BF7508">
              <w:rPr>
                <w:rFonts w:ascii="Century Gothic" w:hAnsi="Century Gothic"/>
                <w:sz w:val="24"/>
                <w:szCs w:val="24"/>
              </w:rPr>
              <w:fldChar w:fldCharType="separate"/>
            </w:r>
            <w:r w:rsidR="006A1999">
              <w:rPr>
                <w:rFonts w:ascii="Century Gothic" w:hAnsi="Century Gothic"/>
                <w:noProof/>
              </w:rPr>
              <w:t>3</w:t>
            </w:r>
            <w:r w:rsidR="00605844" w:rsidRPr="00BF7508">
              <w:rPr>
                <w:rFonts w:ascii="Century Gothic" w:hAnsi="Century Gothic"/>
                <w:sz w:val="24"/>
                <w:szCs w:val="24"/>
              </w:rPr>
              <w:fldChar w:fldCharType="end"/>
            </w:r>
            <w:r w:rsidRPr="00BF7508">
              <w:rPr>
                <w:rFonts w:ascii="Century Gothic" w:hAnsi="Century Gothic"/>
              </w:rPr>
              <w:t xml:space="preserve"> of </w:t>
            </w:r>
            <w:r w:rsidR="00605844" w:rsidRPr="00BF7508">
              <w:rPr>
                <w:rFonts w:ascii="Century Gothic" w:hAnsi="Century Gothic"/>
                <w:sz w:val="24"/>
                <w:szCs w:val="24"/>
              </w:rPr>
              <w:fldChar w:fldCharType="begin"/>
            </w:r>
            <w:r w:rsidRPr="00BF7508">
              <w:rPr>
                <w:rFonts w:ascii="Century Gothic" w:hAnsi="Century Gothic"/>
              </w:rPr>
              <w:instrText xml:space="preserve"> NUMPAGES  </w:instrText>
            </w:r>
            <w:r w:rsidR="00605844" w:rsidRPr="00BF7508">
              <w:rPr>
                <w:rFonts w:ascii="Century Gothic" w:hAnsi="Century Gothic"/>
                <w:sz w:val="24"/>
                <w:szCs w:val="24"/>
              </w:rPr>
              <w:fldChar w:fldCharType="separate"/>
            </w:r>
            <w:r w:rsidR="006A1999">
              <w:rPr>
                <w:rFonts w:ascii="Century Gothic" w:hAnsi="Century Gothic"/>
                <w:noProof/>
              </w:rPr>
              <w:t>3</w:t>
            </w:r>
            <w:r w:rsidR="00605844" w:rsidRPr="00BF7508">
              <w:rPr>
                <w:rFonts w:ascii="Century Gothic" w:hAnsi="Century Gothic"/>
                <w:sz w:val="24"/>
                <w:szCs w:val="24"/>
              </w:rPr>
              <w:fldChar w:fldCharType="end"/>
            </w:r>
            <w:r w:rsidRPr="00BF7508">
              <w:rPr>
                <w:rFonts w:ascii="Century Gothic" w:hAnsi="Century Gothic"/>
                <w:sz w:val="24"/>
                <w:szCs w:val="24"/>
              </w:rPr>
              <w:br/>
              <w:t>Access Plans for VET Educators - Glossary</w:t>
            </w:r>
          </w:p>
        </w:sdtContent>
      </w:sdt>
    </w:sdtContent>
  </w:sdt>
  <w:p w14:paraId="03A6E681" w14:textId="77777777" w:rsidR="00CB5FA2" w:rsidRDefault="00CB5FA2">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2B1D9" w14:textId="77777777" w:rsidR="00B6629C" w:rsidRDefault="00B6629C">
      <w:pPr>
        <w:spacing w:line="240" w:lineRule="auto"/>
      </w:pPr>
      <w:r>
        <w:separator/>
      </w:r>
    </w:p>
  </w:footnote>
  <w:footnote w:type="continuationSeparator" w:id="0">
    <w:p w14:paraId="1CC4D96A" w14:textId="77777777" w:rsidR="00B6629C" w:rsidRDefault="00B6629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A0NjQ3NTUxNDS1MLJQ0lEKTi0uzszPAykwqgUAKdQIUywAAAA="/>
  </w:docVars>
  <w:rsids>
    <w:rsidRoot w:val="00CB5FA2"/>
    <w:rsid w:val="002A45E8"/>
    <w:rsid w:val="00557D9D"/>
    <w:rsid w:val="00605844"/>
    <w:rsid w:val="006A1999"/>
    <w:rsid w:val="00A05F4A"/>
    <w:rsid w:val="00B6629C"/>
    <w:rsid w:val="00B753A7"/>
    <w:rsid w:val="00BF7508"/>
    <w:rsid w:val="00CB5F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6B2BB"/>
  <w15:docId w15:val="{29FC7374-754E-429C-A2A4-EB1ADF965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AU"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844"/>
  </w:style>
  <w:style w:type="paragraph" w:styleId="Heading1">
    <w:name w:val="heading 1"/>
    <w:basedOn w:val="Normal"/>
    <w:next w:val="Normal"/>
    <w:uiPriority w:val="9"/>
    <w:qFormat/>
    <w:rsid w:val="00605844"/>
    <w:pPr>
      <w:keepNext/>
      <w:keepLines/>
      <w:spacing w:before="400" w:after="120"/>
      <w:outlineLvl w:val="0"/>
    </w:pPr>
    <w:rPr>
      <w:sz w:val="40"/>
      <w:szCs w:val="40"/>
    </w:rPr>
  </w:style>
  <w:style w:type="paragraph" w:styleId="Heading2">
    <w:name w:val="heading 2"/>
    <w:basedOn w:val="Normal"/>
    <w:next w:val="Normal"/>
    <w:uiPriority w:val="9"/>
    <w:unhideWhenUsed/>
    <w:qFormat/>
    <w:rsid w:val="006A1999"/>
    <w:pPr>
      <w:keepNext/>
      <w:keepLines/>
      <w:spacing w:before="360" w:after="120"/>
      <w:outlineLvl w:val="1"/>
    </w:pPr>
    <w:rPr>
      <w:b/>
      <w:sz w:val="32"/>
      <w:szCs w:val="32"/>
    </w:rPr>
  </w:style>
  <w:style w:type="paragraph" w:styleId="Heading3">
    <w:name w:val="heading 3"/>
    <w:basedOn w:val="Normal"/>
    <w:next w:val="Normal"/>
    <w:uiPriority w:val="9"/>
    <w:semiHidden/>
    <w:unhideWhenUsed/>
    <w:qFormat/>
    <w:rsid w:val="00605844"/>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00605844"/>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00605844"/>
    <w:pPr>
      <w:keepNext/>
      <w:keepLines/>
      <w:spacing w:before="240" w:after="80"/>
      <w:outlineLvl w:val="4"/>
    </w:pPr>
    <w:rPr>
      <w:color w:val="666666"/>
    </w:rPr>
  </w:style>
  <w:style w:type="paragraph" w:styleId="Heading6">
    <w:name w:val="heading 6"/>
    <w:basedOn w:val="Normal"/>
    <w:next w:val="Normal"/>
    <w:uiPriority w:val="9"/>
    <w:semiHidden/>
    <w:unhideWhenUsed/>
    <w:qFormat/>
    <w:rsid w:val="00605844"/>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605844"/>
    <w:pPr>
      <w:keepNext/>
      <w:keepLines/>
      <w:spacing w:after="60"/>
    </w:pPr>
    <w:rPr>
      <w:sz w:val="52"/>
      <w:szCs w:val="52"/>
    </w:rPr>
  </w:style>
  <w:style w:type="paragraph" w:styleId="Subtitle">
    <w:name w:val="Subtitle"/>
    <w:basedOn w:val="Normal"/>
    <w:next w:val="Normal"/>
    <w:uiPriority w:val="11"/>
    <w:qFormat/>
    <w:rsid w:val="00605844"/>
    <w:pPr>
      <w:keepNext/>
      <w:keepLines/>
      <w:spacing w:after="320"/>
    </w:pPr>
    <w:rPr>
      <w:color w:val="666666"/>
      <w:sz w:val="30"/>
      <w:szCs w:val="30"/>
    </w:rPr>
  </w:style>
  <w:style w:type="paragraph" w:styleId="Header">
    <w:name w:val="header"/>
    <w:basedOn w:val="Normal"/>
    <w:link w:val="HeaderChar"/>
    <w:uiPriority w:val="99"/>
    <w:unhideWhenUsed/>
    <w:rsid w:val="00BF7508"/>
    <w:pPr>
      <w:tabs>
        <w:tab w:val="center" w:pos="4513"/>
        <w:tab w:val="right" w:pos="9026"/>
      </w:tabs>
      <w:spacing w:line="240" w:lineRule="auto"/>
    </w:pPr>
  </w:style>
  <w:style w:type="character" w:customStyle="1" w:styleId="HeaderChar">
    <w:name w:val="Header Char"/>
    <w:basedOn w:val="DefaultParagraphFont"/>
    <w:link w:val="Header"/>
    <w:uiPriority w:val="99"/>
    <w:rsid w:val="00BF7508"/>
  </w:style>
  <w:style w:type="paragraph" w:styleId="Footer">
    <w:name w:val="footer"/>
    <w:basedOn w:val="Normal"/>
    <w:link w:val="FooterChar"/>
    <w:uiPriority w:val="99"/>
    <w:unhideWhenUsed/>
    <w:rsid w:val="00BF7508"/>
    <w:pPr>
      <w:tabs>
        <w:tab w:val="center" w:pos="4513"/>
        <w:tab w:val="right" w:pos="9026"/>
      </w:tabs>
      <w:spacing w:line="240" w:lineRule="auto"/>
    </w:pPr>
  </w:style>
  <w:style w:type="character" w:customStyle="1" w:styleId="FooterChar">
    <w:name w:val="Footer Char"/>
    <w:basedOn w:val="DefaultParagraphFont"/>
    <w:link w:val="Footer"/>
    <w:uiPriority w:val="99"/>
    <w:rsid w:val="00BF7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2412</Characters>
  <Application>Microsoft Office Word</Application>
  <DocSecurity>4</DocSecurity>
  <Lines>20</Lines>
  <Paragraphs>5</Paragraphs>
  <ScaleCrop>false</ScaleCrop>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Jennifer Cousins</cp:lastModifiedBy>
  <cp:revision>2</cp:revision>
  <dcterms:created xsi:type="dcterms:W3CDTF">2021-01-07T23:33:00Z</dcterms:created>
  <dcterms:modified xsi:type="dcterms:W3CDTF">2021-01-07T23:33:00Z</dcterms:modified>
</cp:coreProperties>
</file>