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3A131" w14:textId="7C6E3A32" w:rsidR="00911A33" w:rsidRPr="00725FF4" w:rsidRDefault="00176F5D" w:rsidP="006E690F">
      <w:pPr>
        <w:pStyle w:val="Heading1"/>
        <w:spacing w:line="480" w:lineRule="auto"/>
        <w:ind w:left="0" w:firstLine="0"/>
      </w:pPr>
      <w:bookmarkStart w:id="0" w:name="_Toc46933715"/>
      <w:bookmarkStart w:id="1" w:name="_Toc46933896"/>
      <w:r w:rsidRPr="00725FF4">
        <w:t>GUIDELINES</w:t>
      </w:r>
      <w:bookmarkEnd w:id="0"/>
      <w:bookmarkEnd w:id="1"/>
    </w:p>
    <w:p w14:paraId="748BAC9D" w14:textId="24B90922" w:rsidR="00911A33" w:rsidRPr="00725FF4" w:rsidRDefault="00176F5D" w:rsidP="00725FF4">
      <w:pPr>
        <w:pStyle w:val="Heading1"/>
        <w:ind w:left="0" w:firstLine="0"/>
      </w:pPr>
      <w:bookmarkStart w:id="2" w:name="_Toc46933716"/>
      <w:bookmarkStart w:id="3" w:name="_Toc46933897"/>
      <w:r w:rsidRPr="00725FF4">
        <w:t>RESPONDING TO THE NEEDS OF STAFF AND</w:t>
      </w:r>
      <w:r w:rsidR="00725FF4">
        <w:t xml:space="preserve"> </w:t>
      </w:r>
      <w:r w:rsidRPr="00725FF4">
        <w:t>STUDENTS</w:t>
      </w:r>
      <w:bookmarkEnd w:id="2"/>
      <w:bookmarkEnd w:id="3"/>
    </w:p>
    <w:p w14:paraId="2D69FEBE" w14:textId="77777777" w:rsidR="00911A33" w:rsidRPr="00725FF4" w:rsidRDefault="00176F5D" w:rsidP="00725FF4">
      <w:pPr>
        <w:pStyle w:val="Heading1"/>
        <w:ind w:left="0" w:firstLine="0"/>
      </w:pPr>
      <w:bookmarkStart w:id="4" w:name="_Toc46933717"/>
      <w:bookmarkStart w:id="5" w:name="_Toc46933898"/>
      <w:r w:rsidRPr="00725FF4">
        <w:t>WITH DISABILITY IN</w:t>
      </w:r>
      <w:bookmarkEnd w:id="4"/>
      <w:bookmarkEnd w:id="5"/>
    </w:p>
    <w:p w14:paraId="565E94AA" w14:textId="77777777" w:rsidR="00911A33" w:rsidRPr="00725FF4" w:rsidRDefault="00176F5D" w:rsidP="00725FF4">
      <w:pPr>
        <w:pStyle w:val="Heading1"/>
        <w:ind w:left="0" w:firstLine="0"/>
      </w:pPr>
      <w:bookmarkStart w:id="6" w:name="_Toc46933718"/>
      <w:bookmarkStart w:id="7" w:name="_Toc46933899"/>
      <w:r w:rsidRPr="00725FF4">
        <w:t>COVID-19 RETURN-TO-CAMPUS</w:t>
      </w:r>
      <w:bookmarkEnd w:id="6"/>
      <w:bookmarkEnd w:id="7"/>
    </w:p>
    <w:p w14:paraId="057A2F34" w14:textId="77777777" w:rsidR="00911A33" w:rsidRPr="00725FF4" w:rsidRDefault="00176F5D" w:rsidP="00725FF4">
      <w:pPr>
        <w:pStyle w:val="Heading1"/>
        <w:ind w:left="0" w:firstLine="0"/>
      </w:pPr>
      <w:bookmarkStart w:id="8" w:name="_Toc46933719"/>
      <w:bookmarkStart w:id="9" w:name="_Toc46933900"/>
      <w:r w:rsidRPr="00725FF4">
        <w:t>PLANNING FOR</w:t>
      </w:r>
      <w:bookmarkEnd w:id="8"/>
      <w:bookmarkEnd w:id="9"/>
    </w:p>
    <w:p w14:paraId="3B719184" w14:textId="401EEB4A" w:rsidR="00911A33" w:rsidRPr="00725FF4" w:rsidRDefault="00176F5D" w:rsidP="006E690F">
      <w:pPr>
        <w:pStyle w:val="Heading1"/>
        <w:spacing w:line="480" w:lineRule="auto"/>
        <w:ind w:left="0" w:firstLine="0"/>
      </w:pPr>
      <w:bookmarkStart w:id="10" w:name="_Toc46933720"/>
      <w:bookmarkStart w:id="11" w:name="_Toc46933901"/>
      <w:r w:rsidRPr="00725FF4">
        <w:t>AUSTRALIA’S TERTIARY INSTITUTIONS</w:t>
      </w:r>
      <w:bookmarkEnd w:id="10"/>
      <w:bookmarkEnd w:id="11"/>
    </w:p>
    <w:p w14:paraId="469281FD" w14:textId="40054068" w:rsidR="00911A33" w:rsidRPr="00725FF4" w:rsidRDefault="00176F5D" w:rsidP="00725FF4">
      <w:r w:rsidRPr="00725FF4">
        <w:t>28 JULY 2020</w:t>
      </w:r>
    </w:p>
    <w:p w14:paraId="7D91AC82" w14:textId="77777777" w:rsidR="00911A33" w:rsidRPr="00725FF4" w:rsidRDefault="00911A33" w:rsidP="00725FF4">
      <w:pPr>
        <w:sectPr w:rsidR="00911A33" w:rsidRPr="00725FF4" w:rsidSect="00725FF4">
          <w:type w:val="continuous"/>
          <w:pgSz w:w="12240" w:h="15840"/>
          <w:pgMar w:top="1440" w:right="1440" w:bottom="1440" w:left="1440" w:header="720" w:footer="720" w:gutter="0"/>
          <w:cols w:space="720"/>
        </w:sectPr>
      </w:pPr>
    </w:p>
    <w:p w14:paraId="5894031E" w14:textId="2A65100E" w:rsidR="00911A33" w:rsidRPr="00725FF4" w:rsidRDefault="00176F5D" w:rsidP="006E690F">
      <w:pPr>
        <w:pStyle w:val="Heading2"/>
        <w:spacing w:line="360" w:lineRule="auto"/>
        <w:ind w:left="0" w:firstLine="0"/>
      </w:pPr>
      <w:bookmarkStart w:id="12" w:name="_Toc46933721"/>
      <w:bookmarkStart w:id="13" w:name="_Toc46933902"/>
      <w:r w:rsidRPr="00725FF4">
        <w:lastRenderedPageBreak/>
        <w:t>DISCLAIMER AND PERMISSIONS</w:t>
      </w:r>
      <w:bookmarkEnd w:id="12"/>
      <w:bookmarkEnd w:id="13"/>
    </w:p>
    <w:p w14:paraId="41487488" w14:textId="77777777" w:rsidR="00911A33" w:rsidRPr="00725FF4" w:rsidRDefault="00176F5D" w:rsidP="00725FF4">
      <w:r w:rsidRPr="00725FF4">
        <w:t>While the information in the Guidelines is considered to be true and correct at the date of publication, changes in circumstances after the time of publication may impact on the accuracy of the information. The information may change without notice and the developers are not in any way liable for the accuracy of any information printed and stored or in any way interpreted and implemented by a user.</w:t>
      </w:r>
    </w:p>
    <w:p w14:paraId="13AB6F0F" w14:textId="77777777" w:rsidR="00911A33" w:rsidRPr="00725FF4" w:rsidRDefault="00911A33" w:rsidP="00725FF4"/>
    <w:p w14:paraId="7BBE1F44" w14:textId="11AFAF73" w:rsidR="00911A33" w:rsidRDefault="00176F5D" w:rsidP="00725FF4">
      <w:r w:rsidRPr="00725FF4">
        <w:t>Federal, state and territory health information and related COVID-19 protocols are constantly being updated. Readers are encouraged to check the Australian Government Department of Health website and their respective state government health websites to stay up to date with the latest news and advice.</w:t>
      </w:r>
    </w:p>
    <w:p w14:paraId="1BEA7D29" w14:textId="77777777" w:rsidR="006E690F" w:rsidRPr="00725FF4" w:rsidRDefault="006E690F" w:rsidP="00725FF4"/>
    <w:p w14:paraId="47C26A9D" w14:textId="3D5E122E" w:rsidR="00911A33" w:rsidRDefault="006E690F" w:rsidP="00725FF4">
      <w:r w:rsidRPr="00725FF4">
        <w:rPr>
          <w:noProof/>
        </w:rPr>
        <w:drawing>
          <wp:anchor distT="0" distB="0" distL="114300" distR="114300" simplePos="0" relativeHeight="251710464" behindDoc="0" locked="0" layoutInCell="1" allowOverlap="1" wp14:anchorId="35D08618" wp14:editId="22FAD072">
            <wp:simplePos x="0" y="0"/>
            <wp:positionH relativeFrom="margin">
              <wp:posOffset>645459</wp:posOffset>
            </wp:positionH>
            <wp:positionV relativeFrom="paragraph">
              <wp:posOffset>2223770</wp:posOffset>
            </wp:positionV>
            <wp:extent cx="3714750" cy="1224593"/>
            <wp:effectExtent l="0" t="0" r="0" b="0"/>
            <wp:wrapNone/>
            <wp:docPr id="1" name="Picture 1" descr="ADCE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2245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6F5D" w:rsidRPr="00725FF4">
        <w:t xml:space="preserve">The information in the Guidelines has been published by the </w:t>
      </w:r>
      <w:hyperlink r:id="rId9" w:history="1">
        <w:r w:rsidR="00176F5D" w:rsidRPr="00E9370B">
          <w:rPr>
            <w:rStyle w:val="Hyperlink"/>
          </w:rPr>
          <w:t>Australian Disability Clearinghouse on Education and Training (ADCET)</w:t>
        </w:r>
      </w:hyperlink>
      <w:r w:rsidR="00176F5D" w:rsidRPr="00725FF4">
        <w:t xml:space="preserve"> in partnership with the </w:t>
      </w:r>
      <w:hyperlink r:id="rId10" w:history="1">
        <w:r w:rsidR="00176F5D" w:rsidRPr="00E9370B">
          <w:rPr>
            <w:rStyle w:val="Hyperlink"/>
          </w:rPr>
          <w:t>National Disability Coordination Officer (NDCO)</w:t>
        </w:r>
      </w:hyperlink>
      <w:r w:rsidR="00176F5D" w:rsidRPr="00725FF4">
        <w:t xml:space="preserve"> program to assist tertiary institutions to respond to the needs of staff and students with disability in their return-to-campus planning during and after the COVID-19 pandemic. To this end, ADCET grants permission for any or all of this information to be copied, distributed, transmitted and adapted, provided due acknowledgement is given to its source.</w:t>
      </w:r>
    </w:p>
    <w:p w14:paraId="5CEC55E3" w14:textId="72BF9285" w:rsidR="00E9370B" w:rsidRDefault="00E9370B" w:rsidP="00725FF4"/>
    <w:p w14:paraId="4C123D1E" w14:textId="419C8E4D" w:rsidR="00E9370B" w:rsidRPr="00725FF4" w:rsidRDefault="00E9370B" w:rsidP="00725FF4">
      <w:r w:rsidRPr="00E9370B">
        <w:rPr>
          <w:lang w:val="en-AU"/>
        </w:rPr>
        <w:t xml:space="preserve">Download additional copies of the </w:t>
      </w:r>
      <w:r w:rsidRPr="00E9370B">
        <w:rPr>
          <w:rStyle w:val="Hyperlink"/>
        </w:rPr>
        <w:t>Guidelines: responding to the needs of staff and students with dis</w:t>
      </w:r>
      <w:r w:rsidRPr="00E9370B">
        <w:rPr>
          <w:rStyle w:val="Hyperlink"/>
        </w:rPr>
        <w:softHyphen/>
        <w:t>ability in COVID-19 return-to-campus planning for Australia’s tertiary institutions</w:t>
      </w:r>
      <w:r>
        <w:rPr>
          <w:rStyle w:val="Hyperlink"/>
        </w:rPr>
        <w:t>.</w:t>
      </w:r>
    </w:p>
    <w:p w14:paraId="4CC1896B" w14:textId="22D034A7" w:rsidR="00911A33" w:rsidRPr="00725FF4" w:rsidRDefault="00911A33" w:rsidP="00725FF4">
      <w:pPr>
        <w:sectPr w:rsidR="00911A33" w:rsidRPr="00725FF4" w:rsidSect="00725FF4">
          <w:footerReference w:type="even" r:id="rId11"/>
          <w:footerReference w:type="default" r:id="rId12"/>
          <w:pgSz w:w="12240" w:h="15840"/>
          <w:pgMar w:top="1440" w:right="1440" w:bottom="1440" w:left="1440" w:header="0" w:footer="400" w:gutter="0"/>
          <w:pgNumType w:start="2"/>
          <w:cols w:space="720"/>
        </w:sectPr>
      </w:pPr>
    </w:p>
    <w:sdt>
      <w:sdtPr>
        <w:rPr>
          <w:rFonts w:ascii="Calibri" w:eastAsia="Calibri" w:hAnsi="Calibri" w:cs="Calibri"/>
          <w:color w:val="auto"/>
          <w:sz w:val="22"/>
          <w:szCs w:val="22"/>
          <w:lang w:bidi="en-US"/>
        </w:rPr>
        <w:id w:val="-1361574125"/>
        <w:docPartObj>
          <w:docPartGallery w:val="Table of Contents"/>
          <w:docPartUnique/>
        </w:docPartObj>
      </w:sdtPr>
      <w:sdtEndPr>
        <w:rPr>
          <w:b/>
          <w:bCs/>
          <w:noProof/>
        </w:rPr>
      </w:sdtEndPr>
      <w:sdtContent>
        <w:p w14:paraId="0BAB09E2" w14:textId="77777777" w:rsidR="002F2258" w:rsidRDefault="002F2258" w:rsidP="002F2258">
          <w:pPr>
            <w:pStyle w:val="TOCHeading"/>
          </w:pPr>
          <w:r>
            <w:t>Contents</w:t>
          </w:r>
        </w:p>
        <w:p w14:paraId="3BA6E736" w14:textId="77777777" w:rsidR="002F2258" w:rsidRDefault="002F2258" w:rsidP="002F2258">
          <w:pPr>
            <w:pStyle w:val="TOC1"/>
            <w:tabs>
              <w:tab w:val="right" w:leader="dot" w:pos="9350"/>
            </w:tabs>
            <w:ind w:left="426"/>
            <w:rPr>
              <w:rFonts w:asciiTheme="minorHAnsi" w:eastAsiaTheme="minorEastAsia" w:hAnsiTheme="minorHAnsi" w:cstheme="minorBidi"/>
              <w:noProof/>
              <w:sz w:val="22"/>
              <w:szCs w:val="22"/>
              <w:lang w:val="en-AU" w:eastAsia="en-AU" w:bidi="ar-SA"/>
            </w:rPr>
          </w:pPr>
          <w:r>
            <w:fldChar w:fldCharType="begin"/>
          </w:r>
          <w:r>
            <w:instrText xml:space="preserve"> TOC \o "1-3" \h \z \u </w:instrText>
          </w:r>
          <w:r>
            <w:fldChar w:fldCharType="separate"/>
          </w:r>
        </w:p>
        <w:p w14:paraId="0D00E0BB" w14:textId="77777777" w:rsidR="002F2258" w:rsidRDefault="0018348A" w:rsidP="002F2258">
          <w:pPr>
            <w:pStyle w:val="TOC1"/>
            <w:tabs>
              <w:tab w:val="right" w:leader="dot" w:pos="9350"/>
            </w:tabs>
            <w:ind w:left="426"/>
            <w:rPr>
              <w:rFonts w:asciiTheme="minorHAnsi" w:eastAsiaTheme="minorEastAsia" w:hAnsiTheme="minorHAnsi" w:cstheme="minorBidi"/>
              <w:b w:val="0"/>
              <w:bCs w:val="0"/>
              <w:noProof/>
              <w:sz w:val="22"/>
              <w:szCs w:val="22"/>
              <w:lang w:val="en-AU" w:eastAsia="en-AU" w:bidi="ar-SA"/>
            </w:rPr>
          </w:pPr>
          <w:hyperlink w:anchor="_Toc46933903" w:history="1">
            <w:r w:rsidR="002F2258" w:rsidRPr="00F937BD">
              <w:rPr>
                <w:rStyle w:val="Hyperlink"/>
                <w:noProof/>
              </w:rPr>
              <w:t>1.PREFACE</w:t>
            </w:r>
            <w:r w:rsidR="002F2258">
              <w:rPr>
                <w:noProof/>
                <w:webHidden/>
              </w:rPr>
              <w:tab/>
            </w:r>
            <w:r w:rsidR="002F2258">
              <w:rPr>
                <w:noProof/>
                <w:webHidden/>
              </w:rPr>
              <w:fldChar w:fldCharType="begin"/>
            </w:r>
            <w:r w:rsidR="002F2258">
              <w:rPr>
                <w:noProof/>
                <w:webHidden/>
              </w:rPr>
              <w:instrText xml:space="preserve"> PAGEREF _Toc46933903 \h </w:instrText>
            </w:r>
            <w:r w:rsidR="002F2258">
              <w:rPr>
                <w:noProof/>
                <w:webHidden/>
              </w:rPr>
            </w:r>
            <w:r w:rsidR="002F2258">
              <w:rPr>
                <w:noProof/>
                <w:webHidden/>
              </w:rPr>
              <w:fldChar w:fldCharType="separate"/>
            </w:r>
            <w:r w:rsidR="002F2258">
              <w:rPr>
                <w:noProof/>
                <w:webHidden/>
              </w:rPr>
              <w:t>4</w:t>
            </w:r>
            <w:r w:rsidR="002F2258">
              <w:rPr>
                <w:noProof/>
                <w:webHidden/>
              </w:rPr>
              <w:fldChar w:fldCharType="end"/>
            </w:r>
          </w:hyperlink>
        </w:p>
        <w:p w14:paraId="75BA1ECD"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04" w:history="1">
            <w:r w:rsidR="002F2258" w:rsidRPr="00F937BD">
              <w:rPr>
                <w:rStyle w:val="Hyperlink"/>
                <w:noProof/>
              </w:rPr>
              <w:t>1.1 Background</w:t>
            </w:r>
            <w:r w:rsidR="002F2258">
              <w:rPr>
                <w:noProof/>
                <w:webHidden/>
              </w:rPr>
              <w:tab/>
            </w:r>
            <w:r w:rsidR="002F2258">
              <w:rPr>
                <w:noProof/>
                <w:webHidden/>
              </w:rPr>
              <w:fldChar w:fldCharType="begin"/>
            </w:r>
            <w:r w:rsidR="002F2258">
              <w:rPr>
                <w:noProof/>
                <w:webHidden/>
              </w:rPr>
              <w:instrText xml:space="preserve"> PAGEREF _Toc46933904 \h </w:instrText>
            </w:r>
            <w:r w:rsidR="002F2258">
              <w:rPr>
                <w:noProof/>
                <w:webHidden/>
              </w:rPr>
            </w:r>
            <w:r w:rsidR="002F2258">
              <w:rPr>
                <w:noProof/>
                <w:webHidden/>
              </w:rPr>
              <w:fldChar w:fldCharType="separate"/>
            </w:r>
            <w:r w:rsidR="002F2258">
              <w:rPr>
                <w:noProof/>
                <w:webHidden/>
              </w:rPr>
              <w:t>4</w:t>
            </w:r>
            <w:r w:rsidR="002F2258">
              <w:rPr>
                <w:noProof/>
                <w:webHidden/>
              </w:rPr>
              <w:fldChar w:fldCharType="end"/>
            </w:r>
          </w:hyperlink>
        </w:p>
        <w:p w14:paraId="003C9982"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05" w:history="1">
            <w:r w:rsidR="002F2258" w:rsidRPr="00F937BD">
              <w:rPr>
                <w:rStyle w:val="Hyperlink"/>
                <w:noProof/>
              </w:rPr>
              <w:t>1.2 COVID-19 context</w:t>
            </w:r>
            <w:r w:rsidR="002F2258">
              <w:rPr>
                <w:noProof/>
                <w:webHidden/>
              </w:rPr>
              <w:tab/>
            </w:r>
            <w:r w:rsidR="002F2258">
              <w:rPr>
                <w:noProof/>
                <w:webHidden/>
              </w:rPr>
              <w:fldChar w:fldCharType="begin"/>
            </w:r>
            <w:r w:rsidR="002F2258">
              <w:rPr>
                <w:noProof/>
                <w:webHidden/>
              </w:rPr>
              <w:instrText xml:space="preserve"> PAGEREF _Toc46933905 \h </w:instrText>
            </w:r>
            <w:r w:rsidR="002F2258">
              <w:rPr>
                <w:noProof/>
                <w:webHidden/>
              </w:rPr>
            </w:r>
            <w:r w:rsidR="002F2258">
              <w:rPr>
                <w:noProof/>
                <w:webHidden/>
              </w:rPr>
              <w:fldChar w:fldCharType="separate"/>
            </w:r>
            <w:r w:rsidR="002F2258">
              <w:rPr>
                <w:noProof/>
                <w:webHidden/>
              </w:rPr>
              <w:t>4</w:t>
            </w:r>
            <w:r w:rsidR="002F2258">
              <w:rPr>
                <w:noProof/>
                <w:webHidden/>
              </w:rPr>
              <w:fldChar w:fldCharType="end"/>
            </w:r>
          </w:hyperlink>
        </w:p>
        <w:p w14:paraId="2FD9CD98"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06" w:history="1">
            <w:r w:rsidR="002F2258" w:rsidRPr="00F937BD">
              <w:rPr>
                <w:rStyle w:val="Hyperlink"/>
                <w:noProof/>
              </w:rPr>
              <w:t>1.3 Purpose of these Guidelines</w:t>
            </w:r>
            <w:r w:rsidR="002F2258">
              <w:rPr>
                <w:noProof/>
                <w:webHidden/>
              </w:rPr>
              <w:tab/>
            </w:r>
            <w:r w:rsidR="002F2258">
              <w:rPr>
                <w:noProof/>
                <w:webHidden/>
              </w:rPr>
              <w:fldChar w:fldCharType="begin"/>
            </w:r>
            <w:r w:rsidR="002F2258">
              <w:rPr>
                <w:noProof/>
                <w:webHidden/>
              </w:rPr>
              <w:instrText xml:space="preserve"> PAGEREF _Toc46933906 \h </w:instrText>
            </w:r>
            <w:r w:rsidR="002F2258">
              <w:rPr>
                <w:noProof/>
                <w:webHidden/>
              </w:rPr>
            </w:r>
            <w:r w:rsidR="002F2258">
              <w:rPr>
                <w:noProof/>
                <w:webHidden/>
              </w:rPr>
              <w:fldChar w:fldCharType="separate"/>
            </w:r>
            <w:r w:rsidR="002F2258">
              <w:rPr>
                <w:noProof/>
                <w:webHidden/>
              </w:rPr>
              <w:t>4</w:t>
            </w:r>
            <w:r w:rsidR="002F2258">
              <w:rPr>
                <w:noProof/>
                <w:webHidden/>
              </w:rPr>
              <w:fldChar w:fldCharType="end"/>
            </w:r>
          </w:hyperlink>
        </w:p>
        <w:p w14:paraId="51B110FE"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07" w:history="1">
            <w:r w:rsidR="002F2258" w:rsidRPr="00F937BD">
              <w:rPr>
                <w:rStyle w:val="Hyperlink"/>
                <w:noProof/>
              </w:rPr>
              <w:t>1.4 Return-to-campus planning</w:t>
            </w:r>
            <w:r w:rsidR="002F2258">
              <w:rPr>
                <w:noProof/>
                <w:webHidden/>
              </w:rPr>
              <w:tab/>
            </w:r>
            <w:r w:rsidR="002F2258">
              <w:rPr>
                <w:noProof/>
                <w:webHidden/>
              </w:rPr>
              <w:fldChar w:fldCharType="begin"/>
            </w:r>
            <w:r w:rsidR="002F2258">
              <w:rPr>
                <w:noProof/>
                <w:webHidden/>
              </w:rPr>
              <w:instrText xml:space="preserve"> PAGEREF _Toc46933907 \h </w:instrText>
            </w:r>
            <w:r w:rsidR="002F2258">
              <w:rPr>
                <w:noProof/>
                <w:webHidden/>
              </w:rPr>
            </w:r>
            <w:r w:rsidR="002F2258">
              <w:rPr>
                <w:noProof/>
                <w:webHidden/>
              </w:rPr>
              <w:fldChar w:fldCharType="separate"/>
            </w:r>
            <w:r w:rsidR="002F2258">
              <w:rPr>
                <w:noProof/>
                <w:webHidden/>
              </w:rPr>
              <w:t>5</w:t>
            </w:r>
            <w:r w:rsidR="002F2258">
              <w:rPr>
                <w:noProof/>
                <w:webHidden/>
              </w:rPr>
              <w:fldChar w:fldCharType="end"/>
            </w:r>
          </w:hyperlink>
        </w:p>
        <w:p w14:paraId="10E5C129"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08" w:history="1">
            <w:r w:rsidR="002F2258" w:rsidRPr="00F937BD">
              <w:rPr>
                <w:rStyle w:val="Hyperlink"/>
                <w:noProof/>
              </w:rPr>
              <w:t>1.5 Scope</w:t>
            </w:r>
            <w:r w:rsidR="002F2258">
              <w:rPr>
                <w:noProof/>
                <w:webHidden/>
              </w:rPr>
              <w:tab/>
            </w:r>
            <w:r w:rsidR="002F2258">
              <w:rPr>
                <w:noProof/>
                <w:webHidden/>
              </w:rPr>
              <w:fldChar w:fldCharType="begin"/>
            </w:r>
            <w:r w:rsidR="002F2258">
              <w:rPr>
                <w:noProof/>
                <w:webHidden/>
              </w:rPr>
              <w:instrText xml:space="preserve"> PAGEREF _Toc46933908 \h </w:instrText>
            </w:r>
            <w:r w:rsidR="002F2258">
              <w:rPr>
                <w:noProof/>
                <w:webHidden/>
              </w:rPr>
            </w:r>
            <w:r w:rsidR="002F2258">
              <w:rPr>
                <w:noProof/>
                <w:webHidden/>
              </w:rPr>
              <w:fldChar w:fldCharType="separate"/>
            </w:r>
            <w:r w:rsidR="002F2258">
              <w:rPr>
                <w:noProof/>
                <w:webHidden/>
              </w:rPr>
              <w:t>5</w:t>
            </w:r>
            <w:r w:rsidR="002F2258">
              <w:rPr>
                <w:noProof/>
                <w:webHidden/>
              </w:rPr>
              <w:fldChar w:fldCharType="end"/>
            </w:r>
          </w:hyperlink>
        </w:p>
        <w:p w14:paraId="592FF00D"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09" w:history="1">
            <w:r w:rsidR="002F2258" w:rsidRPr="00F937BD">
              <w:rPr>
                <w:rStyle w:val="Hyperlink"/>
                <w:noProof/>
              </w:rPr>
              <w:t>1.6 Principles</w:t>
            </w:r>
            <w:r w:rsidR="002F2258">
              <w:rPr>
                <w:noProof/>
                <w:webHidden/>
              </w:rPr>
              <w:tab/>
            </w:r>
            <w:r w:rsidR="002F2258">
              <w:rPr>
                <w:noProof/>
                <w:webHidden/>
              </w:rPr>
              <w:fldChar w:fldCharType="begin"/>
            </w:r>
            <w:r w:rsidR="002F2258">
              <w:rPr>
                <w:noProof/>
                <w:webHidden/>
              </w:rPr>
              <w:instrText xml:space="preserve"> PAGEREF _Toc46933909 \h </w:instrText>
            </w:r>
            <w:r w:rsidR="002F2258">
              <w:rPr>
                <w:noProof/>
                <w:webHidden/>
              </w:rPr>
            </w:r>
            <w:r w:rsidR="002F2258">
              <w:rPr>
                <w:noProof/>
                <w:webHidden/>
              </w:rPr>
              <w:fldChar w:fldCharType="separate"/>
            </w:r>
            <w:r w:rsidR="002F2258">
              <w:rPr>
                <w:noProof/>
                <w:webHidden/>
              </w:rPr>
              <w:t>6</w:t>
            </w:r>
            <w:r w:rsidR="002F2258">
              <w:rPr>
                <w:noProof/>
                <w:webHidden/>
              </w:rPr>
              <w:fldChar w:fldCharType="end"/>
            </w:r>
          </w:hyperlink>
        </w:p>
        <w:p w14:paraId="1F18F85E" w14:textId="77777777" w:rsidR="002F2258" w:rsidRPr="001236BB" w:rsidRDefault="0018348A" w:rsidP="002F2258">
          <w:pPr>
            <w:pStyle w:val="TOC1"/>
            <w:tabs>
              <w:tab w:val="right" w:leader="dot" w:pos="9350"/>
            </w:tabs>
            <w:ind w:left="426"/>
            <w:rPr>
              <w:rStyle w:val="Hyperlink"/>
            </w:rPr>
          </w:pPr>
          <w:hyperlink w:anchor="_Toc46933910" w:history="1">
            <w:r w:rsidR="002F2258" w:rsidRPr="00F937BD">
              <w:rPr>
                <w:rStyle w:val="Hyperlink"/>
                <w:noProof/>
              </w:rPr>
              <w:t>2. RETURN-TO-CAMPUS CONSIDERATIONS BY</w:t>
            </w:r>
            <w:r w:rsidR="002F2258">
              <w:rPr>
                <w:rStyle w:val="Hyperlink"/>
                <w:noProof/>
              </w:rPr>
              <w:t xml:space="preserve"> </w:t>
            </w:r>
            <w:r w:rsidR="002F2258" w:rsidRPr="008B299A">
              <w:rPr>
                <w:rStyle w:val="Hyperlink"/>
                <w:noProof/>
              </w:rPr>
              <w:t>DISABILITY TYPE</w:t>
            </w:r>
            <w:r w:rsidR="002F2258" w:rsidRPr="008B299A">
              <w:rPr>
                <w:rStyle w:val="Hyperlink"/>
                <w:noProof/>
              </w:rPr>
              <w:tab/>
            </w:r>
            <w:r w:rsidR="002F2258" w:rsidRPr="001236BB">
              <w:rPr>
                <w:rStyle w:val="Hyperlink"/>
                <w:webHidden/>
              </w:rPr>
              <w:fldChar w:fldCharType="begin"/>
            </w:r>
            <w:r w:rsidR="002F2258" w:rsidRPr="001236BB">
              <w:rPr>
                <w:rStyle w:val="Hyperlink"/>
                <w:webHidden/>
              </w:rPr>
              <w:instrText xml:space="preserve"> PAGEREF _Toc46933910 \h </w:instrText>
            </w:r>
            <w:r w:rsidR="002F2258" w:rsidRPr="001236BB">
              <w:rPr>
                <w:rStyle w:val="Hyperlink"/>
                <w:webHidden/>
              </w:rPr>
            </w:r>
            <w:r w:rsidR="002F2258" w:rsidRPr="001236BB">
              <w:rPr>
                <w:rStyle w:val="Hyperlink"/>
                <w:webHidden/>
              </w:rPr>
              <w:fldChar w:fldCharType="separate"/>
            </w:r>
            <w:r w:rsidR="002F2258" w:rsidRPr="001236BB">
              <w:rPr>
                <w:rStyle w:val="Hyperlink"/>
                <w:webHidden/>
              </w:rPr>
              <w:t>7</w:t>
            </w:r>
            <w:r w:rsidR="002F2258" w:rsidRPr="001236BB">
              <w:rPr>
                <w:rStyle w:val="Hyperlink"/>
                <w:webHidden/>
              </w:rPr>
              <w:fldChar w:fldCharType="end"/>
            </w:r>
          </w:hyperlink>
        </w:p>
        <w:p w14:paraId="1BFCF93B"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12" w:history="1">
            <w:r w:rsidR="002F2258" w:rsidRPr="00F937BD">
              <w:rPr>
                <w:rStyle w:val="Hyperlink"/>
                <w:noProof/>
              </w:rPr>
              <w:t>2.1 Disability type/experience: psychosocial – anxiety and depression</w:t>
            </w:r>
            <w:r w:rsidR="002F2258">
              <w:rPr>
                <w:noProof/>
                <w:webHidden/>
              </w:rPr>
              <w:tab/>
            </w:r>
            <w:r w:rsidR="002F2258">
              <w:rPr>
                <w:noProof/>
                <w:webHidden/>
              </w:rPr>
              <w:fldChar w:fldCharType="begin"/>
            </w:r>
            <w:r w:rsidR="002F2258">
              <w:rPr>
                <w:noProof/>
                <w:webHidden/>
              </w:rPr>
              <w:instrText xml:space="preserve"> PAGEREF _Toc46933912 \h </w:instrText>
            </w:r>
            <w:r w:rsidR="002F2258">
              <w:rPr>
                <w:noProof/>
                <w:webHidden/>
              </w:rPr>
            </w:r>
            <w:r w:rsidR="002F2258">
              <w:rPr>
                <w:noProof/>
                <w:webHidden/>
              </w:rPr>
              <w:fldChar w:fldCharType="separate"/>
            </w:r>
            <w:r w:rsidR="002F2258">
              <w:rPr>
                <w:noProof/>
                <w:webHidden/>
              </w:rPr>
              <w:t>7</w:t>
            </w:r>
            <w:r w:rsidR="002F2258">
              <w:rPr>
                <w:noProof/>
                <w:webHidden/>
              </w:rPr>
              <w:fldChar w:fldCharType="end"/>
            </w:r>
          </w:hyperlink>
        </w:p>
        <w:p w14:paraId="52F2000F"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13" w:history="1">
            <w:r w:rsidR="002F2258" w:rsidRPr="00F937BD">
              <w:rPr>
                <w:rStyle w:val="Hyperlink"/>
                <w:noProof/>
              </w:rPr>
              <w:t>2.2 Disability type/experience: autism spectrum</w:t>
            </w:r>
            <w:r w:rsidR="002F2258">
              <w:rPr>
                <w:noProof/>
                <w:webHidden/>
              </w:rPr>
              <w:tab/>
            </w:r>
            <w:r w:rsidR="002F2258">
              <w:rPr>
                <w:noProof/>
                <w:webHidden/>
              </w:rPr>
              <w:fldChar w:fldCharType="begin"/>
            </w:r>
            <w:r w:rsidR="002F2258">
              <w:rPr>
                <w:noProof/>
                <w:webHidden/>
              </w:rPr>
              <w:instrText xml:space="preserve"> PAGEREF _Toc46933913 \h </w:instrText>
            </w:r>
            <w:r w:rsidR="002F2258">
              <w:rPr>
                <w:noProof/>
                <w:webHidden/>
              </w:rPr>
            </w:r>
            <w:r w:rsidR="002F2258">
              <w:rPr>
                <w:noProof/>
                <w:webHidden/>
              </w:rPr>
              <w:fldChar w:fldCharType="separate"/>
            </w:r>
            <w:r w:rsidR="002F2258">
              <w:rPr>
                <w:noProof/>
                <w:webHidden/>
              </w:rPr>
              <w:t>8</w:t>
            </w:r>
            <w:r w:rsidR="002F2258">
              <w:rPr>
                <w:noProof/>
                <w:webHidden/>
              </w:rPr>
              <w:fldChar w:fldCharType="end"/>
            </w:r>
          </w:hyperlink>
        </w:p>
        <w:p w14:paraId="28F91F0F"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14" w:history="1">
            <w:r w:rsidR="002F2258" w:rsidRPr="00F937BD">
              <w:rPr>
                <w:rStyle w:val="Hyperlink"/>
                <w:noProof/>
              </w:rPr>
              <w:t>2.3 Disability type/experience: blind or vision impairments</w:t>
            </w:r>
            <w:r w:rsidR="002F2258">
              <w:rPr>
                <w:noProof/>
                <w:webHidden/>
              </w:rPr>
              <w:tab/>
            </w:r>
            <w:r w:rsidR="002F2258">
              <w:rPr>
                <w:noProof/>
                <w:webHidden/>
              </w:rPr>
              <w:fldChar w:fldCharType="begin"/>
            </w:r>
            <w:r w:rsidR="002F2258">
              <w:rPr>
                <w:noProof/>
                <w:webHidden/>
              </w:rPr>
              <w:instrText xml:space="preserve"> PAGEREF _Toc46933914 \h </w:instrText>
            </w:r>
            <w:r w:rsidR="002F2258">
              <w:rPr>
                <w:noProof/>
                <w:webHidden/>
              </w:rPr>
            </w:r>
            <w:r w:rsidR="002F2258">
              <w:rPr>
                <w:noProof/>
                <w:webHidden/>
              </w:rPr>
              <w:fldChar w:fldCharType="separate"/>
            </w:r>
            <w:r w:rsidR="002F2258">
              <w:rPr>
                <w:noProof/>
                <w:webHidden/>
              </w:rPr>
              <w:t>8</w:t>
            </w:r>
            <w:r w:rsidR="002F2258">
              <w:rPr>
                <w:noProof/>
                <w:webHidden/>
              </w:rPr>
              <w:fldChar w:fldCharType="end"/>
            </w:r>
          </w:hyperlink>
        </w:p>
        <w:p w14:paraId="78295398"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15" w:history="1">
            <w:r w:rsidR="002F2258" w:rsidRPr="00F937BD">
              <w:rPr>
                <w:rStyle w:val="Hyperlink"/>
                <w:noProof/>
              </w:rPr>
              <w:t>2.4 Disability type/experience: Deaf or hard of hearing</w:t>
            </w:r>
            <w:r w:rsidR="002F2258">
              <w:rPr>
                <w:noProof/>
                <w:webHidden/>
              </w:rPr>
              <w:tab/>
            </w:r>
            <w:r w:rsidR="002F2258">
              <w:rPr>
                <w:noProof/>
                <w:webHidden/>
              </w:rPr>
              <w:fldChar w:fldCharType="begin"/>
            </w:r>
            <w:r w:rsidR="002F2258">
              <w:rPr>
                <w:noProof/>
                <w:webHidden/>
              </w:rPr>
              <w:instrText xml:space="preserve"> PAGEREF _Toc46933915 \h </w:instrText>
            </w:r>
            <w:r w:rsidR="002F2258">
              <w:rPr>
                <w:noProof/>
                <w:webHidden/>
              </w:rPr>
            </w:r>
            <w:r w:rsidR="002F2258">
              <w:rPr>
                <w:noProof/>
                <w:webHidden/>
              </w:rPr>
              <w:fldChar w:fldCharType="separate"/>
            </w:r>
            <w:r w:rsidR="002F2258">
              <w:rPr>
                <w:noProof/>
                <w:webHidden/>
              </w:rPr>
              <w:t>9</w:t>
            </w:r>
            <w:r w:rsidR="002F2258">
              <w:rPr>
                <w:noProof/>
                <w:webHidden/>
              </w:rPr>
              <w:fldChar w:fldCharType="end"/>
            </w:r>
          </w:hyperlink>
        </w:p>
        <w:p w14:paraId="6478E38E"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16" w:history="1">
            <w:r w:rsidR="002F2258" w:rsidRPr="00F937BD">
              <w:rPr>
                <w:rStyle w:val="Hyperlink"/>
                <w:noProof/>
              </w:rPr>
              <w:t>2.5 Disability type/experience: chronic illness or injury</w:t>
            </w:r>
            <w:r w:rsidR="002F2258">
              <w:rPr>
                <w:noProof/>
                <w:webHidden/>
              </w:rPr>
              <w:tab/>
            </w:r>
            <w:r w:rsidR="002F2258">
              <w:rPr>
                <w:noProof/>
                <w:webHidden/>
              </w:rPr>
              <w:fldChar w:fldCharType="begin"/>
            </w:r>
            <w:r w:rsidR="002F2258">
              <w:rPr>
                <w:noProof/>
                <w:webHidden/>
              </w:rPr>
              <w:instrText xml:space="preserve"> PAGEREF _Toc46933916 \h </w:instrText>
            </w:r>
            <w:r w:rsidR="002F2258">
              <w:rPr>
                <w:noProof/>
                <w:webHidden/>
              </w:rPr>
            </w:r>
            <w:r w:rsidR="002F2258">
              <w:rPr>
                <w:noProof/>
                <w:webHidden/>
              </w:rPr>
              <w:fldChar w:fldCharType="separate"/>
            </w:r>
            <w:r w:rsidR="002F2258">
              <w:rPr>
                <w:noProof/>
                <w:webHidden/>
              </w:rPr>
              <w:t>9</w:t>
            </w:r>
            <w:r w:rsidR="002F2258">
              <w:rPr>
                <w:noProof/>
                <w:webHidden/>
              </w:rPr>
              <w:fldChar w:fldCharType="end"/>
            </w:r>
          </w:hyperlink>
        </w:p>
        <w:p w14:paraId="0CBEA9D0"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17" w:history="1">
            <w:r w:rsidR="002F2258" w:rsidRPr="00F937BD">
              <w:rPr>
                <w:rStyle w:val="Hyperlink"/>
                <w:noProof/>
              </w:rPr>
              <w:t>2.6 Disability type/experience: physical disability</w:t>
            </w:r>
            <w:r w:rsidR="002F2258">
              <w:rPr>
                <w:noProof/>
                <w:webHidden/>
              </w:rPr>
              <w:tab/>
            </w:r>
            <w:r w:rsidR="002F2258">
              <w:rPr>
                <w:noProof/>
                <w:webHidden/>
              </w:rPr>
              <w:fldChar w:fldCharType="begin"/>
            </w:r>
            <w:r w:rsidR="002F2258">
              <w:rPr>
                <w:noProof/>
                <w:webHidden/>
              </w:rPr>
              <w:instrText xml:space="preserve"> PAGEREF _Toc46933917 \h </w:instrText>
            </w:r>
            <w:r w:rsidR="002F2258">
              <w:rPr>
                <w:noProof/>
                <w:webHidden/>
              </w:rPr>
            </w:r>
            <w:r w:rsidR="002F2258">
              <w:rPr>
                <w:noProof/>
                <w:webHidden/>
              </w:rPr>
              <w:fldChar w:fldCharType="separate"/>
            </w:r>
            <w:r w:rsidR="002F2258">
              <w:rPr>
                <w:noProof/>
                <w:webHidden/>
              </w:rPr>
              <w:t>9</w:t>
            </w:r>
            <w:r w:rsidR="002F2258">
              <w:rPr>
                <w:noProof/>
                <w:webHidden/>
              </w:rPr>
              <w:fldChar w:fldCharType="end"/>
            </w:r>
          </w:hyperlink>
        </w:p>
        <w:p w14:paraId="09854145"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18" w:history="1">
            <w:r w:rsidR="002F2258" w:rsidRPr="00F937BD">
              <w:rPr>
                <w:rStyle w:val="Hyperlink"/>
                <w:noProof/>
              </w:rPr>
              <w:t>2.7 Disability type/experience: intellectual disability</w:t>
            </w:r>
            <w:r w:rsidR="002F2258">
              <w:rPr>
                <w:noProof/>
                <w:webHidden/>
              </w:rPr>
              <w:tab/>
            </w:r>
            <w:r w:rsidR="002F2258">
              <w:rPr>
                <w:noProof/>
                <w:webHidden/>
              </w:rPr>
              <w:fldChar w:fldCharType="begin"/>
            </w:r>
            <w:r w:rsidR="002F2258">
              <w:rPr>
                <w:noProof/>
                <w:webHidden/>
              </w:rPr>
              <w:instrText xml:space="preserve"> PAGEREF _Toc46933918 \h </w:instrText>
            </w:r>
            <w:r w:rsidR="002F2258">
              <w:rPr>
                <w:noProof/>
                <w:webHidden/>
              </w:rPr>
            </w:r>
            <w:r w:rsidR="002F2258">
              <w:rPr>
                <w:noProof/>
                <w:webHidden/>
              </w:rPr>
              <w:fldChar w:fldCharType="separate"/>
            </w:r>
            <w:r w:rsidR="002F2258">
              <w:rPr>
                <w:noProof/>
                <w:webHidden/>
              </w:rPr>
              <w:t>10</w:t>
            </w:r>
            <w:r w:rsidR="002F2258">
              <w:rPr>
                <w:noProof/>
                <w:webHidden/>
              </w:rPr>
              <w:fldChar w:fldCharType="end"/>
            </w:r>
          </w:hyperlink>
        </w:p>
        <w:p w14:paraId="5825AA17"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19" w:history="1">
            <w:r w:rsidR="002F2258" w:rsidRPr="00F937BD">
              <w:rPr>
                <w:rStyle w:val="Hyperlink"/>
                <w:noProof/>
              </w:rPr>
              <w:t>2.8 Disability type/experience: acquired brain injury</w:t>
            </w:r>
            <w:r w:rsidR="002F2258">
              <w:rPr>
                <w:noProof/>
                <w:webHidden/>
              </w:rPr>
              <w:tab/>
            </w:r>
            <w:r w:rsidR="002F2258">
              <w:rPr>
                <w:noProof/>
                <w:webHidden/>
              </w:rPr>
              <w:fldChar w:fldCharType="begin"/>
            </w:r>
            <w:r w:rsidR="002F2258">
              <w:rPr>
                <w:noProof/>
                <w:webHidden/>
              </w:rPr>
              <w:instrText xml:space="preserve"> PAGEREF _Toc46933919 \h </w:instrText>
            </w:r>
            <w:r w:rsidR="002F2258">
              <w:rPr>
                <w:noProof/>
                <w:webHidden/>
              </w:rPr>
            </w:r>
            <w:r w:rsidR="002F2258">
              <w:rPr>
                <w:noProof/>
                <w:webHidden/>
              </w:rPr>
              <w:fldChar w:fldCharType="separate"/>
            </w:r>
            <w:r w:rsidR="002F2258">
              <w:rPr>
                <w:noProof/>
                <w:webHidden/>
              </w:rPr>
              <w:t>10</w:t>
            </w:r>
            <w:r w:rsidR="002F2258">
              <w:rPr>
                <w:noProof/>
                <w:webHidden/>
              </w:rPr>
              <w:fldChar w:fldCharType="end"/>
            </w:r>
          </w:hyperlink>
        </w:p>
        <w:p w14:paraId="37FB0CC6"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20" w:history="1">
            <w:r w:rsidR="002F2258" w:rsidRPr="00F937BD">
              <w:rPr>
                <w:rStyle w:val="Hyperlink"/>
                <w:noProof/>
              </w:rPr>
              <w:t>2.9 Disability type/experience: specific learning disability</w:t>
            </w:r>
            <w:r w:rsidR="002F2258">
              <w:rPr>
                <w:noProof/>
                <w:webHidden/>
              </w:rPr>
              <w:tab/>
            </w:r>
            <w:r w:rsidR="002F2258">
              <w:rPr>
                <w:noProof/>
                <w:webHidden/>
              </w:rPr>
              <w:fldChar w:fldCharType="begin"/>
            </w:r>
            <w:r w:rsidR="002F2258">
              <w:rPr>
                <w:noProof/>
                <w:webHidden/>
              </w:rPr>
              <w:instrText xml:space="preserve"> PAGEREF _Toc46933920 \h </w:instrText>
            </w:r>
            <w:r w:rsidR="002F2258">
              <w:rPr>
                <w:noProof/>
                <w:webHidden/>
              </w:rPr>
            </w:r>
            <w:r w:rsidR="002F2258">
              <w:rPr>
                <w:noProof/>
                <w:webHidden/>
              </w:rPr>
              <w:fldChar w:fldCharType="separate"/>
            </w:r>
            <w:r w:rsidR="002F2258">
              <w:rPr>
                <w:noProof/>
                <w:webHidden/>
              </w:rPr>
              <w:t>10</w:t>
            </w:r>
            <w:r w:rsidR="002F2258">
              <w:rPr>
                <w:noProof/>
                <w:webHidden/>
              </w:rPr>
              <w:fldChar w:fldCharType="end"/>
            </w:r>
          </w:hyperlink>
        </w:p>
        <w:p w14:paraId="3525C84B" w14:textId="77777777" w:rsidR="002F2258" w:rsidRPr="001236BB" w:rsidRDefault="0018348A" w:rsidP="002F2258">
          <w:pPr>
            <w:pStyle w:val="TOC1"/>
            <w:tabs>
              <w:tab w:val="right" w:leader="dot" w:pos="9350"/>
            </w:tabs>
            <w:ind w:left="426"/>
            <w:rPr>
              <w:rStyle w:val="Hyperlink"/>
            </w:rPr>
          </w:pPr>
          <w:hyperlink w:anchor="_Toc46933921" w:history="1">
            <w:r w:rsidR="002F2258" w:rsidRPr="00F937BD">
              <w:rPr>
                <w:rStyle w:val="Hyperlink"/>
                <w:noProof/>
              </w:rPr>
              <w:t>3. RETURN-TO-CAMPUS PROCEDURES</w:t>
            </w:r>
            <w:r w:rsidR="002F2258" w:rsidRPr="001236BB">
              <w:rPr>
                <w:rStyle w:val="Hyperlink"/>
                <w:webHidden/>
              </w:rPr>
              <w:tab/>
            </w:r>
            <w:r w:rsidR="002F2258" w:rsidRPr="001236BB">
              <w:rPr>
                <w:rStyle w:val="Hyperlink"/>
                <w:webHidden/>
              </w:rPr>
              <w:fldChar w:fldCharType="begin"/>
            </w:r>
            <w:r w:rsidR="002F2258" w:rsidRPr="001236BB">
              <w:rPr>
                <w:rStyle w:val="Hyperlink"/>
                <w:webHidden/>
              </w:rPr>
              <w:instrText xml:space="preserve"> PAGEREF _Toc46933921 \h </w:instrText>
            </w:r>
            <w:r w:rsidR="002F2258" w:rsidRPr="001236BB">
              <w:rPr>
                <w:rStyle w:val="Hyperlink"/>
                <w:webHidden/>
              </w:rPr>
            </w:r>
            <w:r w:rsidR="002F2258" w:rsidRPr="001236BB">
              <w:rPr>
                <w:rStyle w:val="Hyperlink"/>
                <w:webHidden/>
              </w:rPr>
              <w:fldChar w:fldCharType="separate"/>
            </w:r>
            <w:r w:rsidR="002F2258" w:rsidRPr="001236BB">
              <w:rPr>
                <w:rStyle w:val="Hyperlink"/>
                <w:webHidden/>
              </w:rPr>
              <w:t>11</w:t>
            </w:r>
            <w:r w:rsidR="002F2258" w:rsidRPr="001236BB">
              <w:rPr>
                <w:rStyle w:val="Hyperlink"/>
                <w:webHidden/>
              </w:rPr>
              <w:fldChar w:fldCharType="end"/>
            </w:r>
          </w:hyperlink>
        </w:p>
        <w:p w14:paraId="0581C037"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22" w:history="1">
            <w:r w:rsidR="002F2258" w:rsidRPr="00F937BD">
              <w:rPr>
                <w:rStyle w:val="Hyperlink"/>
                <w:noProof/>
              </w:rPr>
              <w:t>3.1 Individual consultations and risk assessments</w:t>
            </w:r>
            <w:r w:rsidR="002F2258">
              <w:rPr>
                <w:noProof/>
                <w:webHidden/>
              </w:rPr>
              <w:tab/>
            </w:r>
            <w:r w:rsidR="002F2258">
              <w:rPr>
                <w:noProof/>
                <w:webHidden/>
              </w:rPr>
              <w:fldChar w:fldCharType="begin"/>
            </w:r>
            <w:r w:rsidR="002F2258">
              <w:rPr>
                <w:noProof/>
                <w:webHidden/>
              </w:rPr>
              <w:instrText xml:space="preserve"> PAGEREF _Toc46933922 \h </w:instrText>
            </w:r>
            <w:r w:rsidR="002F2258">
              <w:rPr>
                <w:noProof/>
                <w:webHidden/>
              </w:rPr>
            </w:r>
            <w:r w:rsidR="002F2258">
              <w:rPr>
                <w:noProof/>
                <w:webHidden/>
              </w:rPr>
              <w:fldChar w:fldCharType="separate"/>
            </w:r>
            <w:r w:rsidR="002F2258">
              <w:rPr>
                <w:noProof/>
                <w:webHidden/>
              </w:rPr>
              <w:t>11</w:t>
            </w:r>
            <w:r w:rsidR="002F2258">
              <w:rPr>
                <w:noProof/>
                <w:webHidden/>
              </w:rPr>
              <w:fldChar w:fldCharType="end"/>
            </w:r>
          </w:hyperlink>
        </w:p>
        <w:p w14:paraId="5DB79EB9"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23" w:history="1">
            <w:r w:rsidR="002F2258" w:rsidRPr="00F937BD">
              <w:rPr>
                <w:rStyle w:val="Hyperlink"/>
                <w:noProof/>
              </w:rPr>
              <w:t>3.2 Use of public transport</w:t>
            </w:r>
            <w:r w:rsidR="002F2258">
              <w:rPr>
                <w:noProof/>
                <w:webHidden/>
              </w:rPr>
              <w:tab/>
            </w:r>
            <w:r w:rsidR="002F2258">
              <w:rPr>
                <w:noProof/>
                <w:webHidden/>
              </w:rPr>
              <w:fldChar w:fldCharType="begin"/>
            </w:r>
            <w:r w:rsidR="002F2258">
              <w:rPr>
                <w:noProof/>
                <w:webHidden/>
              </w:rPr>
              <w:instrText xml:space="preserve"> PAGEREF _Toc46933923 \h </w:instrText>
            </w:r>
            <w:r w:rsidR="002F2258">
              <w:rPr>
                <w:noProof/>
                <w:webHidden/>
              </w:rPr>
            </w:r>
            <w:r w:rsidR="002F2258">
              <w:rPr>
                <w:noProof/>
                <w:webHidden/>
              </w:rPr>
              <w:fldChar w:fldCharType="separate"/>
            </w:r>
            <w:r w:rsidR="002F2258">
              <w:rPr>
                <w:noProof/>
                <w:webHidden/>
              </w:rPr>
              <w:t>11</w:t>
            </w:r>
            <w:r w:rsidR="002F2258">
              <w:rPr>
                <w:noProof/>
                <w:webHidden/>
              </w:rPr>
              <w:fldChar w:fldCharType="end"/>
            </w:r>
          </w:hyperlink>
        </w:p>
        <w:p w14:paraId="68510781"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24" w:history="1">
            <w:r w:rsidR="002F2258" w:rsidRPr="00F937BD">
              <w:rPr>
                <w:rStyle w:val="Hyperlink"/>
                <w:noProof/>
              </w:rPr>
              <w:t>3.3 Settling back in to the ‘new normal’</w:t>
            </w:r>
            <w:r w:rsidR="002F2258">
              <w:rPr>
                <w:noProof/>
                <w:webHidden/>
              </w:rPr>
              <w:tab/>
            </w:r>
            <w:r w:rsidR="002F2258">
              <w:rPr>
                <w:noProof/>
                <w:webHidden/>
              </w:rPr>
              <w:fldChar w:fldCharType="begin"/>
            </w:r>
            <w:r w:rsidR="002F2258">
              <w:rPr>
                <w:noProof/>
                <w:webHidden/>
              </w:rPr>
              <w:instrText xml:space="preserve"> PAGEREF _Toc46933924 \h </w:instrText>
            </w:r>
            <w:r w:rsidR="002F2258">
              <w:rPr>
                <w:noProof/>
                <w:webHidden/>
              </w:rPr>
            </w:r>
            <w:r w:rsidR="002F2258">
              <w:rPr>
                <w:noProof/>
                <w:webHidden/>
              </w:rPr>
              <w:fldChar w:fldCharType="separate"/>
            </w:r>
            <w:r w:rsidR="002F2258">
              <w:rPr>
                <w:noProof/>
                <w:webHidden/>
              </w:rPr>
              <w:t>11</w:t>
            </w:r>
            <w:r w:rsidR="002F2258">
              <w:rPr>
                <w:noProof/>
                <w:webHidden/>
              </w:rPr>
              <w:fldChar w:fldCharType="end"/>
            </w:r>
          </w:hyperlink>
        </w:p>
        <w:p w14:paraId="0799DA13"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25" w:history="1">
            <w:r w:rsidR="002F2258" w:rsidRPr="00F937BD">
              <w:rPr>
                <w:rStyle w:val="Hyperlink"/>
                <w:noProof/>
              </w:rPr>
              <w:t>3.4 General health monitoring</w:t>
            </w:r>
            <w:r w:rsidR="002F2258">
              <w:rPr>
                <w:noProof/>
                <w:webHidden/>
              </w:rPr>
              <w:tab/>
            </w:r>
            <w:r w:rsidR="002F2258">
              <w:rPr>
                <w:noProof/>
                <w:webHidden/>
              </w:rPr>
              <w:fldChar w:fldCharType="begin"/>
            </w:r>
            <w:r w:rsidR="002F2258">
              <w:rPr>
                <w:noProof/>
                <w:webHidden/>
              </w:rPr>
              <w:instrText xml:space="preserve"> PAGEREF _Toc46933925 \h </w:instrText>
            </w:r>
            <w:r w:rsidR="002F2258">
              <w:rPr>
                <w:noProof/>
                <w:webHidden/>
              </w:rPr>
            </w:r>
            <w:r w:rsidR="002F2258">
              <w:rPr>
                <w:noProof/>
                <w:webHidden/>
              </w:rPr>
              <w:fldChar w:fldCharType="separate"/>
            </w:r>
            <w:r w:rsidR="002F2258">
              <w:rPr>
                <w:noProof/>
                <w:webHidden/>
              </w:rPr>
              <w:t>12</w:t>
            </w:r>
            <w:r w:rsidR="002F2258">
              <w:rPr>
                <w:noProof/>
                <w:webHidden/>
              </w:rPr>
              <w:fldChar w:fldCharType="end"/>
            </w:r>
          </w:hyperlink>
        </w:p>
        <w:p w14:paraId="344FC832"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26" w:history="1">
            <w:r w:rsidR="002F2258" w:rsidRPr="00F937BD">
              <w:rPr>
                <w:rStyle w:val="Hyperlink"/>
                <w:noProof/>
              </w:rPr>
              <w:t>3.5 Emergency evacuation procedures</w:t>
            </w:r>
            <w:r w:rsidR="002F2258">
              <w:rPr>
                <w:noProof/>
                <w:webHidden/>
              </w:rPr>
              <w:tab/>
            </w:r>
            <w:r w:rsidR="002F2258">
              <w:rPr>
                <w:noProof/>
                <w:webHidden/>
              </w:rPr>
              <w:fldChar w:fldCharType="begin"/>
            </w:r>
            <w:r w:rsidR="002F2258">
              <w:rPr>
                <w:noProof/>
                <w:webHidden/>
              </w:rPr>
              <w:instrText xml:space="preserve"> PAGEREF _Toc46933926 \h </w:instrText>
            </w:r>
            <w:r w:rsidR="002F2258">
              <w:rPr>
                <w:noProof/>
                <w:webHidden/>
              </w:rPr>
            </w:r>
            <w:r w:rsidR="002F2258">
              <w:rPr>
                <w:noProof/>
                <w:webHidden/>
              </w:rPr>
              <w:fldChar w:fldCharType="separate"/>
            </w:r>
            <w:r w:rsidR="002F2258">
              <w:rPr>
                <w:noProof/>
                <w:webHidden/>
              </w:rPr>
              <w:t>13</w:t>
            </w:r>
            <w:r w:rsidR="002F2258">
              <w:rPr>
                <w:noProof/>
                <w:webHidden/>
              </w:rPr>
              <w:fldChar w:fldCharType="end"/>
            </w:r>
          </w:hyperlink>
        </w:p>
        <w:p w14:paraId="73BFEFF7"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27" w:history="1">
            <w:r w:rsidR="002F2258" w:rsidRPr="00F937BD">
              <w:rPr>
                <w:rStyle w:val="Hyperlink"/>
                <w:noProof/>
              </w:rPr>
              <w:t>3.6 Educating others</w:t>
            </w:r>
            <w:r w:rsidR="002F2258">
              <w:rPr>
                <w:noProof/>
                <w:webHidden/>
              </w:rPr>
              <w:tab/>
            </w:r>
            <w:r w:rsidR="002F2258">
              <w:rPr>
                <w:noProof/>
                <w:webHidden/>
              </w:rPr>
              <w:fldChar w:fldCharType="begin"/>
            </w:r>
            <w:r w:rsidR="002F2258">
              <w:rPr>
                <w:noProof/>
                <w:webHidden/>
              </w:rPr>
              <w:instrText xml:space="preserve"> PAGEREF _Toc46933927 \h </w:instrText>
            </w:r>
            <w:r w:rsidR="002F2258">
              <w:rPr>
                <w:noProof/>
                <w:webHidden/>
              </w:rPr>
            </w:r>
            <w:r w:rsidR="002F2258">
              <w:rPr>
                <w:noProof/>
                <w:webHidden/>
              </w:rPr>
              <w:fldChar w:fldCharType="separate"/>
            </w:r>
            <w:r w:rsidR="002F2258">
              <w:rPr>
                <w:noProof/>
                <w:webHidden/>
              </w:rPr>
              <w:t>13</w:t>
            </w:r>
            <w:r w:rsidR="002F2258">
              <w:rPr>
                <w:noProof/>
                <w:webHidden/>
              </w:rPr>
              <w:fldChar w:fldCharType="end"/>
            </w:r>
          </w:hyperlink>
        </w:p>
        <w:p w14:paraId="2565D3B6" w14:textId="77777777" w:rsidR="002F2258" w:rsidRPr="001236BB" w:rsidRDefault="0018348A" w:rsidP="002F2258">
          <w:pPr>
            <w:pStyle w:val="TOC1"/>
            <w:tabs>
              <w:tab w:val="right" w:leader="dot" w:pos="9350"/>
            </w:tabs>
            <w:ind w:left="426"/>
            <w:rPr>
              <w:rStyle w:val="Hyperlink"/>
            </w:rPr>
          </w:pPr>
          <w:hyperlink w:anchor="_Toc46933928" w:history="1">
            <w:r w:rsidR="002F2258" w:rsidRPr="00F937BD">
              <w:rPr>
                <w:rStyle w:val="Hyperlink"/>
                <w:noProof/>
              </w:rPr>
              <w:t>4. HYGIENE AND PREVENTION PROTOCOLS</w:t>
            </w:r>
            <w:r w:rsidR="002F2258" w:rsidRPr="001236BB">
              <w:rPr>
                <w:rStyle w:val="Hyperlink"/>
                <w:webHidden/>
              </w:rPr>
              <w:tab/>
            </w:r>
            <w:r w:rsidR="002F2258" w:rsidRPr="001236BB">
              <w:rPr>
                <w:rStyle w:val="Hyperlink"/>
                <w:webHidden/>
              </w:rPr>
              <w:fldChar w:fldCharType="begin"/>
            </w:r>
            <w:r w:rsidR="002F2258" w:rsidRPr="001236BB">
              <w:rPr>
                <w:rStyle w:val="Hyperlink"/>
                <w:webHidden/>
              </w:rPr>
              <w:instrText xml:space="preserve"> PAGEREF _Toc46933928 \h </w:instrText>
            </w:r>
            <w:r w:rsidR="002F2258" w:rsidRPr="001236BB">
              <w:rPr>
                <w:rStyle w:val="Hyperlink"/>
                <w:webHidden/>
              </w:rPr>
            </w:r>
            <w:r w:rsidR="002F2258" w:rsidRPr="001236BB">
              <w:rPr>
                <w:rStyle w:val="Hyperlink"/>
                <w:webHidden/>
              </w:rPr>
              <w:fldChar w:fldCharType="separate"/>
            </w:r>
            <w:r w:rsidR="002F2258" w:rsidRPr="001236BB">
              <w:rPr>
                <w:rStyle w:val="Hyperlink"/>
                <w:webHidden/>
              </w:rPr>
              <w:t>14</w:t>
            </w:r>
            <w:r w:rsidR="002F2258" w:rsidRPr="001236BB">
              <w:rPr>
                <w:rStyle w:val="Hyperlink"/>
                <w:webHidden/>
              </w:rPr>
              <w:fldChar w:fldCharType="end"/>
            </w:r>
          </w:hyperlink>
        </w:p>
        <w:p w14:paraId="4E77C60E"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29" w:history="1">
            <w:r w:rsidR="002F2258" w:rsidRPr="00F937BD">
              <w:rPr>
                <w:rStyle w:val="Hyperlink"/>
                <w:noProof/>
              </w:rPr>
              <w:t>4.1 Physical distancing</w:t>
            </w:r>
            <w:r w:rsidR="002F2258">
              <w:rPr>
                <w:noProof/>
                <w:webHidden/>
              </w:rPr>
              <w:tab/>
            </w:r>
            <w:r w:rsidR="002F2258">
              <w:rPr>
                <w:noProof/>
                <w:webHidden/>
              </w:rPr>
              <w:fldChar w:fldCharType="begin"/>
            </w:r>
            <w:r w:rsidR="002F2258">
              <w:rPr>
                <w:noProof/>
                <w:webHidden/>
              </w:rPr>
              <w:instrText xml:space="preserve"> PAGEREF _Toc46933929 \h </w:instrText>
            </w:r>
            <w:r w:rsidR="002F2258">
              <w:rPr>
                <w:noProof/>
                <w:webHidden/>
              </w:rPr>
            </w:r>
            <w:r w:rsidR="002F2258">
              <w:rPr>
                <w:noProof/>
                <w:webHidden/>
              </w:rPr>
              <w:fldChar w:fldCharType="separate"/>
            </w:r>
            <w:r w:rsidR="002F2258">
              <w:rPr>
                <w:noProof/>
                <w:webHidden/>
              </w:rPr>
              <w:t>14</w:t>
            </w:r>
            <w:r w:rsidR="002F2258">
              <w:rPr>
                <w:noProof/>
                <w:webHidden/>
              </w:rPr>
              <w:fldChar w:fldCharType="end"/>
            </w:r>
          </w:hyperlink>
        </w:p>
        <w:p w14:paraId="63F5F83A"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30" w:history="1">
            <w:r w:rsidR="002F2258" w:rsidRPr="00F937BD">
              <w:rPr>
                <w:rStyle w:val="Hyperlink"/>
                <w:noProof/>
              </w:rPr>
              <w:t>4.2 Shared areas: general cleaning and disinfecting protocols</w:t>
            </w:r>
            <w:r w:rsidR="002F2258">
              <w:rPr>
                <w:noProof/>
                <w:webHidden/>
              </w:rPr>
              <w:tab/>
            </w:r>
            <w:r w:rsidR="002F2258">
              <w:rPr>
                <w:noProof/>
                <w:webHidden/>
              </w:rPr>
              <w:fldChar w:fldCharType="begin"/>
            </w:r>
            <w:r w:rsidR="002F2258">
              <w:rPr>
                <w:noProof/>
                <w:webHidden/>
              </w:rPr>
              <w:instrText xml:space="preserve"> PAGEREF _Toc46933930 \h </w:instrText>
            </w:r>
            <w:r w:rsidR="002F2258">
              <w:rPr>
                <w:noProof/>
                <w:webHidden/>
              </w:rPr>
            </w:r>
            <w:r w:rsidR="002F2258">
              <w:rPr>
                <w:noProof/>
                <w:webHidden/>
              </w:rPr>
              <w:fldChar w:fldCharType="separate"/>
            </w:r>
            <w:r w:rsidR="002F2258">
              <w:rPr>
                <w:noProof/>
                <w:webHidden/>
              </w:rPr>
              <w:t>15</w:t>
            </w:r>
            <w:r w:rsidR="002F2258">
              <w:rPr>
                <w:noProof/>
                <w:webHidden/>
              </w:rPr>
              <w:fldChar w:fldCharType="end"/>
            </w:r>
          </w:hyperlink>
        </w:p>
        <w:p w14:paraId="6E40AD8C"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31" w:history="1">
            <w:r w:rsidR="002F2258" w:rsidRPr="00F937BD">
              <w:rPr>
                <w:rStyle w:val="Hyperlink"/>
                <w:noProof/>
              </w:rPr>
              <w:t>4.3 Hand hygiene</w:t>
            </w:r>
            <w:r w:rsidR="002F2258">
              <w:rPr>
                <w:noProof/>
                <w:webHidden/>
              </w:rPr>
              <w:tab/>
            </w:r>
            <w:r w:rsidR="002F2258">
              <w:rPr>
                <w:noProof/>
                <w:webHidden/>
              </w:rPr>
              <w:fldChar w:fldCharType="begin"/>
            </w:r>
            <w:r w:rsidR="002F2258">
              <w:rPr>
                <w:noProof/>
                <w:webHidden/>
              </w:rPr>
              <w:instrText xml:space="preserve"> PAGEREF _Toc46933931 \h </w:instrText>
            </w:r>
            <w:r w:rsidR="002F2258">
              <w:rPr>
                <w:noProof/>
                <w:webHidden/>
              </w:rPr>
            </w:r>
            <w:r w:rsidR="002F2258">
              <w:rPr>
                <w:noProof/>
                <w:webHidden/>
              </w:rPr>
              <w:fldChar w:fldCharType="separate"/>
            </w:r>
            <w:r w:rsidR="002F2258">
              <w:rPr>
                <w:noProof/>
                <w:webHidden/>
              </w:rPr>
              <w:t>15</w:t>
            </w:r>
            <w:r w:rsidR="002F2258">
              <w:rPr>
                <w:noProof/>
                <w:webHidden/>
              </w:rPr>
              <w:fldChar w:fldCharType="end"/>
            </w:r>
          </w:hyperlink>
        </w:p>
        <w:p w14:paraId="424EC3F4"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32" w:history="1">
            <w:r w:rsidR="002F2258" w:rsidRPr="00F937BD">
              <w:rPr>
                <w:rStyle w:val="Hyperlink"/>
                <w:noProof/>
              </w:rPr>
              <w:t>4.4 Use of face masks or face coverings</w:t>
            </w:r>
            <w:r w:rsidR="002F2258">
              <w:rPr>
                <w:noProof/>
                <w:webHidden/>
              </w:rPr>
              <w:tab/>
            </w:r>
            <w:r w:rsidR="002F2258">
              <w:rPr>
                <w:noProof/>
                <w:webHidden/>
              </w:rPr>
              <w:fldChar w:fldCharType="begin"/>
            </w:r>
            <w:r w:rsidR="002F2258">
              <w:rPr>
                <w:noProof/>
                <w:webHidden/>
              </w:rPr>
              <w:instrText xml:space="preserve"> PAGEREF _Toc46933932 \h </w:instrText>
            </w:r>
            <w:r w:rsidR="002F2258">
              <w:rPr>
                <w:noProof/>
                <w:webHidden/>
              </w:rPr>
            </w:r>
            <w:r w:rsidR="002F2258">
              <w:rPr>
                <w:noProof/>
                <w:webHidden/>
              </w:rPr>
              <w:fldChar w:fldCharType="separate"/>
            </w:r>
            <w:r w:rsidR="002F2258">
              <w:rPr>
                <w:noProof/>
                <w:webHidden/>
              </w:rPr>
              <w:t>16</w:t>
            </w:r>
            <w:r w:rsidR="002F2258">
              <w:rPr>
                <w:noProof/>
                <w:webHidden/>
              </w:rPr>
              <w:fldChar w:fldCharType="end"/>
            </w:r>
          </w:hyperlink>
        </w:p>
        <w:p w14:paraId="62C0374A"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33" w:history="1">
            <w:r w:rsidR="002F2258" w:rsidRPr="00F937BD">
              <w:rPr>
                <w:rStyle w:val="Hyperlink"/>
                <w:noProof/>
              </w:rPr>
              <w:t>4.5 Cough and sneeze etiquette</w:t>
            </w:r>
            <w:r w:rsidR="002F2258">
              <w:rPr>
                <w:noProof/>
                <w:webHidden/>
              </w:rPr>
              <w:tab/>
            </w:r>
            <w:r w:rsidR="002F2258">
              <w:rPr>
                <w:noProof/>
                <w:webHidden/>
              </w:rPr>
              <w:fldChar w:fldCharType="begin"/>
            </w:r>
            <w:r w:rsidR="002F2258">
              <w:rPr>
                <w:noProof/>
                <w:webHidden/>
              </w:rPr>
              <w:instrText xml:space="preserve"> PAGEREF _Toc46933933 \h </w:instrText>
            </w:r>
            <w:r w:rsidR="002F2258">
              <w:rPr>
                <w:noProof/>
                <w:webHidden/>
              </w:rPr>
            </w:r>
            <w:r w:rsidR="002F2258">
              <w:rPr>
                <w:noProof/>
                <w:webHidden/>
              </w:rPr>
              <w:fldChar w:fldCharType="separate"/>
            </w:r>
            <w:r w:rsidR="002F2258">
              <w:rPr>
                <w:noProof/>
                <w:webHidden/>
              </w:rPr>
              <w:t>17</w:t>
            </w:r>
            <w:r w:rsidR="002F2258">
              <w:rPr>
                <w:noProof/>
                <w:webHidden/>
              </w:rPr>
              <w:fldChar w:fldCharType="end"/>
            </w:r>
          </w:hyperlink>
        </w:p>
        <w:p w14:paraId="0315EEF3"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34" w:history="1">
            <w:r w:rsidR="002F2258" w:rsidRPr="00F937BD">
              <w:rPr>
                <w:rStyle w:val="Hyperlink"/>
                <w:noProof/>
              </w:rPr>
              <w:t>4.6 Service animals</w:t>
            </w:r>
            <w:r w:rsidR="002F2258">
              <w:rPr>
                <w:noProof/>
                <w:webHidden/>
              </w:rPr>
              <w:tab/>
            </w:r>
            <w:r w:rsidR="002F2258">
              <w:rPr>
                <w:noProof/>
                <w:webHidden/>
              </w:rPr>
              <w:fldChar w:fldCharType="begin"/>
            </w:r>
            <w:r w:rsidR="002F2258">
              <w:rPr>
                <w:noProof/>
                <w:webHidden/>
              </w:rPr>
              <w:instrText xml:space="preserve"> PAGEREF _Toc46933934 \h </w:instrText>
            </w:r>
            <w:r w:rsidR="002F2258">
              <w:rPr>
                <w:noProof/>
                <w:webHidden/>
              </w:rPr>
            </w:r>
            <w:r w:rsidR="002F2258">
              <w:rPr>
                <w:noProof/>
                <w:webHidden/>
              </w:rPr>
              <w:fldChar w:fldCharType="separate"/>
            </w:r>
            <w:r w:rsidR="002F2258">
              <w:rPr>
                <w:noProof/>
                <w:webHidden/>
              </w:rPr>
              <w:t>17</w:t>
            </w:r>
            <w:r w:rsidR="002F2258">
              <w:rPr>
                <w:noProof/>
                <w:webHidden/>
              </w:rPr>
              <w:fldChar w:fldCharType="end"/>
            </w:r>
          </w:hyperlink>
        </w:p>
        <w:p w14:paraId="7B7C8451" w14:textId="77777777" w:rsidR="002F2258" w:rsidRPr="001236BB" w:rsidRDefault="0018348A" w:rsidP="002F2258">
          <w:pPr>
            <w:pStyle w:val="TOC1"/>
            <w:tabs>
              <w:tab w:val="right" w:leader="dot" w:pos="9350"/>
            </w:tabs>
            <w:ind w:left="426"/>
            <w:rPr>
              <w:rStyle w:val="Hyperlink"/>
            </w:rPr>
          </w:pPr>
          <w:hyperlink w:anchor="_Toc46933935" w:history="1">
            <w:r w:rsidR="002F2258" w:rsidRPr="00F937BD">
              <w:rPr>
                <w:rStyle w:val="Hyperlink"/>
                <w:noProof/>
              </w:rPr>
              <w:t>5. LEARNING AND TEACHING CONSIDERATIONS</w:t>
            </w:r>
            <w:r w:rsidR="002F2258" w:rsidRPr="001236BB">
              <w:rPr>
                <w:rStyle w:val="Hyperlink"/>
                <w:webHidden/>
              </w:rPr>
              <w:tab/>
            </w:r>
            <w:r w:rsidR="002F2258" w:rsidRPr="001236BB">
              <w:rPr>
                <w:rStyle w:val="Hyperlink"/>
                <w:webHidden/>
              </w:rPr>
              <w:fldChar w:fldCharType="begin"/>
            </w:r>
            <w:r w:rsidR="002F2258" w:rsidRPr="001236BB">
              <w:rPr>
                <w:rStyle w:val="Hyperlink"/>
                <w:webHidden/>
              </w:rPr>
              <w:instrText xml:space="preserve"> PAGEREF _Toc46933935 \h </w:instrText>
            </w:r>
            <w:r w:rsidR="002F2258" w:rsidRPr="001236BB">
              <w:rPr>
                <w:rStyle w:val="Hyperlink"/>
                <w:webHidden/>
              </w:rPr>
            </w:r>
            <w:r w:rsidR="002F2258" w:rsidRPr="001236BB">
              <w:rPr>
                <w:rStyle w:val="Hyperlink"/>
                <w:webHidden/>
              </w:rPr>
              <w:fldChar w:fldCharType="separate"/>
            </w:r>
            <w:r w:rsidR="002F2258" w:rsidRPr="001236BB">
              <w:rPr>
                <w:rStyle w:val="Hyperlink"/>
                <w:webHidden/>
              </w:rPr>
              <w:t>18</w:t>
            </w:r>
            <w:r w:rsidR="002F2258" w:rsidRPr="001236BB">
              <w:rPr>
                <w:rStyle w:val="Hyperlink"/>
                <w:webHidden/>
              </w:rPr>
              <w:fldChar w:fldCharType="end"/>
            </w:r>
          </w:hyperlink>
        </w:p>
        <w:p w14:paraId="72ECFF6D"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36" w:history="1">
            <w:r w:rsidR="002F2258" w:rsidRPr="00F937BD">
              <w:rPr>
                <w:rStyle w:val="Hyperlink"/>
                <w:noProof/>
              </w:rPr>
              <w:t>5.1 Reasonable adjustments</w:t>
            </w:r>
            <w:r w:rsidR="002F2258">
              <w:rPr>
                <w:noProof/>
                <w:webHidden/>
              </w:rPr>
              <w:tab/>
            </w:r>
            <w:r w:rsidR="002F2258">
              <w:rPr>
                <w:noProof/>
                <w:webHidden/>
              </w:rPr>
              <w:fldChar w:fldCharType="begin"/>
            </w:r>
            <w:r w:rsidR="002F2258">
              <w:rPr>
                <w:noProof/>
                <w:webHidden/>
              </w:rPr>
              <w:instrText xml:space="preserve"> PAGEREF _Toc46933936 \h </w:instrText>
            </w:r>
            <w:r w:rsidR="002F2258">
              <w:rPr>
                <w:noProof/>
                <w:webHidden/>
              </w:rPr>
            </w:r>
            <w:r w:rsidR="002F2258">
              <w:rPr>
                <w:noProof/>
                <w:webHidden/>
              </w:rPr>
              <w:fldChar w:fldCharType="separate"/>
            </w:r>
            <w:r w:rsidR="002F2258">
              <w:rPr>
                <w:noProof/>
                <w:webHidden/>
              </w:rPr>
              <w:t>18</w:t>
            </w:r>
            <w:r w:rsidR="002F2258">
              <w:rPr>
                <w:noProof/>
                <w:webHidden/>
              </w:rPr>
              <w:fldChar w:fldCharType="end"/>
            </w:r>
          </w:hyperlink>
        </w:p>
        <w:p w14:paraId="090FEE04"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37" w:history="1">
            <w:r w:rsidR="002F2258" w:rsidRPr="00F937BD">
              <w:rPr>
                <w:rStyle w:val="Hyperlink"/>
                <w:noProof/>
              </w:rPr>
              <w:t>5.2 Exams</w:t>
            </w:r>
            <w:r w:rsidR="002F2258">
              <w:rPr>
                <w:noProof/>
                <w:webHidden/>
              </w:rPr>
              <w:tab/>
            </w:r>
            <w:r w:rsidR="002F2258">
              <w:rPr>
                <w:noProof/>
                <w:webHidden/>
              </w:rPr>
              <w:fldChar w:fldCharType="begin"/>
            </w:r>
            <w:r w:rsidR="002F2258">
              <w:rPr>
                <w:noProof/>
                <w:webHidden/>
              </w:rPr>
              <w:instrText xml:space="preserve"> PAGEREF _Toc46933937 \h </w:instrText>
            </w:r>
            <w:r w:rsidR="002F2258">
              <w:rPr>
                <w:noProof/>
                <w:webHidden/>
              </w:rPr>
            </w:r>
            <w:r w:rsidR="002F2258">
              <w:rPr>
                <w:noProof/>
                <w:webHidden/>
              </w:rPr>
              <w:fldChar w:fldCharType="separate"/>
            </w:r>
            <w:r w:rsidR="002F2258">
              <w:rPr>
                <w:noProof/>
                <w:webHidden/>
              </w:rPr>
              <w:t>18</w:t>
            </w:r>
            <w:r w:rsidR="002F2258">
              <w:rPr>
                <w:noProof/>
                <w:webHidden/>
              </w:rPr>
              <w:fldChar w:fldCharType="end"/>
            </w:r>
          </w:hyperlink>
        </w:p>
        <w:p w14:paraId="432AB4D8"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38" w:history="1">
            <w:r w:rsidR="002F2258" w:rsidRPr="00F937BD">
              <w:rPr>
                <w:rStyle w:val="Hyperlink"/>
                <w:noProof/>
              </w:rPr>
              <w:t>5.3 Field trips, industry placements, internships and work integrated learning</w:t>
            </w:r>
            <w:r w:rsidR="002F2258">
              <w:rPr>
                <w:noProof/>
                <w:webHidden/>
              </w:rPr>
              <w:tab/>
            </w:r>
            <w:r w:rsidR="002F2258">
              <w:rPr>
                <w:noProof/>
                <w:webHidden/>
              </w:rPr>
              <w:fldChar w:fldCharType="begin"/>
            </w:r>
            <w:r w:rsidR="002F2258">
              <w:rPr>
                <w:noProof/>
                <w:webHidden/>
              </w:rPr>
              <w:instrText xml:space="preserve"> PAGEREF _Toc46933938 \h </w:instrText>
            </w:r>
            <w:r w:rsidR="002F2258">
              <w:rPr>
                <w:noProof/>
                <w:webHidden/>
              </w:rPr>
            </w:r>
            <w:r w:rsidR="002F2258">
              <w:rPr>
                <w:noProof/>
                <w:webHidden/>
              </w:rPr>
              <w:fldChar w:fldCharType="separate"/>
            </w:r>
            <w:r w:rsidR="002F2258">
              <w:rPr>
                <w:noProof/>
                <w:webHidden/>
              </w:rPr>
              <w:t>18</w:t>
            </w:r>
            <w:r w:rsidR="002F2258">
              <w:rPr>
                <w:noProof/>
                <w:webHidden/>
              </w:rPr>
              <w:fldChar w:fldCharType="end"/>
            </w:r>
          </w:hyperlink>
        </w:p>
        <w:p w14:paraId="58688E72" w14:textId="77777777" w:rsidR="002F2258" w:rsidRPr="001236BB" w:rsidRDefault="0018348A" w:rsidP="002F2258">
          <w:pPr>
            <w:pStyle w:val="TOC1"/>
            <w:tabs>
              <w:tab w:val="right" w:leader="dot" w:pos="9350"/>
            </w:tabs>
            <w:ind w:left="426"/>
            <w:rPr>
              <w:rStyle w:val="Hyperlink"/>
            </w:rPr>
          </w:pPr>
          <w:hyperlink w:anchor="_Toc46933939" w:history="1">
            <w:r w:rsidR="002F2258" w:rsidRPr="00F937BD">
              <w:rPr>
                <w:rStyle w:val="Hyperlink"/>
                <w:noProof/>
              </w:rPr>
              <w:t>6. MORE INFORMATION</w:t>
            </w:r>
            <w:r w:rsidR="002F2258" w:rsidRPr="001236BB">
              <w:rPr>
                <w:rStyle w:val="Hyperlink"/>
                <w:webHidden/>
              </w:rPr>
              <w:tab/>
            </w:r>
            <w:r w:rsidR="002F2258" w:rsidRPr="001236BB">
              <w:rPr>
                <w:rStyle w:val="Hyperlink"/>
                <w:webHidden/>
              </w:rPr>
              <w:fldChar w:fldCharType="begin"/>
            </w:r>
            <w:r w:rsidR="002F2258" w:rsidRPr="001236BB">
              <w:rPr>
                <w:rStyle w:val="Hyperlink"/>
                <w:webHidden/>
              </w:rPr>
              <w:instrText xml:space="preserve"> PAGEREF _Toc46933939 \h </w:instrText>
            </w:r>
            <w:r w:rsidR="002F2258" w:rsidRPr="001236BB">
              <w:rPr>
                <w:rStyle w:val="Hyperlink"/>
                <w:webHidden/>
              </w:rPr>
            </w:r>
            <w:r w:rsidR="002F2258" w:rsidRPr="001236BB">
              <w:rPr>
                <w:rStyle w:val="Hyperlink"/>
                <w:webHidden/>
              </w:rPr>
              <w:fldChar w:fldCharType="separate"/>
            </w:r>
            <w:r w:rsidR="002F2258" w:rsidRPr="001236BB">
              <w:rPr>
                <w:rStyle w:val="Hyperlink"/>
                <w:webHidden/>
              </w:rPr>
              <w:t>19</w:t>
            </w:r>
            <w:r w:rsidR="002F2258" w:rsidRPr="001236BB">
              <w:rPr>
                <w:rStyle w:val="Hyperlink"/>
                <w:webHidden/>
              </w:rPr>
              <w:fldChar w:fldCharType="end"/>
            </w:r>
          </w:hyperlink>
        </w:p>
        <w:p w14:paraId="3E2D8C4C" w14:textId="77777777" w:rsidR="002F2258" w:rsidRPr="001236BB" w:rsidRDefault="0018348A" w:rsidP="002F2258">
          <w:pPr>
            <w:pStyle w:val="TOC1"/>
            <w:tabs>
              <w:tab w:val="right" w:leader="dot" w:pos="9350"/>
            </w:tabs>
            <w:ind w:left="426"/>
            <w:rPr>
              <w:rStyle w:val="Hyperlink"/>
            </w:rPr>
          </w:pPr>
          <w:hyperlink w:anchor="_Toc46933940" w:history="1">
            <w:r w:rsidR="002F2258" w:rsidRPr="00F937BD">
              <w:rPr>
                <w:rStyle w:val="Hyperlink"/>
                <w:noProof/>
              </w:rPr>
              <w:t>APPENDIX 1</w:t>
            </w:r>
            <w:r w:rsidR="002F2258" w:rsidRPr="001236BB">
              <w:rPr>
                <w:rStyle w:val="Hyperlink"/>
                <w:webHidden/>
              </w:rPr>
              <w:tab/>
            </w:r>
            <w:r w:rsidR="002F2258" w:rsidRPr="001236BB">
              <w:rPr>
                <w:rStyle w:val="Hyperlink"/>
                <w:webHidden/>
              </w:rPr>
              <w:fldChar w:fldCharType="begin"/>
            </w:r>
            <w:r w:rsidR="002F2258" w:rsidRPr="001236BB">
              <w:rPr>
                <w:rStyle w:val="Hyperlink"/>
                <w:webHidden/>
              </w:rPr>
              <w:instrText xml:space="preserve"> PAGEREF _Toc46933940 \h </w:instrText>
            </w:r>
            <w:r w:rsidR="002F2258" w:rsidRPr="001236BB">
              <w:rPr>
                <w:rStyle w:val="Hyperlink"/>
                <w:webHidden/>
              </w:rPr>
            </w:r>
            <w:r w:rsidR="002F2258" w:rsidRPr="001236BB">
              <w:rPr>
                <w:rStyle w:val="Hyperlink"/>
                <w:webHidden/>
              </w:rPr>
              <w:fldChar w:fldCharType="separate"/>
            </w:r>
            <w:r w:rsidR="002F2258" w:rsidRPr="001236BB">
              <w:rPr>
                <w:rStyle w:val="Hyperlink"/>
                <w:webHidden/>
              </w:rPr>
              <w:t>21</w:t>
            </w:r>
            <w:r w:rsidR="002F2258" w:rsidRPr="001236BB">
              <w:rPr>
                <w:rStyle w:val="Hyperlink"/>
                <w:webHidden/>
              </w:rPr>
              <w:fldChar w:fldCharType="end"/>
            </w:r>
          </w:hyperlink>
        </w:p>
        <w:p w14:paraId="746C1420" w14:textId="77777777" w:rsidR="002F2258" w:rsidRDefault="0018348A" w:rsidP="002F2258">
          <w:pPr>
            <w:pStyle w:val="TOC3"/>
            <w:tabs>
              <w:tab w:val="right" w:leader="dot" w:pos="9350"/>
            </w:tabs>
            <w:ind w:left="426"/>
            <w:rPr>
              <w:rFonts w:asciiTheme="minorHAnsi" w:eastAsiaTheme="minorEastAsia" w:hAnsiTheme="minorHAnsi" w:cstheme="minorBidi"/>
              <w:noProof/>
              <w:lang w:val="en-AU" w:eastAsia="en-AU" w:bidi="ar-SA"/>
            </w:rPr>
          </w:pPr>
          <w:hyperlink w:anchor="_Toc46933941" w:history="1">
            <w:r w:rsidR="002F2258" w:rsidRPr="00F937BD">
              <w:rPr>
                <w:rStyle w:val="Hyperlink"/>
                <w:noProof/>
              </w:rPr>
              <w:t>Action List</w:t>
            </w:r>
            <w:r w:rsidR="002F2258">
              <w:rPr>
                <w:noProof/>
                <w:webHidden/>
              </w:rPr>
              <w:tab/>
            </w:r>
            <w:r w:rsidR="002F2258">
              <w:rPr>
                <w:noProof/>
                <w:webHidden/>
              </w:rPr>
              <w:fldChar w:fldCharType="begin"/>
            </w:r>
            <w:r w:rsidR="002F2258">
              <w:rPr>
                <w:noProof/>
                <w:webHidden/>
              </w:rPr>
              <w:instrText xml:space="preserve"> PAGEREF _Toc46933941 \h </w:instrText>
            </w:r>
            <w:r w:rsidR="002F2258">
              <w:rPr>
                <w:noProof/>
                <w:webHidden/>
              </w:rPr>
            </w:r>
            <w:r w:rsidR="002F2258">
              <w:rPr>
                <w:noProof/>
                <w:webHidden/>
              </w:rPr>
              <w:fldChar w:fldCharType="separate"/>
            </w:r>
            <w:r w:rsidR="002F2258">
              <w:rPr>
                <w:noProof/>
                <w:webHidden/>
              </w:rPr>
              <w:t>21</w:t>
            </w:r>
            <w:r w:rsidR="002F2258">
              <w:rPr>
                <w:noProof/>
                <w:webHidden/>
              </w:rPr>
              <w:fldChar w:fldCharType="end"/>
            </w:r>
          </w:hyperlink>
        </w:p>
        <w:p w14:paraId="752EECCC" w14:textId="29FE732B" w:rsidR="008B299A" w:rsidRPr="00D14E49" w:rsidRDefault="002F2258" w:rsidP="00725FF4">
          <w:pPr>
            <w:rPr>
              <w:b/>
              <w:bCs/>
              <w:noProof/>
            </w:rPr>
          </w:pPr>
          <w:r>
            <w:rPr>
              <w:b/>
              <w:bCs/>
              <w:noProof/>
            </w:rPr>
            <w:fldChar w:fldCharType="end"/>
          </w:r>
        </w:p>
      </w:sdtContent>
    </w:sdt>
    <w:p w14:paraId="769DB7D6" w14:textId="7902A2DD" w:rsidR="008B299A" w:rsidRPr="00725FF4" w:rsidRDefault="008B299A" w:rsidP="00725FF4">
      <w:pPr>
        <w:sectPr w:rsidR="008B299A" w:rsidRPr="00725FF4" w:rsidSect="00D14E49">
          <w:pgSz w:w="12240" w:h="15840"/>
          <w:pgMar w:top="851" w:right="1440" w:bottom="709" w:left="1440" w:header="0" w:footer="400" w:gutter="0"/>
          <w:cols w:space="720"/>
        </w:sectPr>
      </w:pPr>
    </w:p>
    <w:p w14:paraId="1BA27A11" w14:textId="2A739E7F" w:rsidR="00911A33" w:rsidRPr="00725FF4" w:rsidRDefault="00BC523E" w:rsidP="00725FF4">
      <w:pPr>
        <w:pStyle w:val="Heading1"/>
        <w:ind w:left="0" w:firstLine="0"/>
      </w:pPr>
      <w:bookmarkStart w:id="14" w:name="1._Preface"/>
      <w:bookmarkStart w:id="15" w:name="1.1_Background_"/>
      <w:bookmarkStart w:id="16" w:name="1.2_COVID-19_context_"/>
      <w:bookmarkStart w:id="17" w:name="1.3_Purpose_of_these_Guidelines"/>
      <w:bookmarkStart w:id="18" w:name="_Toc46933723"/>
      <w:bookmarkStart w:id="19" w:name="_Toc46933903"/>
      <w:bookmarkEnd w:id="14"/>
      <w:bookmarkEnd w:id="15"/>
      <w:bookmarkEnd w:id="16"/>
      <w:bookmarkEnd w:id="17"/>
      <w:r>
        <w:lastRenderedPageBreak/>
        <w:t>1.</w:t>
      </w:r>
      <w:r w:rsidR="00176F5D" w:rsidRPr="00725FF4">
        <w:t>PREFACE</w:t>
      </w:r>
      <w:bookmarkEnd w:id="18"/>
      <w:bookmarkEnd w:id="19"/>
    </w:p>
    <w:p w14:paraId="43319240" w14:textId="7C4EE8EB" w:rsidR="00911A33" w:rsidRPr="000334DF" w:rsidRDefault="00BC523E" w:rsidP="00725FF4">
      <w:pPr>
        <w:pStyle w:val="Heading3"/>
        <w:ind w:left="0"/>
        <w:rPr>
          <w:sz w:val="28"/>
          <w:szCs w:val="28"/>
        </w:rPr>
      </w:pPr>
      <w:bookmarkStart w:id="20" w:name="_Toc46933724"/>
      <w:bookmarkStart w:id="21" w:name="_Toc46933904"/>
      <w:r w:rsidRPr="000334DF">
        <w:rPr>
          <w:sz w:val="28"/>
          <w:szCs w:val="28"/>
        </w:rPr>
        <w:t xml:space="preserve">1.1 </w:t>
      </w:r>
      <w:r w:rsidR="00176F5D" w:rsidRPr="000334DF">
        <w:rPr>
          <w:sz w:val="28"/>
          <w:szCs w:val="28"/>
        </w:rPr>
        <w:t>Background</w:t>
      </w:r>
      <w:bookmarkEnd w:id="20"/>
      <w:bookmarkEnd w:id="21"/>
    </w:p>
    <w:p w14:paraId="5FC4844E" w14:textId="77777777" w:rsidR="00911A33" w:rsidRPr="00725FF4" w:rsidRDefault="00911A33" w:rsidP="00725FF4"/>
    <w:p w14:paraId="11148320" w14:textId="77777777" w:rsidR="00911A33" w:rsidRPr="00725FF4" w:rsidRDefault="00176F5D" w:rsidP="00725FF4">
      <w:r w:rsidRPr="00725FF4">
        <w:t>The Guidelines were initiated through the Equity Practitioners in Higher Education Australasia (EPHEA) e-Network. In June 2020, fifty equity and disability practitioners joined a Zoom forum to discuss the formulation of national guidelines to assist tertiary education institutions across Australia to make informed and considered choices which support people with disability within return-to-campus plans.</w:t>
      </w:r>
    </w:p>
    <w:p w14:paraId="5AF70D7C" w14:textId="77777777" w:rsidR="00911A33" w:rsidRPr="00725FF4" w:rsidRDefault="00911A33" w:rsidP="00725FF4"/>
    <w:p w14:paraId="52CD23FD" w14:textId="6BF42920" w:rsidR="00911A33" w:rsidRPr="00725FF4" w:rsidRDefault="00176F5D" w:rsidP="00725FF4">
      <w:r w:rsidRPr="00725FF4">
        <w:t>These Guidelines were then developed in partnership with the Australian Disability Clearinghouse on Education and Training (ADCET) and the National Disability Coordination Officer Program (NDCO) in collaboration with disability practitioners and staff from across the tertiary sector in Australia. The</w:t>
      </w:r>
    </w:p>
    <w:p w14:paraId="22EA87DD" w14:textId="77777777" w:rsidR="00911A33" w:rsidRPr="00725FF4" w:rsidRDefault="00176F5D" w:rsidP="00725FF4">
      <w:r w:rsidRPr="00725FF4">
        <w:t>Guidelines were made possible through NDCO Program Strategic Project 2019–2020 funding from the Australian Government Department of Education, Skills and Employment.</w:t>
      </w:r>
    </w:p>
    <w:p w14:paraId="1A6AF2CB" w14:textId="77777777" w:rsidR="00911A33" w:rsidRPr="00725FF4" w:rsidRDefault="00911A33" w:rsidP="00725FF4"/>
    <w:p w14:paraId="13F1107E" w14:textId="77777777" w:rsidR="00911A33" w:rsidRPr="00725FF4" w:rsidRDefault="00176F5D" w:rsidP="00725FF4">
      <w:r w:rsidRPr="00725FF4">
        <w:t>We sincerely thank everyone involved for their generous contribution, support and assistance.</w:t>
      </w:r>
    </w:p>
    <w:p w14:paraId="3918FF06" w14:textId="77777777" w:rsidR="00911A33" w:rsidRPr="00725FF4" w:rsidRDefault="00911A33" w:rsidP="00725FF4"/>
    <w:p w14:paraId="0EFC5563" w14:textId="4B10FAB8" w:rsidR="00911A33" w:rsidRPr="000334DF" w:rsidRDefault="00BC523E" w:rsidP="00BC523E">
      <w:pPr>
        <w:pStyle w:val="Heading3"/>
        <w:ind w:left="0"/>
        <w:rPr>
          <w:sz w:val="28"/>
          <w:szCs w:val="28"/>
        </w:rPr>
      </w:pPr>
      <w:bookmarkStart w:id="22" w:name="_Toc46933725"/>
      <w:bookmarkStart w:id="23" w:name="_Toc46933905"/>
      <w:r w:rsidRPr="000334DF">
        <w:rPr>
          <w:sz w:val="28"/>
          <w:szCs w:val="28"/>
        </w:rPr>
        <w:t xml:space="preserve">1.2 </w:t>
      </w:r>
      <w:r w:rsidR="00176F5D" w:rsidRPr="000334DF">
        <w:rPr>
          <w:sz w:val="28"/>
          <w:szCs w:val="28"/>
        </w:rPr>
        <w:t>COVID-19 context</w:t>
      </w:r>
      <w:bookmarkEnd w:id="22"/>
      <w:bookmarkEnd w:id="23"/>
    </w:p>
    <w:p w14:paraId="01646008" w14:textId="77777777" w:rsidR="00911A33" w:rsidRPr="00725FF4" w:rsidRDefault="00911A33" w:rsidP="00725FF4"/>
    <w:p w14:paraId="02C4B4B4" w14:textId="0D95CB8A" w:rsidR="00911A33" w:rsidRPr="00725FF4" w:rsidRDefault="00176F5D" w:rsidP="00725FF4">
      <w:r w:rsidRPr="00725FF4">
        <w:t>Since March 2020 the impact of the COVID-19 pandemic has quickly and dramatically changed the way that people work, study and live. Universities, TAFE colleges and registered training organisations Australia-wide have been requiring staff to work from home where they are able and pivoting to   mainly online learning for students (domestic and international).</w:t>
      </w:r>
    </w:p>
    <w:p w14:paraId="4F550DCB" w14:textId="77777777" w:rsidR="00911A33" w:rsidRPr="00725FF4" w:rsidRDefault="00911A33" w:rsidP="00725FF4"/>
    <w:p w14:paraId="0CFF1720" w14:textId="77777777" w:rsidR="00911A33" w:rsidRPr="00725FF4" w:rsidRDefault="00176F5D" w:rsidP="00725FF4">
      <w:r w:rsidRPr="00725FF4">
        <w:t>Many tertiary education institutions and providers are now undertaking staged return-to-campus planning for staff and students. This varies from institution to institution and aligns with the recommendations from state, territory and federal health authorities. Some  institutions  are  also seizing the opportunity to reconsider ways of working for the future by increasing their focus on flexibility and exploring new ways of supporting learning and teaching, such as online and blended delivery along with increased use of video, quizzes, polling and other creative approaches for students. Some universities are also rethinking their use of campus spaces, event planning and facilities.</w:t>
      </w:r>
    </w:p>
    <w:p w14:paraId="3126E0D8" w14:textId="77777777" w:rsidR="00911A33" w:rsidRPr="00725FF4" w:rsidRDefault="00911A33" w:rsidP="00725FF4"/>
    <w:p w14:paraId="3B8C9D7A" w14:textId="77777777" w:rsidR="00911A33" w:rsidRPr="00725FF4" w:rsidRDefault="00176F5D" w:rsidP="00725FF4">
      <w:r w:rsidRPr="00725FF4">
        <w:t>While institutions are hopeful of being back on campus by the end of 2020, the nature of the current environment remains dynamic and unpredictable. It is likely that COVID-19 will continue to create upheaval and disruption for the medium term, at least, with longer-term impact for some.</w:t>
      </w:r>
    </w:p>
    <w:p w14:paraId="1C823773" w14:textId="77777777" w:rsidR="00911A33" w:rsidRPr="00725FF4" w:rsidRDefault="00911A33" w:rsidP="00725FF4"/>
    <w:p w14:paraId="77988B22" w14:textId="126BEBC3" w:rsidR="00911A33" w:rsidRPr="00725FF4" w:rsidRDefault="00176F5D" w:rsidP="00725FF4">
      <w:r w:rsidRPr="00725FF4">
        <w:t>Given the widespread agreement that we are in an increasingly ‘VUCA’ world (characterised by volatility, uncertainty, complexity and ambiguity), development of guidelines for responding to the needs of staff and students with disability will be beneficial regardless of the duration of the COVID-19 pandemic.</w:t>
      </w:r>
    </w:p>
    <w:p w14:paraId="321E7CA8" w14:textId="77777777" w:rsidR="00911A33" w:rsidRPr="00725FF4" w:rsidRDefault="00911A33" w:rsidP="00725FF4"/>
    <w:p w14:paraId="56A102AF" w14:textId="3D01D810" w:rsidR="00911A33" w:rsidRPr="000334DF" w:rsidRDefault="00BC523E" w:rsidP="00BC523E">
      <w:pPr>
        <w:pStyle w:val="Heading3"/>
        <w:ind w:left="0"/>
        <w:rPr>
          <w:sz w:val="28"/>
          <w:szCs w:val="28"/>
        </w:rPr>
      </w:pPr>
      <w:bookmarkStart w:id="24" w:name="_Toc46933726"/>
      <w:bookmarkStart w:id="25" w:name="_Toc46933906"/>
      <w:r w:rsidRPr="000334DF">
        <w:rPr>
          <w:sz w:val="28"/>
          <w:szCs w:val="28"/>
        </w:rPr>
        <w:t xml:space="preserve">1.3 </w:t>
      </w:r>
      <w:r w:rsidR="00176F5D" w:rsidRPr="000334DF">
        <w:rPr>
          <w:sz w:val="28"/>
          <w:szCs w:val="28"/>
        </w:rPr>
        <w:t>Purpose of these Guidelines</w:t>
      </w:r>
      <w:bookmarkEnd w:id="24"/>
      <w:bookmarkEnd w:id="25"/>
    </w:p>
    <w:p w14:paraId="79F0E29D" w14:textId="77777777" w:rsidR="00911A33" w:rsidRPr="00725FF4" w:rsidRDefault="00911A33" w:rsidP="00725FF4"/>
    <w:p w14:paraId="2932A895" w14:textId="77777777" w:rsidR="00911A33" w:rsidRPr="00725FF4" w:rsidRDefault="00176F5D" w:rsidP="00725FF4">
      <w:r w:rsidRPr="00725FF4">
        <w:t>The Guidelines have been developed to ensure a safe and welcoming return-to-campus experience for people with disability. They also ensure that the needs and ‘voice’ of people with disability are considered when identifying, prioritising and implementing each institution’s COVID-19 return-to-cam- pus plan.</w:t>
      </w:r>
    </w:p>
    <w:p w14:paraId="177A263C" w14:textId="77777777" w:rsidR="00911A33" w:rsidRPr="00725FF4" w:rsidRDefault="00911A33" w:rsidP="00725FF4"/>
    <w:p w14:paraId="3F3B9FEF" w14:textId="750A593A" w:rsidR="00911A33" w:rsidRDefault="00176F5D" w:rsidP="00725FF4">
      <w:r w:rsidRPr="00725FF4">
        <w:t xml:space="preserve">They provide considerations and recommendations to support the safe return of staff and students with </w:t>
      </w:r>
      <w:r w:rsidRPr="00725FF4">
        <w:lastRenderedPageBreak/>
        <w:t>disability back onto campus when they are comfortable and abl</w:t>
      </w:r>
      <w:r w:rsidR="00BC523E">
        <w:t>e to do so.</w:t>
      </w:r>
    </w:p>
    <w:p w14:paraId="1B135198" w14:textId="77777777" w:rsidR="00BC523E" w:rsidRPr="00725FF4" w:rsidRDefault="00BC523E" w:rsidP="00BC523E">
      <w:r w:rsidRPr="00725FF4">
        <w:t>The aim is to continue to create and nurture welcoming, inclusive educational environments where diversity is respected, valued and supported and where—irrespective of disability—staff and students can participate fully and thrive. After all, we know that if we get it right for people with disability then we get it right for everyone.</w:t>
      </w:r>
    </w:p>
    <w:p w14:paraId="4F2DF81A" w14:textId="77777777" w:rsidR="00BC523E" w:rsidRPr="00725FF4" w:rsidRDefault="00BC523E" w:rsidP="00BC523E"/>
    <w:p w14:paraId="3193ED04" w14:textId="77777777" w:rsidR="00BC523E" w:rsidRPr="00725FF4" w:rsidRDefault="00BC523E" w:rsidP="00BC523E">
      <w:r w:rsidRPr="00725FF4">
        <w:t>Environments which recognise that the COVID-19 pandemic has had and will continue to have disproportionate impact on people with  disability will  be able to respond  accordingly and mitigate the risk of not only viral spread, but also of discrimination, additional hardship and social isolation for people with disability.</w:t>
      </w:r>
    </w:p>
    <w:p w14:paraId="12F877B1" w14:textId="77777777" w:rsidR="00BC523E" w:rsidRPr="00725FF4" w:rsidRDefault="00BC523E" w:rsidP="00BC523E"/>
    <w:p w14:paraId="67DF52D3" w14:textId="68194585" w:rsidR="00BC523E" w:rsidRPr="00725FF4" w:rsidRDefault="00BC523E" w:rsidP="00BC523E">
      <w:r w:rsidRPr="00725FF4">
        <w:t>In addition to providing practical recommendations, the Guidelines aim to reduce the risk of perpetuating myths around disability in relation to COVID-19 and to ensure that the disability-related information which informs institutional decision-making comes from reliable and trustworthy sources.</w:t>
      </w:r>
    </w:p>
    <w:p w14:paraId="7D79694D" w14:textId="77777777" w:rsidR="00BC523E" w:rsidRPr="00725FF4" w:rsidRDefault="00BC523E" w:rsidP="00BC523E"/>
    <w:p w14:paraId="35C9AA75" w14:textId="572ACCD9" w:rsidR="00BC523E" w:rsidRPr="000334DF" w:rsidRDefault="00BC523E" w:rsidP="00BC523E">
      <w:pPr>
        <w:pStyle w:val="Heading3"/>
        <w:ind w:left="0"/>
        <w:rPr>
          <w:sz w:val="28"/>
          <w:szCs w:val="28"/>
        </w:rPr>
      </w:pPr>
      <w:bookmarkStart w:id="26" w:name="_Toc46933727"/>
      <w:bookmarkStart w:id="27" w:name="_Toc46933907"/>
      <w:r w:rsidRPr="000334DF">
        <w:rPr>
          <w:sz w:val="28"/>
          <w:szCs w:val="28"/>
        </w:rPr>
        <w:t>1.4 Return-to-campus planning</w:t>
      </w:r>
      <w:bookmarkEnd w:id="26"/>
      <w:bookmarkEnd w:id="27"/>
    </w:p>
    <w:p w14:paraId="149D0B2C" w14:textId="77777777" w:rsidR="00BC523E" w:rsidRPr="000334DF" w:rsidRDefault="00BC523E" w:rsidP="00BC523E">
      <w:pPr>
        <w:pStyle w:val="Heading3"/>
        <w:ind w:left="0"/>
        <w:rPr>
          <w:sz w:val="28"/>
          <w:szCs w:val="28"/>
        </w:rPr>
      </w:pPr>
    </w:p>
    <w:p w14:paraId="67C24118" w14:textId="77777777" w:rsidR="00BC523E" w:rsidRPr="00725FF4" w:rsidRDefault="00BC523E" w:rsidP="00BC523E">
      <w:r w:rsidRPr="00725FF4">
        <w:t>Many institutions have developed or are in the process of developing comprehensive guidelines and processes to support the return of staff and students to campus. These are likely to include safety planning and the identification of hazards, risk assessments, compulsory training, protocols, return permissions and processes, and risk mitigation strategies.</w:t>
      </w:r>
    </w:p>
    <w:p w14:paraId="42026D31" w14:textId="738C3822" w:rsidR="00BC523E" w:rsidRPr="00725FF4" w:rsidRDefault="00BC523E" w:rsidP="00BC523E">
      <w:r w:rsidRPr="00725FF4">
        <w:t>The Guidelines are intended to complement each institution’s approach to return to campus and enhance existing resources by ensuring that return-to-campus plans are viewed through a ‘disability lens’. The Guidelines do not supersede any institution’s legal responsibilities to identify and comply with all relevant local, state, territory and national legislations and regulations.</w:t>
      </w:r>
    </w:p>
    <w:p w14:paraId="7223B68E" w14:textId="77777777" w:rsidR="00BC523E" w:rsidRPr="00725FF4" w:rsidRDefault="00BC523E" w:rsidP="00BC523E"/>
    <w:p w14:paraId="5F1F69E8" w14:textId="3E784660" w:rsidR="00BC523E" w:rsidRPr="000334DF" w:rsidRDefault="00BC523E" w:rsidP="00BC523E">
      <w:pPr>
        <w:pStyle w:val="Heading3"/>
        <w:ind w:left="0"/>
        <w:rPr>
          <w:sz w:val="28"/>
          <w:szCs w:val="28"/>
        </w:rPr>
      </w:pPr>
      <w:bookmarkStart w:id="28" w:name="_Toc46933728"/>
      <w:bookmarkStart w:id="29" w:name="_Toc46933908"/>
      <w:r w:rsidRPr="000334DF">
        <w:rPr>
          <w:sz w:val="28"/>
          <w:szCs w:val="28"/>
        </w:rPr>
        <w:t>1.5 Scope</w:t>
      </w:r>
      <w:bookmarkEnd w:id="28"/>
      <w:bookmarkEnd w:id="29"/>
    </w:p>
    <w:p w14:paraId="532EE117" w14:textId="77777777" w:rsidR="00BC523E" w:rsidRPr="00725FF4" w:rsidRDefault="00BC523E" w:rsidP="00BC523E"/>
    <w:p w14:paraId="28C0177B" w14:textId="6C2EDFCE" w:rsidR="00BC523E" w:rsidRDefault="00BC523E" w:rsidP="00BC523E">
      <w:r w:rsidRPr="00725FF4">
        <w:t>The Guidelines provide information for all staff and students at tertiary education institutions with physical, mental or medical conditions recognised by the Disability Discrimination Act 1992 (DDA), including:</w:t>
      </w:r>
    </w:p>
    <w:p w14:paraId="5D4CD021" w14:textId="77777777" w:rsidR="00BC523E" w:rsidRPr="00725FF4" w:rsidRDefault="00BC523E" w:rsidP="00BC523E"/>
    <w:p w14:paraId="6C51944F" w14:textId="77777777" w:rsidR="00BC523E" w:rsidRPr="00725FF4" w:rsidRDefault="00BC523E" w:rsidP="00BC523E">
      <w:pPr>
        <w:pStyle w:val="ListParagraph"/>
        <w:numPr>
          <w:ilvl w:val="0"/>
          <w:numId w:val="5"/>
        </w:numPr>
      </w:pPr>
      <w:r w:rsidRPr="00725FF4">
        <w:t>total or partial loss of the person’s bodily or mental functions</w:t>
      </w:r>
    </w:p>
    <w:p w14:paraId="10B3979C" w14:textId="77777777" w:rsidR="00BC523E" w:rsidRPr="00725FF4" w:rsidRDefault="00BC523E" w:rsidP="00BC523E">
      <w:pPr>
        <w:pStyle w:val="ListParagraph"/>
        <w:numPr>
          <w:ilvl w:val="0"/>
          <w:numId w:val="5"/>
        </w:numPr>
      </w:pPr>
      <w:r w:rsidRPr="00725FF4">
        <w:t>total or partial loss of a part of the body</w:t>
      </w:r>
    </w:p>
    <w:p w14:paraId="54CBE75B" w14:textId="77777777" w:rsidR="00BC523E" w:rsidRPr="00725FF4" w:rsidRDefault="00BC523E" w:rsidP="00BC523E">
      <w:pPr>
        <w:pStyle w:val="ListParagraph"/>
        <w:numPr>
          <w:ilvl w:val="0"/>
          <w:numId w:val="5"/>
        </w:numPr>
      </w:pPr>
      <w:r w:rsidRPr="00725FF4">
        <w:t>presence in the body of organisms causing, or capable of causing, disease or illness</w:t>
      </w:r>
    </w:p>
    <w:p w14:paraId="2D7763EE" w14:textId="77777777" w:rsidR="00BC523E" w:rsidRPr="00725FF4" w:rsidRDefault="00BC523E" w:rsidP="00BC523E">
      <w:pPr>
        <w:pStyle w:val="ListParagraph"/>
        <w:numPr>
          <w:ilvl w:val="0"/>
          <w:numId w:val="5"/>
        </w:numPr>
      </w:pPr>
      <w:r w:rsidRPr="00725FF4">
        <w:t>malfunction, malformation or disfigurement of a part of the person’s body</w:t>
      </w:r>
    </w:p>
    <w:p w14:paraId="58415B14" w14:textId="77777777" w:rsidR="00BC523E" w:rsidRPr="00725FF4" w:rsidRDefault="00BC523E" w:rsidP="00BC523E">
      <w:pPr>
        <w:pStyle w:val="ListParagraph"/>
        <w:numPr>
          <w:ilvl w:val="0"/>
          <w:numId w:val="5"/>
        </w:numPr>
      </w:pPr>
      <w:r w:rsidRPr="00725FF4">
        <w:t>disorder or malfunction that results in the person learning differently from a person without the disorder or malfunction</w:t>
      </w:r>
    </w:p>
    <w:p w14:paraId="5E500241" w14:textId="77777777" w:rsidR="00BC523E" w:rsidRPr="00725FF4" w:rsidRDefault="00BC523E" w:rsidP="00BC523E">
      <w:pPr>
        <w:pStyle w:val="ListParagraph"/>
        <w:numPr>
          <w:ilvl w:val="0"/>
          <w:numId w:val="5"/>
        </w:numPr>
      </w:pPr>
      <w:r w:rsidRPr="00725FF4">
        <w:t>disorder, illness or disease that affects person’s thought processes, perception of reality, emotions or judgement or that results in disturbed behaviour.</w:t>
      </w:r>
    </w:p>
    <w:p w14:paraId="3E735859" w14:textId="77777777" w:rsidR="00BC523E" w:rsidRPr="00725FF4" w:rsidRDefault="00BC523E" w:rsidP="00BC523E"/>
    <w:p w14:paraId="290E0CF1" w14:textId="087FF25D" w:rsidR="00BC523E" w:rsidRDefault="00BC523E" w:rsidP="00BC523E">
      <w:r w:rsidRPr="00725FF4">
        <w:t>Note that the term ‘disability’ refers to a broad range of conditions, including mental health conditions.</w:t>
      </w:r>
      <w:r w:rsidR="00BA79AF">
        <w:t xml:space="preserve"> </w:t>
      </w:r>
      <w:r w:rsidRPr="00725FF4">
        <w:t>While there is ongoing debate in the tertiary and wider community regarding the language and terminology used to describe disability and the lived experience of disability, the Guidelines will use the term ‘disability’ to encapsulate the broad DDA definition. This is done with the utmost respect for people with disability who use other terms to describe their physical, medical or mental condition, and with a need for clarity and conciseness within this document</w:t>
      </w:r>
      <w:r>
        <w:t>.</w:t>
      </w:r>
    </w:p>
    <w:p w14:paraId="7A575A7F" w14:textId="77777777" w:rsidR="00B95E3D" w:rsidRDefault="00B95E3D" w:rsidP="00BC523E">
      <w:bookmarkStart w:id="30" w:name="1.4_Return-to-campus_planning_"/>
      <w:bookmarkStart w:id="31" w:name="1.5_Scope"/>
      <w:bookmarkEnd w:id="30"/>
      <w:bookmarkEnd w:id="31"/>
    </w:p>
    <w:p w14:paraId="186AD51F" w14:textId="20A523B3" w:rsidR="00BC523E" w:rsidRPr="00725FF4" w:rsidRDefault="00BC523E" w:rsidP="00BC523E">
      <w:r w:rsidRPr="00725FF4">
        <w:lastRenderedPageBreak/>
        <w:t xml:space="preserve">The Guidelines do not specifically address staff and students </w:t>
      </w:r>
      <w:hyperlink r:id="rId13">
        <w:r w:rsidRPr="00725FF4">
          <w:rPr>
            <w:rStyle w:val="Hyperlink"/>
          </w:rPr>
          <w:t xml:space="preserve">considered to be at higher risk </w:t>
        </w:r>
      </w:hyperlink>
      <w:r w:rsidRPr="00725FF4">
        <w:t>of serious illness if they contract COVID-19, as outlined in the list below. There may be some people with disability, however, in these categories.</w:t>
      </w:r>
    </w:p>
    <w:p w14:paraId="557EB7B7" w14:textId="77777777" w:rsidR="00BC523E" w:rsidRPr="00725FF4" w:rsidRDefault="00BC523E" w:rsidP="00BC523E"/>
    <w:p w14:paraId="795ABCD2" w14:textId="77777777" w:rsidR="00BC523E" w:rsidRPr="00725FF4" w:rsidRDefault="00BC523E" w:rsidP="00BC523E">
      <w:pPr>
        <w:pStyle w:val="ListParagraph"/>
        <w:numPr>
          <w:ilvl w:val="0"/>
          <w:numId w:val="6"/>
        </w:numPr>
      </w:pPr>
      <w:r w:rsidRPr="00725FF4">
        <w:t>Aboriginal and/or Torres Strait Islander Peoples 50 years or older with one or more chronic conditions</w:t>
      </w:r>
    </w:p>
    <w:p w14:paraId="290AC039" w14:textId="77777777" w:rsidR="00BC523E" w:rsidRPr="00725FF4" w:rsidRDefault="00BC523E" w:rsidP="00BC523E">
      <w:pPr>
        <w:pStyle w:val="ListParagraph"/>
        <w:numPr>
          <w:ilvl w:val="0"/>
          <w:numId w:val="6"/>
        </w:numPr>
      </w:pPr>
      <w:r w:rsidRPr="00725FF4">
        <w:t>people 70 years or older</w:t>
      </w:r>
    </w:p>
    <w:p w14:paraId="1C7D0EF8" w14:textId="77777777" w:rsidR="00BC523E" w:rsidRPr="00725FF4" w:rsidRDefault="00BC523E" w:rsidP="00BC523E">
      <w:pPr>
        <w:pStyle w:val="ListParagraph"/>
        <w:numPr>
          <w:ilvl w:val="0"/>
          <w:numId w:val="6"/>
        </w:numPr>
      </w:pPr>
      <w:r w:rsidRPr="00725FF4">
        <w:t>people 65 years or older with chronic medical conditions</w:t>
      </w:r>
    </w:p>
    <w:p w14:paraId="04B405C8" w14:textId="77777777" w:rsidR="00BC523E" w:rsidRPr="00725FF4" w:rsidRDefault="00BC523E" w:rsidP="00BC523E">
      <w:pPr>
        <w:pStyle w:val="ListParagraph"/>
        <w:numPr>
          <w:ilvl w:val="0"/>
          <w:numId w:val="6"/>
        </w:numPr>
      </w:pPr>
      <w:r w:rsidRPr="00725FF4">
        <w:t>people with chronic medical conditions such as heart disease, lung disease, kidney disease and diabetes.</w:t>
      </w:r>
    </w:p>
    <w:p w14:paraId="094E7A4A" w14:textId="77777777" w:rsidR="00BC523E" w:rsidRPr="00725FF4" w:rsidRDefault="00BC523E" w:rsidP="00BC523E"/>
    <w:p w14:paraId="22B617F1" w14:textId="77777777" w:rsidR="00BC523E" w:rsidRPr="00725FF4" w:rsidRDefault="00BC523E" w:rsidP="00BC523E">
      <w:r w:rsidRPr="00725FF4">
        <w:t>Most Australian tertiary education campuses offer a rich and vibrant environment including a range of learning and teaching spaces, libraries, laboratories, cafes, food halls and hospitality venues, student group rooms and staff clubs, as well as sporting venues, gymnasiums, swimming pools, social facilities, theatres, retail outlets and a range of outdoor spaces.</w:t>
      </w:r>
    </w:p>
    <w:p w14:paraId="3EC12EB9" w14:textId="77777777" w:rsidR="00BC523E" w:rsidRPr="00725FF4" w:rsidRDefault="00BC523E" w:rsidP="00BC523E"/>
    <w:p w14:paraId="142A5590" w14:textId="77777777" w:rsidR="00BC523E" w:rsidRPr="00725FF4" w:rsidRDefault="00BC523E" w:rsidP="00BC523E">
      <w:r w:rsidRPr="00725FF4">
        <w:t>The considerations outlined in the Guidelines are of relevance to all these different facilities.</w:t>
      </w:r>
    </w:p>
    <w:p w14:paraId="0ED8D70A" w14:textId="77777777" w:rsidR="00BC523E" w:rsidRPr="00725FF4" w:rsidRDefault="00BC523E" w:rsidP="00BC523E"/>
    <w:p w14:paraId="2FBE5AB3" w14:textId="6AEDC0BD" w:rsidR="00BC523E" w:rsidRPr="000334DF" w:rsidRDefault="00BC523E" w:rsidP="00BC523E">
      <w:pPr>
        <w:pStyle w:val="Heading3"/>
        <w:ind w:left="0"/>
        <w:rPr>
          <w:sz w:val="28"/>
          <w:szCs w:val="28"/>
        </w:rPr>
      </w:pPr>
      <w:bookmarkStart w:id="32" w:name="_Toc46933729"/>
      <w:bookmarkStart w:id="33" w:name="_Toc46933909"/>
      <w:r w:rsidRPr="000334DF">
        <w:rPr>
          <w:sz w:val="28"/>
          <w:szCs w:val="28"/>
        </w:rPr>
        <w:t>1.6 Principles</w:t>
      </w:r>
      <w:bookmarkEnd w:id="32"/>
      <w:bookmarkEnd w:id="33"/>
    </w:p>
    <w:p w14:paraId="34AA441E" w14:textId="77777777" w:rsidR="00BC523E" w:rsidRPr="00725FF4" w:rsidRDefault="00BC523E" w:rsidP="00BC523E"/>
    <w:p w14:paraId="03040A7E" w14:textId="77777777" w:rsidR="00BC523E" w:rsidRPr="00725FF4" w:rsidRDefault="00BC523E" w:rsidP="00BC523E">
      <w:r w:rsidRPr="00725FF4">
        <w:t>The Guidelines:</w:t>
      </w:r>
    </w:p>
    <w:p w14:paraId="4D134436" w14:textId="77777777" w:rsidR="00BC523E" w:rsidRPr="00725FF4" w:rsidRDefault="00BC523E" w:rsidP="00BC523E"/>
    <w:p w14:paraId="772CAD8C" w14:textId="77777777" w:rsidR="00BC523E" w:rsidRPr="00725FF4" w:rsidRDefault="00BC523E" w:rsidP="00BC523E">
      <w:pPr>
        <w:pStyle w:val="ListParagraph"/>
        <w:numPr>
          <w:ilvl w:val="0"/>
          <w:numId w:val="7"/>
        </w:numPr>
      </w:pPr>
      <w:r w:rsidRPr="00725FF4">
        <w:t>adopt a social model of disability framework which sees disability as broader than medical models, and essentially about the interactions between a person’s body and the society in which they live, work and study</w:t>
      </w:r>
    </w:p>
    <w:p w14:paraId="080AD437" w14:textId="77777777" w:rsidR="00BC523E" w:rsidRPr="00725FF4" w:rsidRDefault="00BC523E" w:rsidP="00BC523E">
      <w:pPr>
        <w:pStyle w:val="ListParagraph"/>
        <w:numPr>
          <w:ilvl w:val="0"/>
          <w:numId w:val="7"/>
        </w:numPr>
      </w:pPr>
      <w:r w:rsidRPr="00725FF4">
        <w:t>recognise that not every person with disability will be vulnerable to COVID-19 and should not be assumed to be so</w:t>
      </w:r>
    </w:p>
    <w:p w14:paraId="227BFB4E" w14:textId="77777777" w:rsidR="00BC523E" w:rsidRPr="00725FF4" w:rsidRDefault="00BC523E" w:rsidP="00BC523E">
      <w:pPr>
        <w:pStyle w:val="ListParagraph"/>
        <w:numPr>
          <w:ilvl w:val="0"/>
          <w:numId w:val="7"/>
        </w:numPr>
      </w:pPr>
      <w:r w:rsidRPr="00725FF4">
        <w:t>act as a guard against discrimination for staff with disability, to ensure they are not unfairly disadvantaged professionally, socially or economically due to the impact of COVID-19 return-to-campus processes</w:t>
      </w:r>
    </w:p>
    <w:p w14:paraId="09649118" w14:textId="77777777" w:rsidR="00BC523E" w:rsidRPr="00725FF4" w:rsidRDefault="00BC523E" w:rsidP="00BC523E">
      <w:pPr>
        <w:pStyle w:val="ListParagraph"/>
        <w:numPr>
          <w:ilvl w:val="0"/>
          <w:numId w:val="7"/>
        </w:numPr>
      </w:pPr>
      <w:r w:rsidRPr="00725FF4">
        <w:t>act as a guard against discrimination for students with disability, to ensure they are not unfairly disadvantaged academically, socially or economically due to the impact of COVID-19 return-to-campus processes</w:t>
      </w:r>
    </w:p>
    <w:p w14:paraId="721EEA35" w14:textId="77777777" w:rsidR="00BC523E" w:rsidRPr="00725FF4" w:rsidRDefault="00BC523E" w:rsidP="00BC523E">
      <w:pPr>
        <w:pStyle w:val="ListParagraph"/>
        <w:numPr>
          <w:ilvl w:val="0"/>
          <w:numId w:val="7"/>
        </w:numPr>
      </w:pPr>
      <w:r w:rsidRPr="00725FF4">
        <w:t>acknowledge the diversity, capabilities, strengths and resilience within the disability community as well as each individual’s unique experience of disability</w:t>
      </w:r>
    </w:p>
    <w:p w14:paraId="270BDEB4" w14:textId="77777777" w:rsidR="00BC523E" w:rsidRPr="00725FF4" w:rsidRDefault="00BC523E" w:rsidP="00BC523E">
      <w:pPr>
        <w:pStyle w:val="ListParagraph"/>
        <w:numPr>
          <w:ilvl w:val="0"/>
          <w:numId w:val="7"/>
        </w:numPr>
      </w:pPr>
      <w:r w:rsidRPr="00725FF4">
        <w:t>advocate for the dignity and autonomy of people with disability, encouraging institutions to consult and collaborate with staff and students with disability (in conjunction with each institution’s disability professionals) on decisions having an impact on return-to-campus arrangements</w:t>
      </w:r>
    </w:p>
    <w:p w14:paraId="0D6B6527" w14:textId="77777777" w:rsidR="00BC523E" w:rsidRPr="00725FF4" w:rsidRDefault="00BC523E" w:rsidP="00BC523E">
      <w:pPr>
        <w:pStyle w:val="ListParagraph"/>
        <w:numPr>
          <w:ilvl w:val="0"/>
          <w:numId w:val="7"/>
        </w:numPr>
      </w:pPr>
      <w:r w:rsidRPr="00725FF4">
        <w:t>support the principles of choice, control and flexibility for staff and students with disability in return-to-campus arrangements</w:t>
      </w:r>
    </w:p>
    <w:p w14:paraId="6C1440C3" w14:textId="77777777" w:rsidR="00BC523E" w:rsidRPr="00725FF4" w:rsidRDefault="00BC523E" w:rsidP="00BC523E">
      <w:pPr>
        <w:pStyle w:val="ListParagraph"/>
        <w:numPr>
          <w:ilvl w:val="0"/>
          <w:numId w:val="7"/>
        </w:numPr>
      </w:pPr>
      <w:r w:rsidRPr="00725FF4">
        <w:t>highlight that everyone’s experience of disability is unique to the person and, while incorporating knowledge about characteristics and likely impacts of disability types as a guide, recognise the importance of asking staff and students with disability about the particular adjustments they require.</w:t>
      </w:r>
    </w:p>
    <w:p w14:paraId="2A72EF65" w14:textId="77777777" w:rsidR="00911A33" w:rsidRPr="00725FF4" w:rsidRDefault="00911A33" w:rsidP="00725FF4">
      <w:pPr>
        <w:sectPr w:rsidR="00911A33" w:rsidRPr="00725FF4" w:rsidSect="00A62E3C">
          <w:pgSz w:w="12240" w:h="15840"/>
          <w:pgMar w:top="1440" w:right="1440" w:bottom="1134" w:left="1440" w:header="0" w:footer="400" w:gutter="0"/>
          <w:cols w:space="720"/>
        </w:sectPr>
      </w:pPr>
    </w:p>
    <w:p w14:paraId="24C44FC3" w14:textId="6EF5BA67" w:rsidR="00BC523E" w:rsidRPr="000334DF" w:rsidRDefault="00BC523E" w:rsidP="00BC523E">
      <w:pPr>
        <w:pStyle w:val="Heading2"/>
        <w:ind w:left="0" w:firstLine="0"/>
        <w:rPr>
          <w:sz w:val="32"/>
          <w:szCs w:val="32"/>
        </w:rPr>
      </w:pPr>
      <w:bookmarkStart w:id="34" w:name="1.6_Principles_"/>
      <w:bookmarkStart w:id="35" w:name="_Toc46933730"/>
      <w:bookmarkStart w:id="36" w:name="_Toc46933910"/>
      <w:bookmarkEnd w:id="34"/>
      <w:r w:rsidRPr="000334DF">
        <w:rPr>
          <w:sz w:val="32"/>
          <w:szCs w:val="32"/>
        </w:rPr>
        <w:lastRenderedPageBreak/>
        <w:t>2. RETURN-TO-CAMPUS CONSIDERATIONS BY</w:t>
      </w:r>
      <w:bookmarkEnd w:id="35"/>
      <w:bookmarkEnd w:id="36"/>
    </w:p>
    <w:p w14:paraId="1A34C47C" w14:textId="77777777" w:rsidR="00BC523E" w:rsidRPr="000334DF" w:rsidRDefault="00BC523E" w:rsidP="00BC523E">
      <w:pPr>
        <w:pStyle w:val="Heading2"/>
        <w:ind w:left="0" w:firstLine="0"/>
        <w:rPr>
          <w:sz w:val="32"/>
          <w:szCs w:val="32"/>
        </w:rPr>
      </w:pPr>
      <w:bookmarkStart w:id="37" w:name="_Toc46933731"/>
      <w:bookmarkStart w:id="38" w:name="_Toc46933911"/>
      <w:r w:rsidRPr="000334DF">
        <w:rPr>
          <w:sz w:val="32"/>
          <w:szCs w:val="32"/>
        </w:rPr>
        <w:t>DISABILITY TYPE</w:t>
      </w:r>
      <w:bookmarkEnd w:id="37"/>
      <w:bookmarkEnd w:id="38"/>
    </w:p>
    <w:p w14:paraId="07475356" w14:textId="77777777" w:rsidR="00BC523E" w:rsidRDefault="00BC523E" w:rsidP="00BC523E"/>
    <w:p w14:paraId="756277F3" w14:textId="2ACCA0F3" w:rsidR="00BC523E" w:rsidRPr="00725FF4" w:rsidRDefault="00BC523E" w:rsidP="00BC523E">
      <w:r w:rsidRPr="00725FF4">
        <w:t>This section provides information on specific disability types, their characteristics and the most likely impact these will have when staff and students with that disability type return to campus; however, the experience of disability varies from person to person within any given disability type. It is important to consult staff and students with disability to take into account the impact of their experience of their disability in any determinations and decisions regarding their return to campus.</w:t>
      </w:r>
    </w:p>
    <w:p w14:paraId="754A04D4" w14:textId="77777777" w:rsidR="00BC523E" w:rsidRPr="00725FF4" w:rsidRDefault="00BC523E" w:rsidP="00BC523E"/>
    <w:p w14:paraId="33A81DB8" w14:textId="0A28F900" w:rsidR="00BC523E" w:rsidRPr="000334DF" w:rsidRDefault="00BC523E" w:rsidP="000E3BB0">
      <w:pPr>
        <w:pStyle w:val="Heading3"/>
        <w:ind w:left="0"/>
        <w:rPr>
          <w:sz w:val="28"/>
          <w:szCs w:val="28"/>
        </w:rPr>
      </w:pPr>
      <w:bookmarkStart w:id="39" w:name="_Toc46933732"/>
      <w:bookmarkStart w:id="40" w:name="_Toc46933912"/>
      <w:r w:rsidRPr="000334DF">
        <w:rPr>
          <w:sz w:val="28"/>
          <w:szCs w:val="28"/>
        </w:rPr>
        <w:t>2.1 Disability type/experience: psychosocial – anxiety and depression</w:t>
      </w:r>
      <w:bookmarkEnd w:id="39"/>
      <w:bookmarkEnd w:id="40"/>
    </w:p>
    <w:p w14:paraId="5388FA7A" w14:textId="77777777" w:rsidR="00BC523E" w:rsidRPr="00725FF4" w:rsidRDefault="00BC523E" w:rsidP="00BC523E"/>
    <w:p w14:paraId="48FE03F8" w14:textId="77777777" w:rsidR="00BC523E" w:rsidRPr="00725FF4" w:rsidRDefault="00BC523E" w:rsidP="00BC523E">
      <w:r w:rsidRPr="00725FF4">
        <w:t xml:space="preserve">While COVID-19 is generating anxiety and stress for many people in our community, these feelings    can be more prevalent for some people with disability. People with pre-existing anxiety, depression or other psychosocial disability </w:t>
      </w:r>
      <w:hyperlink r:id="rId14">
        <w:r w:rsidRPr="00725FF4">
          <w:rPr>
            <w:rStyle w:val="Hyperlink"/>
          </w:rPr>
          <w:t xml:space="preserve">are at risk </w:t>
        </w:r>
      </w:hyperlink>
      <w:r w:rsidRPr="00725FF4">
        <w:t>of experiencing higher levels of anxiety and depression at this time.</w:t>
      </w:r>
    </w:p>
    <w:p w14:paraId="53EB1F47" w14:textId="77777777" w:rsidR="00BC523E" w:rsidRPr="00725FF4" w:rsidRDefault="00BC523E" w:rsidP="00BC523E"/>
    <w:p w14:paraId="7E1BCCFE" w14:textId="77777777" w:rsidR="00BC523E" w:rsidRPr="00725FF4" w:rsidRDefault="00BC523E" w:rsidP="00BC523E">
      <w:r w:rsidRPr="00725FF4">
        <w:t>This can be due to factors such as:</w:t>
      </w:r>
    </w:p>
    <w:p w14:paraId="0B942330" w14:textId="77777777" w:rsidR="00BC523E" w:rsidRPr="00725FF4" w:rsidRDefault="00BC523E" w:rsidP="00BC523E"/>
    <w:p w14:paraId="4D16A61A" w14:textId="77777777" w:rsidR="00BC523E" w:rsidRPr="00725FF4" w:rsidRDefault="00BC523E" w:rsidP="00BC523E">
      <w:pPr>
        <w:pStyle w:val="ListParagraph"/>
        <w:numPr>
          <w:ilvl w:val="0"/>
          <w:numId w:val="8"/>
        </w:numPr>
      </w:pPr>
      <w:r w:rsidRPr="00725FF4">
        <w:t>additional health-related concerns, as people can be susceptible or feel especially vulnerable to the contagious nature of COVID-19</w:t>
      </w:r>
    </w:p>
    <w:p w14:paraId="78EF2017" w14:textId="77777777" w:rsidR="00BC523E" w:rsidRPr="00725FF4" w:rsidRDefault="00BC523E" w:rsidP="00BC523E">
      <w:pPr>
        <w:pStyle w:val="ListParagraph"/>
        <w:numPr>
          <w:ilvl w:val="0"/>
          <w:numId w:val="8"/>
        </w:numPr>
      </w:pPr>
      <w:r w:rsidRPr="00725FF4">
        <w:t>generalised anxiety, fear and panic about the long-term impact on social and economic systems</w:t>
      </w:r>
    </w:p>
    <w:p w14:paraId="08AEFABC" w14:textId="77777777" w:rsidR="00BC523E" w:rsidRPr="00725FF4" w:rsidRDefault="00BC523E" w:rsidP="00BC523E">
      <w:pPr>
        <w:pStyle w:val="ListParagraph"/>
        <w:numPr>
          <w:ilvl w:val="0"/>
          <w:numId w:val="8"/>
        </w:numPr>
      </w:pPr>
      <w:r w:rsidRPr="00725FF4">
        <w:t>isolation from family, friends and other support networks</w:t>
      </w:r>
    </w:p>
    <w:p w14:paraId="3BD5B2D2" w14:textId="77777777" w:rsidR="00BC523E" w:rsidRPr="00725FF4" w:rsidRDefault="00BC523E" w:rsidP="00BC523E">
      <w:pPr>
        <w:pStyle w:val="ListParagraph"/>
        <w:numPr>
          <w:ilvl w:val="0"/>
          <w:numId w:val="8"/>
        </w:numPr>
      </w:pPr>
      <w:r w:rsidRPr="00725FF4">
        <w:t>fear of lockdowns and quarantining arrangements</w:t>
      </w:r>
    </w:p>
    <w:p w14:paraId="103A08CB" w14:textId="77777777" w:rsidR="00BC523E" w:rsidRPr="00725FF4" w:rsidRDefault="00BC523E" w:rsidP="00BC523E">
      <w:pPr>
        <w:pStyle w:val="ListParagraph"/>
        <w:numPr>
          <w:ilvl w:val="0"/>
          <w:numId w:val="8"/>
        </w:numPr>
      </w:pPr>
      <w:r w:rsidRPr="00725FF4">
        <w:t>inability to attend face-to-face medical appointments</w:t>
      </w:r>
    </w:p>
    <w:p w14:paraId="1D7019CE" w14:textId="77777777" w:rsidR="00BC523E" w:rsidRPr="00725FF4" w:rsidRDefault="00BC523E" w:rsidP="00BC523E">
      <w:pPr>
        <w:pStyle w:val="ListParagraph"/>
        <w:numPr>
          <w:ilvl w:val="0"/>
          <w:numId w:val="8"/>
        </w:numPr>
      </w:pPr>
      <w:r w:rsidRPr="00725FF4">
        <w:t>concerns about employment security within the tertiary sector (as staff with disability are more likely to be employed in insecure casual and part-time appointments) and ensuing loss of income</w:t>
      </w:r>
    </w:p>
    <w:p w14:paraId="709AC74E" w14:textId="77777777" w:rsidR="00BC523E" w:rsidRPr="00725FF4" w:rsidRDefault="00BC523E" w:rsidP="00BC523E">
      <w:pPr>
        <w:pStyle w:val="ListParagraph"/>
        <w:numPr>
          <w:ilvl w:val="0"/>
          <w:numId w:val="8"/>
        </w:numPr>
      </w:pPr>
      <w:r w:rsidRPr="00725FF4">
        <w:t>concerns about casual or part-time student jobs and ensuing loss of income</w:t>
      </w:r>
    </w:p>
    <w:p w14:paraId="7CDCE282" w14:textId="77777777" w:rsidR="00BC523E" w:rsidRPr="00725FF4" w:rsidRDefault="00BC523E" w:rsidP="00BC523E">
      <w:pPr>
        <w:pStyle w:val="ListParagraph"/>
        <w:numPr>
          <w:ilvl w:val="0"/>
          <w:numId w:val="8"/>
        </w:numPr>
      </w:pPr>
      <w:r w:rsidRPr="00725FF4">
        <w:t>concerns about long-term career prospects and graduate opportunities given that people with disability are more likely to be unemployed.</w:t>
      </w:r>
    </w:p>
    <w:p w14:paraId="40EA9A13" w14:textId="77777777" w:rsidR="00BC523E" w:rsidRPr="00725FF4" w:rsidRDefault="00BC523E" w:rsidP="00BC523E"/>
    <w:p w14:paraId="0325A6B2" w14:textId="77777777" w:rsidR="00BC523E" w:rsidRPr="00725FF4" w:rsidRDefault="00BC523E" w:rsidP="00BC523E">
      <w:r w:rsidRPr="00725FF4">
        <w:t xml:space="preserve">The World Health Organization </w:t>
      </w:r>
      <w:hyperlink r:id="rId15">
        <w:r w:rsidRPr="00725FF4">
          <w:rPr>
            <w:rStyle w:val="Hyperlink"/>
          </w:rPr>
          <w:t xml:space="preserve">advises </w:t>
        </w:r>
      </w:hyperlink>
      <w:r w:rsidRPr="00725FF4">
        <w:t xml:space="preserve">that managing mental health and psychosocial wellbeing during this time is just as important as managing physical health. Beyond Blue </w:t>
      </w:r>
      <w:hyperlink r:id="rId16">
        <w:r w:rsidRPr="00725FF4">
          <w:rPr>
            <w:rStyle w:val="Hyperlink"/>
          </w:rPr>
          <w:t>gives a number of tips</w:t>
        </w:r>
      </w:hyperlink>
      <w:r w:rsidRPr="00725FF4">
        <w:t xml:space="preserve"> for managing the COVID-19 psychosocial risks of staff; these tips can help promote better mental health for everyone. In addition, the following actions are recommended.</w:t>
      </w:r>
    </w:p>
    <w:p w14:paraId="56789B55" w14:textId="77777777" w:rsidR="00BC523E" w:rsidRPr="00725FF4" w:rsidRDefault="00BC523E" w:rsidP="00BC523E"/>
    <w:p w14:paraId="6BEBED36" w14:textId="77777777" w:rsidR="00BC523E" w:rsidRPr="00BC523E" w:rsidRDefault="00BC523E" w:rsidP="00BC523E">
      <w:pPr>
        <w:rPr>
          <w:b/>
          <w:bCs/>
        </w:rPr>
      </w:pPr>
      <w:r w:rsidRPr="00BC523E">
        <w:rPr>
          <w:b/>
          <w:bCs/>
        </w:rPr>
        <w:t>Recommendations</w:t>
      </w:r>
    </w:p>
    <w:p w14:paraId="54F81F96" w14:textId="77777777" w:rsidR="00BC523E" w:rsidRPr="00725FF4" w:rsidRDefault="00BC523E" w:rsidP="00BC523E"/>
    <w:p w14:paraId="4DE097C8" w14:textId="77777777" w:rsidR="00BC523E" w:rsidRPr="00725FF4" w:rsidRDefault="00BC523E" w:rsidP="00DE7328">
      <w:pPr>
        <w:pStyle w:val="ListParagraph"/>
        <w:numPr>
          <w:ilvl w:val="0"/>
          <w:numId w:val="9"/>
        </w:numPr>
      </w:pPr>
      <w:r w:rsidRPr="00725FF4">
        <w:t>Continue daily online chats and virtual staff meetings that occurred when working remotely, while there are staff who are not able to return to campus because of disability.</w:t>
      </w:r>
    </w:p>
    <w:p w14:paraId="3C2BA8C6" w14:textId="77777777" w:rsidR="00BC523E" w:rsidRPr="00725FF4" w:rsidRDefault="00BC523E" w:rsidP="00DE7328">
      <w:pPr>
        <w:pStyle w:val="ListParagraph"/>
        <w:numPr>
          <w:ilvl w:val="0"/>
          <w:numId w:val="9"/>
        </w:numPr>
      </w:pPr>
      <w:r w:rsidRPr="00725FF4">
        <w:t>Ensure the COVID-19 information provided to staff and students is up to date and referenced to trustworthy sources.</w:t>
      </w:r>
    </w:p>
    <w:p w14:paraId="71F69AF4" w14:textId="77777777" w:rsidR="00BC523E" w:rsidRPr="00725FF4" w:rsidRDefault="00BC523E" w:rsidP="00DE7328">
      <w:pPr>
        <w:pStyle w:val="ListParagraph"/>
        <w:numPr>
          <w:ilvl w:val="0"/>
          <w:numId w:val="9"/>
        </w:numPr>
      </w:pPr>
      <w:r w:rsidRPr="00725FF4">
        <w:t>Build a psychologically safe culture that recognises that it is normal to struggle sometimes and encourages people to speak up and reach out to ask for help if and when needed. Acknowledge that it is OK not to be OK all the time.</w:t>
      </w:r>
    </w:p>
    <w:p w14:paraId="1CA3797B" w14:textId="77777777" w:rsidR="00BC523E" w:rsidRPr="00725FF4" w:rsidRDefault="00BC523E" w:rsidP="00DE7328">
      <w:pPr>
        <w:pStyle w:val="ListParagraph"/>
        <w:numPr>
          <w:ilvl w:val="0"/>
          <w:numId w:val="9"/>
        </w:numPr>
      </w:pPr>
      <w:r w:rsidRPr="00725FF4">
        <w:t xml:space="preserve">Encourage staff to check in on their mental wellbeing and develop some evidence-based strategies to incorporate within their daily routine. One way to do this is to participate in a free </w:t>
      </w:r>
      <w:r w:rsidRPr="00725FF4">
        <w:lastRenderedPageBreak/>
        <w:t xml:space="preserve">workplace wellbeing survey, such as the </w:t>
      </w:r>
      <w:hyperlink r:id="rId17">
        <w:r w:rsidRPr="00725FF4">
          <w:rPr>
            <w:rStyle w:val="Hyperlink"/>
          </w:rPr>
          <w:t>PERMAH wellbeing survey</w:t>
        </w:r>
      </w:hyperlink>
      <w:r w:rsidRPr="00725FF4">
        <w:t>, and try some of the suggested wellbeing and resilience activities to develop a personal wellbeing plan.</w:t>
      </w:r>
    </w:p>
    <w:p w14:paraId="5C5F7EFC" w14:textId="75CD5251" w:rsidR="00911A33" w:rsidRDefault="00BC523E" w:rsidP="00DE7328">
      <w:pPr>
        <w:pStyle w:val="ListParagraph"/>
        <w:numPr>
          <w:ilvl w:val="0"/>
          <w:numId w:val="9"/>
        </w:numPr>
      </w:pPr>
      <w:r w:rsidRPr="00725FF4">
        <w:t>Incorporate information and reminders about the institution’s wellbeing services, such as counselling and specialist supports, in the COVID-19 advice to students</w:t>
      </w:r>
      <w:r>
        <w:t>.</w:t>
      </w:r>
    </w:p>
    <w:p w14:paraId="17E0A7F8" w14:textId="77777777" w:rsidR="00D178DA" w:rsidRDefault="00D178DA" w:rsidP="00DE7328">
      <w:pPr>
        <w:pStyle w:val="Heading3"/>
        <w:ind w:left="0"/>
        <w:rPr>
          <w:sz w:val="28"/>
          <w:szCs w:val="28"/>
        </w:rPr>
      </w:pPr>
      <w:bookmarkStart w:id="41" w:name="_Toc46933733"/>
      <w:bookmarkStart w:id="42" w:name="_Toc46933913"/>
    </w:p>
    <w:p w14:paraId="6AD45B3A" w14:textId="4CEF6ACA" w:rsidR="00DE7328" w:rsidRPr="000334DF" w:rsidRDefault="00DE7328" w:rsidP="00DE7328">
      <w:pPr>
        <w:pStyle w:val="Heading3"/>
        <w:ind w:left="0"/>
        <w:rPr>
          <w:sz w:val="28"/>
          <w:szCs w:val="28"/>
        </w:rPr>
      </w:pPr>
      <w:r w:rsidRPr="000334DF">
        <w:rPr>
          <w:sz w:val="28"/>
          <w:szCs w:val="28"/>
        </w:rPr>
        <w:t>2.2 Disability type/experience: autism spectrum</w:t>
      </w:r>
      <w:bookmarkEnd w:id="41"/>
      <w:bookmarkEnd w:id="42"/>
    </w:p>
    <w:p w14:paraId="6FBCB927" w14:textId="77777777" w:rsidR="00DE7328" w:rsidRPr="00725FF4" w:rsidRDefault="00DE7328" w:rsidP="00DE7328"/>
    <w:p w14:paraId="3617FB63" w14:textId="77777777" w:rsidR="00DE7328" w:rsidRPr="00725FF4" w:rsidRDefault="00DE7328" w:rsidP="00DE7328">
      <w:r w:rsidRPr="00725FF4">
        <w:t>Some people on the autism spectrum find change and disruption challenging and confusing. They may have additional difficulties readjusting to being back on campus, due to changing routines and procedures.</w:t>
      </w:r>
    </w:p>
    <w:p w14:paraId="5113E64C" w14:textId="77777777" w:rsidR="00DE7328" w:rsidRPr="00725FF4" w:rsidRDefault="00DE7328" w:rsidP="00DE7328"/>
    <w:p w14:paraId="0376C994" w14:textId="77777777" w:rsidR="00DE7328" w:rsidRPr="00725FF4" w:rsidRDefault="00DE7328" w:rsidP="00DE7328">
      <w:r w:rsidRPr="00725FF4">
        <w:t>Staff and students on the autism spectrum may also be hypersensitive to environmental factors, which could result in difficulties adhering to some protocols such as applying scented hygiene products, wearing face masks or using temperature-check stations.</w:t>
      </w:r>
    </w:p>
    <w:p w14:paraId="7F1FEFAE" w14:textId="77777777" w:rsidR="00DE7328" w:rsidRPr="00725FF4" w:rsidRDefault="00DE7328" w:rsidP="00DE7328"/>
    <w:p w14:paraId="073AD9E7" w14:textId="77777777" w:rsidR="00DE7328" w:rsidRPr="00725FF4" w:rsidRDefault="00DE7328" w:rsidP="00DE7328">
      <w:r w:rsidRPr="00725FF4">
        <w:t>They are also more likely to feel overwhelmed if presented with a plethora of information or complicated multistep processes.</w:t>
      </w:r>
    </w:p>
    <w:p w14:paraId="77C637C6" w14:textId="77777777" w:rsidR="00DE7328" w:rsidRPr="00725FF4" w:rsidRDefault="00DE7328" w:rsidP="00DE7328"/>
    <w:p w14:paraId="0A56A45D" w14:textId="77777777" w:rsidR="00DE7328" w:rsidRPr="00725FF4" w:rsidRDefault="00DE7328" w:rsidP="00DE7328">
      <w:r w:rsidRPr="00725FF4">
        <w:t>It is also important to keep in mind that students on the autism spectrum are less likely to reach out and ask for help when they need it.</w:t>
      </w:r>
    </w:p>
    <w:p w14:paraId="38EC39F6" w14:textId="77777777" w:rsidR="00DE7328" w:rsidRPr="00725FF4" w:rsidRDefault="00DE7328" w:rsidP="00DE7328"/>
    <w:p w14:paraId="5978525B" w14:textId="77777777" w:rsidR="00DE7328" w:rsidRPr="00DE7328" w:rsidRDefault="00DE7328" w:rsidP="00DE7328">
      <w:pPr>
        <w:rPr>
          <w:b/>
          <w:bCs/>
        </w:rPr>
      </w:pPr>
      <w:r w:rsidRPr="00DE7328">
        <w:rPr>
          <w:b/>
          <w:bCs/>
        </w:rPr>
        <w:t>Recommendations</w:t>
      </w:r>
    </w:p>
    <w:p w14:paraId="77FC4B8A" w14:textId="77777777" w:rsidR="00DE7328" w:rsidRPr="00725FF4" w:rsidRDefault="00DE7328" w:rsidP="00DE7328"/>
    <w:p w14:paraId="24EAEF36" w14:textId="77777777" w:rsidR="00DE7328" w:rsidRPr="00725FF4" w:rsidRDefault="00DE7328" w:rsidP="00DE7328">
      <w:pPr>
        <w:pStyle w:val="ListParagraph"/>
        <w:numPr>
          <w:ilvl w:val="0"/>
          <w:numId w:val="10"/>
        </w:numPr>
      </w:pPr>
      <w:r w:rsidRPr="00725FF4">
        <w:t>Provide clear, concise and consistent messaging about the return-to-campus timelines and processes. This could include step-by-step guides, flow charts or visual prompts to help staff and students on the autism spectrum know what to expect and understand the processes for returning to campus.</w:t>
      </w:r>
    </w:p>
    <w:p w14:paraId="63E7AAAE" w14:textId="77777777" w:rsidR="00DE7328" w:rsidRPr="00725FF4" w:rsidRDefault="00DE7328" w:rsidP="00DE7328">
      <w:pPr>
        <w:pStyle w:val="ListParagraph"/>
        <w:numPr>
          <w:ilvl w:val="0"/>
          <w:numId w:val="10"/>
        </w:numPr>
      </w:pPr>
      <w:r w:rsidRPr="00725FF4">
        <w:t>Provide quiet locations on campus for staff and students on the autism spectrum to access if they are feeling overwhelmed as they readjust to being back.</w:t>
      </w:r>
    </w:p>
    <w:p w14:paraId="498BBAAA" w14:textId="77777777" w:rsidR="00DE7328" w:rsidRPr="00725FF4" w:rsidRDefault="00DE7328" w:rsidP="00DE7328">
      <w:pPr>
        <w:pStyle w:val="ListParagraph"/>
        <w:numPr>
          <w:ilvl w:val="0"/>
          <w:numId w:val="10"/>
        </w:numPr>
      </w:pPr>
      <w:r w:rsidRPr="00725FF4">
        <w:t>Show patience and understanding if staff or students on the autism spectrum do not adhere    with return-to-campus procedures. Seek to discover the possible causes, and provide alternative arrangements where possible.</w:t>
      </w:r>
    </w:p>
    <w:p w14:paraId="5512B422" w14:textId="77777777" w:rsidR="00DE7328" w:rsidRPr="00725FF4" w:rsidRDefault="00DE7328" w:rsidP="00DE7328"/>
    <w:p w14:paraId="49955E48" w14:textId="48B11B94" w:rsidR="00DE7328" w:rsidRPr="000334DF" w:rsidRDefault="00DE7328" w:rsidP="00DE7328">
      <w:pPr>
        <w:pStyle w:val="Heading3"/>
        <w:ind w:left="0"/>
        <w:rPr>
          <w:sz w:val="28"/>
          <w:szCs w:val="28"/>
        </w:rPr>
      </w:pPr>
      <w:bookmarkStart w:id="43" w:name="_Toc46933734"/>
      <w:bookmarkStart w:id="44" w:name="_Toc46933914"/>
      <w:r w:rsidRPr="000334DF">
        <w:rPr>
          <w:sz w:val="28"/>
          <w:szCs w:val="28"/>
        </w:rPr>
        <w:t>2.3 Disability type/experience: blind or vision impairments</w:t>
      </w:r>
      <w:bookmarkEnd w:id="43"/>
      <w:bookmarkEnd w:id="44"/>
    </w:p>
    <w:p w14:paraId="024ED982" w14:textId="77777777" w:rsidR="00DE7328" w:rsidRPr="00725FF4" w:rsidRDefault="00DE7328" w:rsidP="00DE7328"/>
    <w:p w14:paraId="25FB128A" w14:textId="77777777" w:rsidR="00DE7328" w:rsidRPr="00725FF4" w:rsidRDefault="00DE7328" w:rsidP="00DE7328">
      <w:r w:rsidRPr="00725FF4">
        <w:t>People who are blind or have low vision will not be able to see environmental cues such as hygiene signage, physical distancing markers, directional flow indicators and hand-sanitising stations.</w:t>
      </w:r>
    </w:p>
    <w:p w14:paraId="2C030876" w14:textId="77777777" w:rsidR="00DE7328" w:rsidRPr="00725FF4" w:rsidRDefault="00DE7328" w:rsidP="00DE7328"/>
    <w:p w14:paraId="0B68568F" w14:textId="77777777" w:rsidR="00DE7328" w:rsidRPr="00725FF4" w:rsidRDefault="00DE7328" w:rsidP="00DE7328">
      <w:r w:rsidRPr="00725FF4">
        <w:t>They may also find it difficult to navigate previously familiar environments if rooms have been reconfigured and furniture moved due to physical distancing guidelines.</w:t>
      </w:r>
    </w:p>
    <w:p w14:paraId="3CCD6E90" w14:textId="77777777" w:rsidR="00DE7328" w:rsidRPr="00725FF4" w:rsidRDefault="00DE7328" w:rsidP="00DE7328"/>
    <w:p w14:paraId="30175026" w14:textId="77777777" w:rsidR="00DE7328" w:rsidRPr="00725FF4" w:rsidRDefault="0018348A" w:rsidP="00DE7328">
      <w:hyperlink r:id="rId18">
        <w:r w:rsidR="00DE7328" w:rsidRPr="00725FF4">
          <w:rPr>
            <w:rStyle w:val="Hyperlink"/>
          </w:rPr>
          <w:t xml:space="preserve">Vision Australia </w:t>
        </w:r>
      </w:hyperlink>
      <w:r w:rsidR="00DE7328" w:rsidRPr="00725FF4">
        <w:t>advises that people with vision impairments may need some assistance from others from time to time to navigate their environments.</w:t>
      </w:r>
    </w:p>
    <w:p w14:paraId="096A8060" w14:textId="77777777" w:rsidR="00DE7328" w:rsidRPr="00725FF4" w:rsidRDefault="00DE7328" w:rsidP="00DE7328"/>
    <w:p w14:paraId="7C6E0238" w14:textId="7EFB1D35" w:rsidR="00DE7328" w:rsidRDefault="00DE7328" w:rsidP="000A32C5">
      <w:r w:rsidRPr="00725FF4">
        <w:t>Orientation and mobility training may assist navigation and readjustment to new campus layouts.</w:t>
      </w:r>
    </w:p>
    <w:p w14:paraId="6FC19471" w14:textId="04BE7DE5" w:rsidR="00D178DA" w:rsidRDefault="00D178DA" w:rsidP="003B297B">
      <w:pPr>
        <w:spacing w:line="360" w:lineRule="auto"/>
      </w:pPr>
    </w:p>
    <w:p w14:paraId="1AF05BD6" w14:textId="77777777" w:rsidR="00D178DA" w:rsidRDefault="00D178DA" w:rsidP="003B297B">
      <w:pPr>
        <w:spacing w:line="360" w:lineRule="auto"/>
        <w:rPr>
          <w:b/>
          <w:bCs/>
        </w:rPr>
      </w:pPr>
    </w:p>
    <w:p w14:paraId="076A8918" w14:textId="02541BF7" w:rsidR="00DE7328" w:rsidRPr="003B297B" w:rsidRDefault="00DE7328" w:rsidP="003B297B">
      <w:pPr>
        <w:spacing w:line="360" w:lineRule="auto"/>
        <w:rPr>
          <w:b/>
          <w:bCs/>
        </w:rPr>
      </w:pPr>
      <w:r w:rsidRPr="00DE7328">
        <w:rPr>
          <w:b/>
          <w:bCs/>
        </w:rPr>
        <w:t>Recommendations</w:t>
      </w:r>
    </w:p>
    <w:p w14:paraId="1D1A16D1" w14:textId="77777777" w:rsidR="00DE7328" w:rsidRPr="00725FF4" w:rsidRDefault="00DE7328" w:rsidP="00DE7328">
      <w:pPr>
        <w:pStyle w:val="ListParagraph"/>
        <w:numPr>
          <w:ilvl w:val="0"/>
          <w:numId w:val="11"/>
        </w:numPr>
      </w:pPr>
      <w:r w:rsidRPr="00725FF4">
        <w:t>Provide COVID-19 training and education materials in accessible formats including Word documents and audio files.</w:t>
      </w:r>
    </w:p>
    <w:p w14:paraId="0CEA1324" w14:textId="77777777" w:rsidR="00DE7328" w:rsidRPr="00725FF4" w:rsidRDefault="00DE7328" w:rsidP="00DE7328">
      <w:pPr>
        <w:pStyle w:val="ListParagraph"/>
        <w:numPr>
          <w:ilvl w:val="0"/>
          <w:numId w:val="11"/>
        </w:numPr>
      </w:pPr>
      <w:r w:rsidRPr="00725FF4">
        <w:t>Arrange or encourage orientation and mobility training to assist navigation and readjustment to new campus layouts.</w:t>
      </w:r>
    </w:p>
    <w:p w14:paraId="178271CA" w14:textId="77777777" w:rsidR="00D178DA" w:rsidRDefault="00DE7328" w:rsidP="00725FF4">
      <w:pPr>
        <w:pStyle w:val="ListParagraph"/>
        <w:numPr>
          <w:ilvl w:val="0"/>
          <w:numId w:val="11"/>
        </w:numPr>
      </w:pPr>
      <w:r w:rsidRPr="00725FF4">
        <w:t>Consider establishing ‘access champions’—staff and student volunteers—who can assist people who are blind or have low vision to navigate safely around campus.</w:t>
      </w:r>
    </w:p>
    <w:p w14:paraId="77A9BBCA" w14:textId="77777777" w:rsidR="00D178DA" w:rsidRDefault="00D178DA" w:rsidP="00DE7328">
      <w:pPr>
        <w:pStyle w:val="Heading3"/>
        <w:ind w:left="0"/>
        <w:rPr>
          <w:sz w:val="28"/>
          <w:szCs w:val="28"/>
        </w:rPr>
      </w:pPr>
      <w:bookmarkStart w:id="45" w:name="2.4_Disability_type/experience:_Deaf_or_"/>
      <w:bookmarkStart w:id="46" w:name="2.6_Disability_type/experience:_physical"/>
      <w:bookmarkStart w:id="47" w:name="_Toc46933735"/>
      <w:bookmarkStart w:id="48" w:name="_Toc46933915"/>
      <w:bookmarkEnd w:id="45"/>
      <w:bookmarkEnd w:id="46"/>
    </w:p>
    <w:p w14:paraId="5B7E3027" w14:textId="7068985B" w:rsidR="00911A33" w:rsidRPr="000334DF" w:rsidRDefault="00DE7328" w:rsidP="00DE7328">
      <w:pPr>
        <w:pStyle w:val="Heading3"/>
        <w:ind w:left="0"/>
        <w:rPr>
          <w:sz w:val="28"/>
          <w:szCs w:val="28"/>
        </w:rPr>
      </w:pPr>
      <w:r w:rsidRPr="000334DF">
        <w:rPr>
          <w:sz w:val="28"/>
          <w:szCs w:val="28"/>
        </w:rPr>
        <w:t xml:space="preserve">2.4 </w:t>
      </w:r>
      <w:r w:rsidR="00176F5D" w:rsidRPr="000334DF">
        <w:rPr>
          <w:sz w:val="28"/>
          <w:szCs w:val="28"/>
        </w:rPr>
        <w:t>Disability type/experience: Deaf or hard of hearing</w:t>
      </w:r>
      <w:bookmarkEnd w:id="47"/>
      <w:bookmarkEnd w:id="48"/>
    </w:p>
    <w:p w14:paraId="130A2E00" w14:textId="77777777" w:rsidR="00911A33" w:rsidRPr="00725FF4" w:rsidRDefault="00911A33" w:rsidP="00725FF4"/>
    <w:p w14:paraId="089363B6" w14:textId="77777777" w:rsidR="00911A33" w:rsidRPr="00725FF4" w:rsidRDefault="00176F5D" w:rsidP="00725FF4">
      <w:r w:rsidRPr="00725FF4">
        <w:t>People who are Deaf or hard of hearing need to access relevant information and instructions and be able to communicate effectively with others on campus.</w:t>
      </w:r>
    </w:p>
    <w:p w14:paraId="1964E8F4" w14:textId="77777777" w:rsidR="00911A33" w:rsidRPr="00725FF4" w:rsidRDefault="00911A33" w:rsidP="00725FF4"/>
    <w:p w14:paraId="4F499615" w14:textId="77777777" w:rsidR="00911A33" w:rsidRPr="00725FF4" w:rsidRDefault="00176F5D" w:rsidP="00725FF4">
      <w:r w:rsidRPr="00725FF4">
        <w:t>As Auslan (Australian Sign Language) is a visual language that incorporates facial expressions, and</w:t>
      </w:r>
    </w:p>
    <w:p w14:paraId="550F7B5E" w14:textId="77777777" w:rsidR="00911A33" w:rsidRPr="00725FF4" w:rsidRDefault="00176F5D" w:rsidP="00725FF4">
      <w:r w:rsidRPr="00725FF4">
        <w:t>lip-readers rely on visual cues, the wearing of regular face masks will cause communication difficulties.</w:t>
      </w:r>
    </w:p>
    <w:p w14:paraId="4DFCB9E3" w14:textId="77777777" w:rsidR="00911A33" w:rsidRPr="00725FF4" w:rsidRDefault="00911A33" w:rsidP="00725FF4"/>
    <w:p w14:paraId="73741327" w14:textId="77777777" w:rsidR="00911A33" w:rsidRPr="00725FF4" w:rsidRDefault="00176F5D" w:rsidP="00725FF4">
      <w:r w:rsidRPr="00725FF4">
        <w:t>People who lip-read will be unable to communicate with staff and students who are wearing masks on campus.</w:t>
      </w:r>
    </w:p>
    <w:p w14:paraId="470FA944" w14:textId="77777777" w:rsidR="00911A33" w:rsidRPr="00725FF4" w:rsidRDefault="00911A33" w:rsidP="00725FF4"/>
    <w:p w14:paraId="5137EBB8" w14:textId="0E511FD2" w:rsidR="00911A33" w:rsidRPr="003B297B" w:rsidRDefault="00176F5D" w:rsidP="003B297B">
      <w:pPr>
        <w:spacing w:line="360" w:lineRule="auto"/>
        <w:rPr>
          <w:b/>
          <w:bCs/>
        </w:rPr>
      </w:pPr>
      <w:r w:rsidRPr="00DE7328">
        <w:rPr>
          <w:b/>
          <w:bCs/>
        </w:rPr>
        <w:t>Recommendations</w:t>
      </w:r>
    </w:p>
    <w:p w14:paraId="695AC4A3" w14:textId="77777777" w:rsidR="00911A33" w:rsidRPr="00725FF4" w:rsidRDefault="00176F5D" w:rsidP="00DE7328">
      <w:pPr>
        <w:pStyle w:val="ListParagraph"/>
        <w:numPr>
          <w:ilvl w:val="0"/>
          <w:numId w:val="12"/>
        </w:numPr>
      </w:pPr>
      <w:r w:rsidRPr="00725FF4">
        <w:t>Provide closed captions for COVID-19 training and education materials that are available via video.</w:t>
      </w:r>
    </w:p>
    <w:p w14:paraId="5A369667" w14:textId="77777777" w:rsidR="00911A33" w:rsidRPr="00725FF4" w:rsidRDefault="00176F5D" w:rsidP="00DE7328">
      <w:pPr>
        <w:pStyle w:val="ListParagraph"/>
        <w:numPr>
          <w:ilvl w:val="0"/>
          <w:numId w:val="12"/>
        </w:numPr>
      </w:pPr>
      <w:r w:rsidRPr="00725FF4">
        <w:t>Provide see-through masks, such as those commonly used by medical practitioners who care for the Deaf, to others in direct contact with staff and students who are Deaf or hard of hearing.</w:t>
      </w:r>
    </w:p>
    <w:p w14:paraId="7B34CA8D" w14:textId="77777777" w:rsidR="00911A33" w:rsidRPr="00725FF4" w:rsidRDefault="00176F5D" w:rsidP="00DE7328">
      <w:pPr>
        <w:pStyle w:val="ListParagraph"/>
        <w:numPr>
          <w:ilvl w:val="0"/>
          <w:numId w:val="12"/>
        </w:numPr>
      </w:pPr>
      <w:r w:rsidRPr="00725FF4">
        <w:t>Provide Auslan interpreters where appropriate and requested. Use alternative technology for communication when see-through masks cannot be obtained.</w:t>
      </w:r>
    </w:p>
    <w:p w14:paraId="71B8ED08" w14:textId="77777777" w:rsidR="00911A33" w:rsidRPr="00725FF4" w:rsidRDefault="00911A33" w:rsidP="00725FF4"/>
    <w:p w14:paraId="5E6A388D" w14:textId="41283F0A" w:rsidR="00911A33" w:rsidRPr="000334DF" w:rsidRDefault="00DE7328" w:rsidP="00DE7328">
      <w:pPr>
        <w:pStyle w:val="Heading3"/>
        <w:ind w:left="0"/>
        <w:rPr>
          <w:sz w:val="28"/>
          <w:szCs w:val="28"/>
        </w:rPr>
      </w:pPr>
      <w:bookmarkStart w:id="49" w:name="_Toc46933736"/>
      <w:bookmarkStart w:id="50" w:name="_Toc46933916"/>
      <w:r w:rsidRPr="000334DF">
        <w:rPr>
          <w:sz w:val="28"/>
          <w:szCs w:val="28"/>
        </w:rPr>
        <w:t xml:space="preserve">2.5 </w:t>
      </w:r>
      <w:r w:rsidR="00176F5D" w:rsidRPr="000334DF">
        <w:rPr>
          <w:sz w:val="28"/>
          <w:szCs w:val="28"/>
        </w:rPr>
        <w:t>Disability type/experience: chronic illness or injury</w:t>
      </w:r>
      <w:bookmarkEnd w:id="49"/>
      <w:bookmarkEnd w:id="50"/>
    </w:p>
    <w:p w14:paraId="2C0861C0" w14:textId="77777777" w:rsidR="00911A33" w:rsidRPr="00725FF4" w:rsidRDefault="00911A33" w:rsidP="00725FF4"/>
    <w:p w14:paraId="589AC523" w14:textId="77777777" w:rsidR="00911A33" w:rsidRPr="00725FF4" w:rsidRDefault="00176F5D" w:rsidP="00725FF4">
      <w:r w:rsidRPr="00725FF4">
        <w:t xml:space="preserve">People with chronic health conditions or weakened immune systems can be at a higher risk of severe illness due to COVID-19. This includes people with lung disease, Parkinson’s disease, multiple  sclerosis, diabetes, chronic inflammatory conditions, severe obesity or people who have had recent cancer treatment. See the </w:t>
      </w:r>
      <w:hyperlink r:id="rId19">
        <w:r w:rsidRPr="00725FF4">
          <w:rPr>
            <w:rStyle w:val="Hyperlink"/>
          </w:rPr>
          <w:t xml:space="preserve">Australian Government Department of Health </w:t>
        </w:r>
      </w:hyperlink>
      <w:r w:rsidRPr="00725FF4">
        <w:t>website for full details.</w:t>
      </w:r>
    </w:p>
    <w:p w14:paraId="4489A702" w14:textId="77777777" w:rsidR="00911A33" w:rsidRPr="00725FF4" w:rsidRDefault="00911A33" w:rsidP="00725FF4"/>
    <w:p w14:paraId="69B07315" w14:textId="780C2953" w:rsidR="00911A33" w:rsidRPr="003B297B" w:rsidRDefault="00176F5D" w:rsidP="003B297B">
      <w:pPr>
        <w:spacing w:line="360" w:lineRule="auto"/>
        <w:rPr>
          <w:b/>
          <w:bCs/>
        </w:rPr>
      </w:pPr>
      <w:r w:rsidRPr="00DE7328">
        <w:rPr>
          <w:b/>
          <w:bCs/>
        </w:rPr>
        <w:t>Recommendations</w:t>
      </w:r>
    </w:p>
    <w:p w14:paraId="313BD48E" w14:textId="77777777" w:rsidR="00911A33" w:rsidRPr="00725FF4" w:rsidRDefault="00176F5D" w:rsidP="00DE7328">
      <w:pPr>
        <w:pStyle w:val="ListParagraph"/>
        <w:numPr>
          <w:ilvl w:val="0"/>
          <w:numId w:val="13"/>
        </w:numPr>
      </w:pPr>
      <w:r w:rsidRPr="00725FF4">
        <w:t>Develop a COVID-19 Safe Action Plan with staff and students with chronic illness to help manage the risks.</w:t>
      </w:r>
    </w:p>
    <w:p w14:paraId="0687BC8B" w14:textId="06446349" w:rsidR="00911A33" w:rsidRPr="00725FF4" w:rsidRDefault="00176F5D" w:rsidP="00725FF4">
      <w:pPr>
        <w:pStyle w:val="ListParagraph"/>
        <w:numPr>
          <w:ilvl w:val="0"/>
          <w:numId w:val="13"/>
        </w:numPr>
      </w:pPr>
      <w:r w:rsidRPr="00725FF4">
        <w:t>Ensure the COVID-19 Safe Action Plan includes provisions for working or studying remotely, with no corresponding financial, career or academic disadvantages.</w:t>
      </w:r>
    </w:p>
    <w:p w14:paraId="2058C211" w14:textId="77777777" w:rsidR="00911A33" w:rsidRPr="00725FF4" w:rsidRDefault="00911A33" w:rsidP="00725FF4"/>
    <w:p w14:paraId="0819C80B" w14:textId="24C5DD6C" w:rsidR="00911A33" w:rsidRPr="000334DF" w:rsidRDefault="00DE7328" w:rsidP="000E3BB0">
      <w:pPr>
        <w:pStyle w:val="Heading3"/>
        <w:ind w:left="0"/>
        <w:rPr>
          <w:sz w:val="28"/>
          <w:szCs w:val="28"/>
        </w:rPr>
      </w:pPr>
      <w:bookmarkStart w:id="51" w:name="_Toc46933737"/>
      <w:bookmarkStart w:id="52" w:name="_Toc46933917"/>
      <w:r w:rsidRPr="000334DF">
        <w:rPr>
          <w:sz w:val="28"/>
          <w:szCs w:val="28"/>
        </w:rPr>
        <w:t xml:space="preserve">2.6 </w:t>
      </w:r>
      <w:r w:rsidR="00176F5D" w:rsidRPr="000334DF">
        <w:rPr>
          <w:sz w:val="28"/>
          <w:szCs w:val="28"/>
        </w:rPr>
        <w:t>Disability type/experience: physical disability</w:t>
      </w:r>
      <w:bookmarkEnd w:id="51"/>
      <w:bookmarkEnd w:id="52"/>
    </w:p>
    <w:p w14:paraId="601BF482" w14:textId="77777777" w:rsidR="00911A33" w:rsidRPr="00725FF4" w:rsidRDefault="00911A33" w:rsidP="00725FF4"/>
    <w:p w14:paraId="098B67AF" w14:textId="77777777" w:rsidR="00D178DA" w:rsidRDefault="00176F5D" w:rsidP="00D178DA">
      <w:r w:rsidRPr="00725FF4">
        <w:t xml:space="preserve">Students or staff using assistive devices such as crutches, wheelchairs or scooters may find it more </w:t>
      </w:r>
      <w:r w:rsidRPr="00725FF4">
        <w:lastRenderedPageBreak/>
        <w:t>difficult to manoeuvre around campus if the physical environment has been altered to promote physical distancing.</w:t>
      </w:r>
    </w:p>
    <w:p w14:paraId="24B7A6A6" w14:textId="21B07529" w:rsidR="00911A33" w:rsidRPr="00D178DA" w:rsidRDefault="00176F5D" w:rsidP="00D178DA">
      <w:r w:rsidRPr="00DE7328">
        <w:rPr>
          <w:b/>
          <w:bCs/>
        </w:rPr>
        <w:t>Recommendations</w:t>
      </w:r>
    </w:p>
    <w:p w14:paraId="3480F736" w14:textId="77777777" w:rsidR="00911A33" w:rsidRPr="00725FF4" w:rsidRDefault="00176F5D" w:rsidP="00DE7328">
      <w:pPr>
        <w:pStyle w:val="ListParagraph"/>
        <w:numPr>
          <w:ilvl w:val="0"/>
          <w:numId w:val="14"/>
        </w:numPr>
      </w:pPr>
      <w:r w:rsidRPr="00725FF4">
        <w:t>Ensure any reconfigurations to rooms or facilities do not impede on the capacity for staff and students with physical disability to navigate in a safe way.</w:t>
      </w:r>
    </w:p>
    <w:p w14:paraId="5298A257" w14:textId="77777777" w:rsidR="00911A33" w:rsidRPr="00725FF4" w:rsidRDefault="00176F5D" w:rsidP="00DE7328">
      <w:pPr>
        <w:pStyle w:val="ListParagraph"/>
        <w:numPr>
          <w:ilvl w:val="0"/>
          <w:numId w:val="14"/>
        </w:numPr>
      </w:pPr>
      <w:r w:rsidRPr="00725FF4">
        <w:t>Place hygiene products such as hand sanitiser and soap dispensers at an appropriate height and location to ensure easy access for people who use wheelchairs.</w:t>
      </w:r>
    </w:p>
    <w:p w14:paraId="1D14B684" w14:textId="782C038A" w:rsidR="00911A33" w:rsidRPr="00725FF4" w:rsidRDefault="00176F5D" w:rsidP="00725FF4">
      <w:pPr>
        <w:pStyle w:val="ListParagraph"/>
        <w:numPr>
          <w:ilvl w:val="0"/>
          <w:numId w:val="14"/>
        </w:numPr>
      </w:pPr>
      <w:r w:rsidRPr="00725FF4">
        <w:t>Provide automatic sanitisers and soap dispensers for people with limited hand dexterity.</w:t>
      </w:r>
    </w:p>
    <w:p w14:paraId="3EAA9A67" w14:textId="77777777" w:rsidR="00911A33" w:rsidRPr="00725FF4" w:rsidRDefault="00911A33" w:rsidP="00725FF4"/>
    <w:p w14:paraId="31F240F4" w14:textId="5EF83F75" w:rsidR="00911A33" w:rsidRPr="000334DF" w:rsidRDefault="000E3BB0" w:rsidP="000E3BB0">
      <w:pPr>
        <w:pStyle w:val="Heading3"/>
        <w:ind w:left="0"/>
        <w:rPr>
          <w:sz w:val="28"/>
          <w:szCs w:val="28"/>
        </w:rPr>
      </w:pPr>
      <w:bookmarkStart w:id="53" w:name="2.7_Disability_type/experience:_intellec"/>
      <w:bookmarkStart w:id="54" w:name="2.8_Disability_type/experience:_acquired"/>
      <w:bookmarkStart w:id="55" w:name="2.9_Disability_type/experience:_specific"/>
      <w:bookmarkStart w:id="56" w:name="_Toc46933738"/>
      <w:bookmarkStart w:id="57" w:name="_Toc46933918"/>
      <w:bookmarkEnd w:id="53"/>
      <w:bookmarkEnd w:id="54"/>
      <w:bookmarkEnd w:id="55"/>
      <w:r w:rsidRPr="000334DF">
        <w:rPr>
          <w:sz w:val="28"/>
          <w:szCs w:val="28"/>
        </w:rPr>
        <w:t xml:space="preserve">2.7 </w:t>
      </w:r>
      <w:r w:rsidR="00176F5D" w:rsidRPr="000334DF">
        <w:rPr>
          <w:sz w:val="28"/>
          <w:szCs w:val="28"/>
        </w:rPr>
        <w:t>Disability type/experience: intellectual disability</w:t>
      </w:r>
      <w:bookmarkEnd w:id="56"/>
      <w:bookmarkEnd w:id="57"/>
    </w:p>
    <w:p w14:paraId="35B29AD2" w14:textId="77777777" w:rsidR="00911A33" w:rsidRPr="00725FF4" w:rsidRDefault="00911A33" w:rsidP="00725FF4"/>
    <w:p w14:paraId="1FEA3D63" w14:textId="77777777" w:rsidR="00911A33" w:rsidRPr="00725FF4" w:rsidRDefault="00176F5D" w:rsidP="00725FF4">
      <w:r w:rsidRPr="00725FF4">
        <w:t>People with intellectual disability or limited functional literacy need information about</w:t>
      </w:r>
    </w:p>
    <w:p w14:paraId="7841C34C" w14:textId="77777777" w:rsidR="00911A33" w:rsidRPr="00725FF4" w:rsidRDefault="00176F5D" w:rsidP="00725FF4">
      <w:r w:rsidRPr="00725FF4">
        <w:t>return-to-campus processes in a format they can access and understand easily, such as Easy English, storyboards, visuals or clear verbal instructions.</w:t>
      </w:r>
    </w:p>
    <w:p w14:paraId="0DEE2DA1" w14:textId="77777777" w:rsidR="00911A33" w:rsidRPr="00725FF4" w:rsidRDefault="00911A33" w:rsidP="00725FF4"/>
    <w:p w14:paraId="48165D4D" w14:textId="238F5ACE" w:rsidR="00911A33" w:rsidRPr="00725FF4" w:rsidRDefault="00176F5D" w:rsidP="003B297B">
      <w:r w:rsidRPr="00725FF4">
        <w:t xml:space="preserve">Information presented in Easy English is written in everyday words, using short, simple sentences accompanied by clear images. The </w:t>
      </w:r>
      <w:hyperlink r:id="rId20">
        <w:r w:rsidRPr="00725FF4">
          <w:rPr>
            <w:rStyle w:val="Hyperlink"/>
          </w:rPr>
          <w:t xml:space="preserve">Access Easy English </w:t>
        </w:r>
      </w:hyperlink>
      <w:r w:rsidRPr="00725FF4">
        <w:t>website has examples of COVID-19 fact sheets presented in this format.</w:t>
      </w:r>
    </w:p>
    <w:p w14:paraId="1D0627DE" w14:textId="77777777" w:rsidR="00911A33" w:rsidRPr="000E3BB0" w:rsidRDefault="00176F5D" w:rsidP="00725FF4">
      <w:pPr>
        <w:rPr>
          <w:b/>
          <w:bCs/>
        </w:rPr>
      </w:pPr>
      <w:r w:rsidRPr="000E3BB0">
        <w:rPr>
          <w:b/>
          <w:bCs/>
        </w:rPr>
        <w:t>Recommendations</w:t>
      </w:r>
    </w:p>
    <w:p w14:paraId="103441C6" w14:textId="77777777" w:rsidR="00911A33" w:rsidRPr="00725FF4" w:rsidRDefault="00911A33" w:rsidP="00725FF4"/>
    <w:p w14:paraId="3FCBFF67" w14:textId="77777777" w:rsidR="00911A33" w:rsidRPr="00725FF4" w:rsidRDefault="00176F5D" w:rsidP="000E3BB0">
      <w:pPr>
        <w:pStyle w:val="ListParagraph"/>
        <w:numPr>
          <w:ilvl w:val="0"/>
          <w:numId w:val="15"/>
        </w:numPr>
      </w:pPr>
      <w:r w:rsidRPr="00725FF4">
        <w:t>Provide return-to-campus information in accessible formats such as Easy English or storyboards.</w:t>
      </w:r>
    </w:p>
    <w:p w14:paraId="1AEF0E29" w14:textId="7F0DC998" w:rsidR="00911A33" w:rsidRPr="00725FF4" w:rsidRDefault="00176F5D" w:rsidP="000E3BB0">
      <w:pPr>
        <w:pStyle w:val="ListParagraph"/>
        <w:numPr>
          <w:ilvl w:val="0"/>
          <w:numId w:val="15"/>
        </w:numPr>
      </w:pPr>
      <w:r w:rsidRPr="00725FF4">
        <w:t>Consider providing student mentors to support people with intellectual disability to understand and follow return-to-campus procedures.</w:t>
      </w:r>
    </w:p>
    <w:p w14:paraId="5FFEF1BE" w14:textId="77777777" w:rsidR="00911A33" w:rsidRPr="00725FF4" w:rsidRDefault="00911A33" w:rsidP="00725FF4"/>
    <w:p w14:paraId="528CDE5D" w14:textId="0F81B02E" w:rsidR="00911A33" w:rsidRPr="000334DF" w:rsidRDefault="000E3BB0" w:rsidP="000E3BB0">
      <w:pPr>
        <w:pStyle w:val="Heading3"/>
        <w:ind w:left="0"/>
        <w:rPr>
          <w:sz w:val="28"/>
          <w:szCs w:val="28"/>
        </w:rPr>
      </w:pPr>
      <w:bookmarkStart w:id="58" w:name="_Toc46933739"/>
      <w:bookmarkStart w:id="59" w:name="_Toc46933919"/>
      <w:r w:rsidRPr="000334DF">
        <w:rPr>
          <w:sz w:val="28"/>
          <w:szCs w:val="28"/>
        </w:rPr>
        <w:t xml:space="preserve">2.8 </w:t>
      </w:r>
      <w:r w:rsidR="00176F5D" w:rsidRPr="000334DF">
        <w:rPr>
          <w:sz w:val="28"/>
          <w:szCs w:val="28"/>
        </w:rPr>
        <w:t>Disability type/experience: acquired brain injury</w:t>
      </w:r>
      <w:bookmarkEnd w:id="58"/>
      <w:bookmarkEnd w:id="59"/>
    </w:p>
    <w:p w14:paraId="013B758C" w14:textId="77777777" w:rsidR="00911A33" w:rsidRPr="00725FF4" w:rsidRDefault="00911A33" w:rsidP="00725FF4"/>
    <w:p w14:paraId="61193494" w14:textId="77777777" w:rsidR="00911A33" w:rsidRPr="00725FF4" w:rsidRDefault="00176F5D" w:rsidP="00725FF4">
      <w:r w:rsidRPr="00725FF4">
        <w:t>Some people with an acquired brain injury may feel overwhelmed and experience more anxiety than others about the return to campus.</w:t>
      </w:r>
    </w:p>
    <w:p w14:paraId="1F02FEDD" w14:textId="77777777" w:rsidR="00911A33" w:rsidRPr="00725FF4" w:rsidRDefault="00911A33" w:rsidP="00725FF4"/>
    <w:p w14:paraId="50F83535" w14:textId="77777777" w:rsidR="00911A33" w:rsidRPr="00725FF4" w:rsidRDefault="00176F5D" w:rsidP="00725FF4">
      <w:r w:rsidRPr="00725FF4">
        <w:t>They may also be more likely to have other health issues that could place them at higher risk of serious illness due to COVID-19.</w:t>
      </w:r>
    </w:p>
    <w:p w14:paraId="5D1E12AF" w14:textId="77777777" w:rsidR="00911A33" w:rsidRPr="000E3BB0" w:rsidRDefault="00911A33" w:rsidP="00725FF4">
      <w:pPr>
        <w:rPr>
          <w:b/>
          <w:bCs/>
        </w:rPr>
      </w:pPr>
    </w:p>
    <w:p w14:paraId="07762A1A" w14:textId="29F4FC3D" w:rsidR="00911A33" w:rsidRPr="003B297B" w:rsidRDefault="00176F5D" w:rsidP="003B297B">
      <w:pPr>
        <w:spacing w:line="360" w:lineRule="auto"/>
        <w:rPr>
          <w:b/>
          <w:bCs/>
        </w:rPr>
      </w:pPr>
      <w:r w:rsidRPr="000E3BB0">
        <w:rPr>
          <w:b/>
          <w:bCs/>
        </w:rPr>
        <w:t>Recommendations</w:t>
      </w:r>
    </w:p>
    <w:p w14:paraId="5B39C9E9" w14:textId="77777777" w:rsidR="00911A33" w:rsidRPr="00725FF4" w:rsidRDefault="00176F5D" w:rsidP="000E3BB0">
      <w:pPr>
        <w:pStyle w:val="ListParagraph"/>
        <w:numPr>
          <w:ilvl w:val="0"/>
          <w:numId w:val="16"/>
        </w:numPr>
      </w:pPr>
      <w:r w:rsidRPr="00725FF4">
        <w:t>Provide clear, concise and consistent messaging about the return-to-campus timelines and processes. This could include step-by-step guides, so staff and students know what to expect.</w:t>
      </w:r>
    </w:p>
    <w:p w14:paraId="652FC42E" w14:textId="114171D2" w:rsidR="00911A33" w:rsidRDefault="00176F5D" w:rsidP="003B297B">
      <w:pPr>
        <w:pStyle w:val="ListParagraph"/>
        <w:numPr>
          <w:ilvl w:val="0"/>
          <w:numId w:val="16"/>
        </w:numPr>
        <w:spacing w:line="276" w:lineRule="auto"/>
      </w:pPr>
      <w:r w:rsidRPr="00725FF4">
        <w:t>Ensure consideration of additional health issues are taken into account in any COVID-19 related consultation and risk assessment.</w:t>
      </w:r>
    </w:p>
    <w:p w14:paraId="16B82D61" w14:textId="77777777" w:rsidR="003B297B" w:rsidRPr="00725FF4" w:rsidRDefault="003B297B" w:rsidP="003B297B">
      <w:pPr>
        <w:pStyle w:val="ListParagraph"/>
        <w:spacing w:line="276" w:lineRule="auto"/>
        <w:ind w:left="720" w:firstLine="0"/>
      </w:pPr>
    </w:p>
    <w:p w14:paraId="7486049B" w14:textId="6000D40B" w:rsidR="00911A33" w:rsidRPr="000334DF" w:rsidRDefault="000E3BB0" w:rsidP="000E3BB0">
      <w:pPr>
        <w:pStyle w:val="Heading3"/>
        <w:ind w:left="0"/>
        <w:rPr>
          <w:sz w:val="28"/>
          <w:szCs w:val="28"/>
        </w:rPr>
      </w:pPr>
      <w:bookmarkStart w:id="60" w:name="_Toc46933740"/>
      <w:bookmarkStart w:id="61" w:name="_Toc46933920"/>
      <w:r w:rsidRPr="000334DF">
        <w:rPr>
          <w:sz w:val="28"/>
          <w:szCs w:val="28"/>
        </w:rPr>
        <w:t xml:space="preserve">2.9 </w:t>
      </w:r>
      <w:r w:rsidR="00176F5D" w:rsidRPr="000334DF">
        <w:rPr>
          <w:sz w:val="28"/>
          <w:szCs w:val="28"/>
        </w:rPr>
        <w:t>Disability type/experience: specific learning disability</w:t>
      </w:r>
      <w:bookmarkEnd w:id="60"/>
      <w:bookmarkEnd w:id="61"/>
    </w:p>
    <w:p w14:paraId="546B9DBA" w14:textId="77777777" w:rsidR="00911A33" w:rsidRPr="00725FF4" w:rsidRDefault="00911A33" w:rsidP="00725FF4"/>
    <w:p w14:paraId="35AE4800" w14:textId="7A0D006A" w:rsidR="003B297B" w:rsidRPr="00725FF4" w:rsidRDefault="00176F5D" w:rsidP="003B297B">
      <w:pPr>
        <w:spacing w:line="276" w:lineRule="auto"/>
      </w:pPr>
      <w:r w:rsidRPr="00725FF4">
        <w:t>Some people with a specific learning disability such as dyslexia, dysgraphia and/or dyscalculia may find it difficult to read and remember large quantities of written instructions regarding procedures.</w:t>
      </w:r>
    </w:p>
    <w:p w14:paraId="221738A2" w14:textId="77777777" w:rsidR="00911A33" w:rsidRPr="000E3BB0" w:rsidRDefault="00176F5D" w:rsidP="00725FF4">
      <w:pPr>
        <w:rPr>
          <w:b/>
          <w:bCs/>
        </w:rPr>
      </w:pPr>
      <w:r w:rsidRPr="000E3BB0">
        <w:rPr>
          <w:b/>
          <w:bCs/>
        </w:rPr>
        <w:t>Recommendations</w:t>
      </w:r>
    </w:p>
    <w:p w14:paraId="6FE45A31" w14:textId="67E718BF" w:rsidR="00911A33" w:rsidRPr="00725FF4" w:rsidRDefault="00911A33" w:rsidP="00725FF4"/>
    <w:p w14:paraId="2665049C" w14:textId="77777777" w:rsidR="00911A33" w:rsidRPr="00725FF4" w:rsidRDefault="00176F5D" w:rsidP="000E3BB0">
      <w:pPr>
        <w:pStyle w:val="ListParagraph"/>
        <w:numPr>
          <w:ilvl w:val="0"/>
          <w:numId w:val="17"/>
        </w:numPr>
      </w:pPr>
      <w:r w:rsidRPr="00725FF4">
        <w:t xml:space="preserve">Provide clear and concise messaging about the return-to-campus timelines and processes. For </w:t>
      </w:r>
      <w:r w:rsidRPr="00725FF4">
        <w:lastRenderedPageBreak/>
        <w:t>example, use dot points in text, flow charts and visual posters.</w:t>
      </w:r>
    </w:p>
    <w:p w14:paraId="59B83FDB" w14:textId="0EC61D7F" w:rsidR="00A62E3C" w:rsidRDefault="00176F5D" w:rsidP="00A62E3C">
      <w:pPr>
        <w:pStyle w:val="ListParagraph"/>
        <w:numPr>
          <w:ilvl w:val="0"/>
          <w:numId w:val="17"/>
        </w:numPr>
        <w:spacing w:after="240"/>
      </w:pPr>
      <w:r w:rsidRPr="00725FF4">
        <w:t>Ensure any required paperwork is provided in electronic format. Give the person the option to   take paperwork away to read and then return on completion.</w:t>
      </w:r>
    </w:p>
    <w:p w14:paraId="2673E8D3" w14:textId="0FDDB73C" w:rsidR="000E3BB0" w:rsidRPr="00BA79AF" w:rsidRDefault="000E3BB0" w:rsidP="00BA79AF">
      <w:pPr>
        <w:pStyle w:val="Heading2"/>
        <w:spacing w:line="480" w:lineRule="auto"/>
        <w:ind w:left="0" w:firstLine="0"/>
        <w:rPr>
          <w:sz w:val="32"/>
          <w:szCs w:val="32"/>
        </w:rPr>
      </w:pPr>
      <w:bookmarkStart w:id="62" w:name="3._Return-to-campus_procedures"/>
      <w:bookmarkStart w:id="63" w:name="3.1_Individual_consultations_and_risk_as"/>
      <w:bookmarkStart w:id="64" w:name="3.2_Use_of_public_transport"/>
      <w:bookmarkStart w:id="65" w:name="3.3_Settling_back_in_to_the_‘new_normal’"/>
      <w:bookmarkStart w:id="66" w:name="_Toc46933741"/>
      <w:bookmarkStart w:id="67" w:name="_Toc46933921"/>
      <w:bookmarkEnd w:id="62"/>
      <w:bookmarkEnd w:id="63"/>
      <w:bookmarkEnd w:id="64"/>
      <w:bookmarkEnd w:id="65"/>
      <w:r w:rsidRPr="000334DF">
        <w:rPr>
          <w:sz w:val="32"/>
          <w:szCs w:val="32"/>
        </w:rPr>
        <w:t xml:space="preserve">3. </w:t>
      </w:r>
      <w:r w:rsidR="00176F5D" w:rsidRPr="000334DF">
        <w:rPr>
          <w:sz w:val="32"/>
          <w:szCs w:val="32"/>
        </w:rPr>
        <w:t>RETURN-TO-CAMPUS PROCEDURES</w:t>
      </w:r>
      <w:bookmarkEnd w:id="66"/>
      <w:bookmarkEnd w:id="67"/>
    </w:p>
    <w:p w14:paraId="1E879E27" w14:textId="20F65DA9" w:rsidR="00911A33" w:rsidRPr="000334DF" w:rsidRDefault="000E3BB0" w:rsidP="000E3BB0">
      <w:pPr>
        <w:pStyle w:val="Heading3"/>
        <w:ind w:left="0"/>
        <w:rPr>
          <w:sz w:val="28"/>
          <w:szCs w:val="28"/>
        </w:rPr>
      </w:pPr>
      <w:bookmarkStart w:id="68" w:name="_Toc46933742"/>
      <w:bookmarkStart w:id="69" w:name="_Toc46933922"/>
      <w:r w:rsidRPr="000334DF">
        <w:rPr>
          <w:sz w:val="28"/>
          <w:szCs w:val="28"/>
        </w:rPr>
        <w:t xml:space="preserve">3.1 </w:t>
      </w:r>
      <w:r w:rsidR="00176F5D" w:rsidRPr="000334DF">
        <w:rPr>
          <w:sz w:val="28"/>
          <w:szCs w:val="28"/>
        </w:rPr>
        <w:t>Individual consultations and risk assessments</w:t>
      </w:r>
      <w:bookmarkEnd w:id="68"/>
      <w:bookmarkEnd w:id="69"/>
    </w:p>
    <w:p w14:paraId="53CAFA09" w14:textId="77777777" w:rsidR="00911A33" w:rsidRPr="00725FF4" w:rsidRDefault="00911A33" w:rsidP="00725FF4"/>
    <w:p w14:paraId="2CE70A21" w14:textId="2FDF8D79" w:rsidR="00911A33" w:rsidRPr="00725FF4" w:rsidRDefault="00176F5D" w:rsidP="00725FF4">
      <w:r w:rsidRPr="00725FF4">
        <w:t>Many people will feel anxious and concerned about returning to campus during and after the pandemic.</w:t>
      </w:r>
    </w:p>
    <w:p w14:paraId="367C6C2E" w14:textId="77777777" w:rsidR="00911A33" w:rsidRPr="00725FF4" w:rsidRDefault="00911A33" w:rsidP="00725FF4"/>
    <w:p w14:paraId="5E4EF288" w14:textId="3E2BC2DE" w:rsidR="00911A33" w:rsidRPr="00725FF4" w:rsidRDefault="00176F5D" w:rsidP="00725FF4">
      <w:r w:rsidRPr="00725FF4">
        <w:t>The most important first step managers, faculty members, professors, teachers or other support personnel can take is to conduct individual consultations with staff and students with disability.</w:t>
      </w:r>
    </w:p>
    <w:p w14:paraId="15BB32BC" w14:textId="77777777" w:rsidR="00911A33" w:rsidRPr="00725FF4" w:rsidRDefault="00911A33" w:rsidP="00725FF4"/>
    <w:p w14:paraId="49961C48" w14:textId="77777777" w:rsidR="00911A33" w:rsidRPr="00725FF4" w:rsidRDefault="00176F5D" w:rsidP="00725FF4">
      <w:r w:rsidRPr="00725FF4">
        <w:t>If relevant, a formal risk assessment can be conducted during these consultations to inform a risk mitigation plan.</w:t>
      </w:r>
    </w:p>
    <w:p w14:paraId="1EC7C2A9" w14:textId="77777777" w:rsidR="00911A33" w:rsidRPr="00725FF4" w:rsidRDefault="00911A33" w:rsidP="00725FF4"/>
    <w:p w14:paraId="70839253" w14:textId="77777777" w:rsidR="00911A33" w:rsidRPr="00725FF4" w:rsidRDefault="00176F5D" w:rsidP="00725FF4">
      <w:r w:rsidRPr="00725FF4">
        <w:t>If staff and students with disability also have other chronic medical conditions or are immunocompromised, it is essential to conduct an individual risk assessment to inform the institution’s plan. This may mean accommodating work- or study-from-home arrangements.</w:t>
      </w:r>
    </w:p>
    <w:p w14:paraId="02917E8E" w14:textId="77777777" w:rsidR="00911A33" w:rsidRPr="00725FF4" w:rsidRDefault="00911A33" w:rsidP="00725FF4"/>
    <w:p w14:paraId="22B0BF91" w14:textId="77777777" w:rsidR="00911A33" w:rsidRPr="000E3BB0" w:rsidRDefault="00176F5D" w:rsidP="00725FF4">
      <w:pPr>
        <w:rPr>
          <w:b/>
          <w:bCs/>
        </w:rPr>
      </w:pPr>
      <w:r w:rsidRPr="000E3BB0">
        <w:rPr>
          <w:b/>
          <w:bCs/>
        </w:rPr>
        <w:t>Recommendations</w:t>
      </w:r>
    </w:p>
    <w:p w14:paraId="71B1D712" w14:textId="77777777" w:rsidR="00911A33" w:rsidRPr="00725FF4" w:rsidRDefault="00911A33" w:rsidP="00725FF4"/>
    <w:p w14:paraId="4E94C3A0" w14:textId="77777777" w:rsidR="00911A33" w:rsidRPr="00725FF4" w:rsidRDefault="00176F5D" w:rsidP="000E3BB0">
      <w:pPr>
        <w:pStyle w:val="ListParagraph"/>
        <w:numPr>
          <w:ilvl w:val="0"/>
          <w:numId w:val="18"/>
        </w:numPr>
      </w:pPr>
      <w:r w:rsidRPr="00725FF4">
        <w:t>When determining risk and mitigation factors, consider the characteristics of the student/ employee, the physical environment, the type of work or activities required and the availability and accessibility of necessary resources for the person to work or study safely.</w:t>
      </w:r>
    </w:p>
    <w:p w14:paraId="3C21B528" w14:textId="77777777" w:rsidR="00911A33" w:rsidRPr="00725FF4" w:rsidRDefault="00176F5D" w:rsidP="000E3BB0">
      <w:pPr>
        <w:pStyle w:val="ListParagraph"/>
        <w:numPr>
          <w:ilvl w:val="0"/>
          <w:numId w:val="18"/>
        </w:numPr>
      </w:pPr>
      <w:r w:rsidRPr="00725FF4">
        <w:t>Involve a member of the institution’s health and safety team to see how they can help with ergonomic and other safety measures.</w:t>
      </w:r>
    </w:p>
    <w:p w14:paraId="5E2D64F0" w14:textId="7C0965B9" w:rsidR="00911A33" w:rsidRPr="00725FF4" w:rsidRDefault="00176F5D" w:rsidP="00725FF4">
      <w:pPr>
        <w:pStyle w:val="ListParagraph"/>
        <w:numPr>
          <w:ilvl w:val="0"/>
          <w:numId w:val="18"/>
        </w:numPr>
      </w:pPr>
      <w:r w:rsidRPr="00725FF4">
        <w:t>Contact the institution’s disability services for further support or resources for students with disability.</w:t>
      </w:r>
    </w:p>
    <w:p w14:paraId="0E862614" w14:textId="77777777" w:rsidR="00911A33" w:rsidRPr="00725FF4" w:rsidRDefault="00911A33" w:rsidP="00725FF4"/>
    <w:p w14:paraId="4B6F8D67" w14:textId="5906CE84" w:rsidR="00911A33" w:rsidRPr="000334DF" w:rsidRDefault="000E3BB0" w:rsidP="000E3BB0">
      <w:pPr>
        <w:pStyle w:val="Heading3"/>
        <w:ind w:left="0"/>
        <w:rPr>
          <w:sz w:val="28"/>
          <w:szCs w:val="28"/>
        </w:rPr>
      </w:pPr>
      <w:bookmarkStart w:id="70" w:name="_Toc46933743"/>
      <w:bookmarkStart w:id="71" w:name="_Toc46933923"/>
      <w:r w:rsidRPr="000334DF">
        <w:rPr>
          <w:sz w:val="28"/>
          <w:szCs w:val="28"/>
        </w:rPr>
        <w:t xml:space="preserve">3.2 </w:t>
      </w:r>
      <w:r w:rsidR="00176F5D" w:rsidRPr="000334DF">
        <w:rPr>
          <w:sz w:val="28"/>
          <w:szCs w:val="28"/>
        </w:rPr>
        <w:t>Use of public transport</w:t>
      </w:r>
      <w:bookmarkEnd w:id="70"/>
      <w:bookmarkEnd w:id="71"/>
    </w:p>
    <w:p w14:paraId="119094D8" w14:textId="77777777" w:rsidR="00911A33" w:rsidRPr="00725FF4" w:rsidRDefault="00911A33" w:rsidP="00725FF4"/>
    <w:p w14:paraId="72AACF93" w14:textId="77777777" w:rsidR="00911A33" w:rsidRPr="000E3BB0" w:rsidRDefault="00176F5D" w:rsidP="00725FF4">
      <w:pPr>
        <w:rPr>
          <w:b/>
          <w:bCs/>
        </w:rPr>
      </w:pPr>
      <w:r w:rsidRPr="000E3BB0">
        <w:rPr>
          <w:b/>
          <w:bCs/>
        </w:rPr>
        <w:t>Recommendations</w:t>
      </w:r>
    </w:p>
    <w:p w14:paraId="1DEA2195" w14:textId="77777777" w:rsidR="00911A33" w:rsidRPr="00725FF4" w:rsidRDefault="00911A33" w:rsidP="00725FF4"/>
    <w:p w14:paraId="3A170940" w14:textId="77777777" w:rsidR="00911A33" w:rsidRPr="00725FF4" w:rsidRDefault="00176F5D" w:rsidP="00725FF4">
      <w:r w:rsidRPr="00725FF4">
        <w:t>All staff and students should be provided with information on how to stay safe when using public transport.</w:t>
      </w:r>
    </w:p>
    <w:p w14:paraId="20CAB7F7" w14:textId="77777777" w:rsidR="00911A33" w:rsidRPr="00725FF4" w:rsidRDefault="00911A33" w:rsidP="00725FF4"/>
    <w:p w14:paraId="1C003ECC" w14:textId="77777777" w:rsidR="00911A33" w:rsidRPr="00725FF4" w:rsidRDefault="00176F5D" w:rsidP="00725FF4">
      <w:r w:rsidRPr="00725FF4">
        <w:t>Strategies include:</w:t>
      </w:r>
    </w:p>
    <w:p w14:paraId="5075D733" w14:textId="77777777" w:rsidR="00911A33" w:rsidRPr="00725FF4" w:rsidRDefault="00911A33" w:rsidP="00725FF4"/>
    <w:p w14:paraId="53CD971E" w14:textId="77777777" w:rsidR="00911A33" w:rsidRPr="00725FF4" w:rsidRDefault="00176F5D" w:rsidP="000E3BB0">
      <w:pPr>
        <w:pStyle w:val="ListParagraph"/>
        <w:numPr>
          <w:ilvl w:val="0"/>
          <w:numId w:val="19"/>
        </w:numPr>
      </w:pPr>
      <w:r w:rsidRPr="00725FF4">
        <w:t>practising excellent cough and sneeze etiquette</w:t>
      </w:r>
    </w:p>
    <w:p w14:paraId="112B40B4" w14:textId="77777777" w:rsidR="00911A33" w:rsidRPr="00725FF4" w:rsidRDefault="00176F5D" w:rsidP="000E3BB0">
      <w:pPr>
        <w:pStyle w:val="ListParagraph"/>
        <w:numPr>
          <w:ilvl w:val="0"/>
          <w:numId w:val="19"/>
        </w:numPr>
      </w:pPr>
      <w:r w:rsidRPr="00725FF4">
        <w:t>practising excellent hand hygiene before getting on and after getting off public transport</w:t>
      </w:r>
    </w:p>
    <w:p w14:paraId="435DF4F5" w14:textId="77777777" w:rsidR="00911A33" w:rsidRPr="00725FF4" w:rsidRDefault="00176F5D" w:rsidP="000E3BB0">
      <w:pPr>
        <w:pStyle w:val="ListParagraph"/>
        <w:numPr>
          <w:ilvl w:val="0"/>
          <w:numId w:val="19"/>
        </w:numPr>
      </w:pPr>
      <w:r w:rsidRPr="00725FF4">
        <w:t>wearing masks when unable to maintain physical distancing</w:t>
      </w:r>
    </w:p>
    <w:p w14:paraId="068B445B" w14:textId="77777777" w:rsidR="00911A33" w:rsidRPr="00725FF4" w:rsidRDefault="00176F5D" w:rsidP="000E3BB0">
      <w:pPr>
        <w:pStyle w:val="ListParagraph"/>
        <w:numPr>
          <w:ilvl w:val="0"/>
          <w:numId w:val="19"/>
        </w:numPr>
      </w:pPr>
      <w:r w:rsidRPr="00725FF4">
        <w:t>avoiding travelling during peak hours if possible</w:t>
      </w:r>
    </w:p>
    <w:p w14:paraId="27CA195F" w14:textId="77777777" w:rsidR="00911A33" w:rsidRPr="00725FF4" w:rsidRDefault="00176F5D" w:rsidP="000E3BB0">
      <w:pPr>
        <w:pStyle w:val="ListParagraph"/>
        <w:numPr>
          <w:ilvl w:val="0"/>
          <w:numId w:val="19"/>
        </w:numPr>
      </w:pPr>
      <w:r w:rsidRPr="00725FF4">
        <w:t>accessing local public transport websites to better understand their COVID-19 processes.</w:t>
      </w:r>
    </w:p>
    <w:p w14:paraId="10EADDCB" w14:textId="77777777" w:rsidR="00911A33" w:rsidRPr="00725FF4" w:rsidRDefault="00911A33" w:rsidP="00725FF4"/>
    <w:p w14:paraId="1D4B806D" w14:textId="68ABDC4D" w:rsidR="00911A33" w:rsidRPr="000334DF" w:rsidRDefault="000E3BB0" w:rsidP="00302CB1">
      <w:pPr>
        <w:pStyle w:val="Heading3"/>
        <w:ind w:left="0"/>
        <w:rPr>
          <w:sz w:val="28"/>
          <w:szCs w:val="28"/>
        </w:rPr>
      </w:pPr>
      <w:bookmarkStart w:id="72" w:name="_Toc46933744"/>
      <w:bookmarkStart w:id="73" w:name="_Toc46933924"/>
      <w:r w:rsidRPr="000334DF">
        <w:rPr>
          <w:sz w:val="28"/>
          <w:szCs w:val="28"/>
        </w:rPr>
        <w:t xml:space="preserve">3.3 </w:t>
      </w:r>
      <w:r w:rsidR="00176F5D" w:rsidRPr="000334DF">
        <w:rPr>
          <w:sz w:val="28"/>
          <w:szCs w:val="28"/>
        </w:rPr>
        <w:t>Settling back in to the ‘new normal’</w:t>
      </w:r>
      <w:bookmarkEnd w:id="72"/>
      <w:bookmarkEnd w:id="73"/>
    </w:p>
    <w:p w14:paraId="748A9A9B" w14:textId="77777777" w:rsidR="00911A33" w:rsidRPr="00725FF4" w:rsidRDefault="00911A33" w:rsidP="00725FF4"/>
    <w:p w14:paraId="2C012598" w14:textId="76F5092E" w:rsidR="00911A33" w:rsidRDefault="00176F5D" w:rsidP="00725FF4">
      <w:r w:rsidRPr="00725FF4">
        <w:t xml:space="preserve">Many people may experience difficulties settling back into their old routines. Dr Kimberly Norris, from the University of Tasmania, studies people returning home after months of relative isolation in Antarctica. Dr Norris </w:t>
      </w:r>
      <w:hyperlink r:id="rId21">
        <w:r w:rsidRPr="00725FF4">
          <w:rPr>
            <w:rStyle w:val="Hyperlink"/>
          </w:rPr>
          <w:t xml:space="preserve">found </w:t>
        </w:r>
      </w:hyperlink>
      <w:r w:rsidRPr="00725FF4">
        <w:t>that while people may at first be excited about the return to normality, this can be followed by an emotional crash. She likens it readjusting back to work or study after a holiday, only ‘dialled up to 100’</w:t>
      </w:r>
      <w:r w:rsidR="000E3BB0">
        <w:t>.</w:t>
      </w:r>
    </w:p>
    <w:p w14:paraId="316E2DBC" w14:textId="77777777" w:rsidR="00D178DA" w:rsidRDefault="00D178DA" w:rsidP="00725FF4"/>
    <w:p w14:paraId="0579B88F" w14:textId="44156A7B" w:rsidR="00911A33" w:rsidRDefault="00176F5D" w:rsidP="00725FF4">
      <w:bookmarkStart w:id="74" w:name="3.4_General_health_monitoring_"/>
      <w:bookmarkEnd w:id="74"/>
      <w:r w:rsidRPr="00725FF4">
        <w:t xml:space="preserve">Some people with disability </w:t>
      </w:r>
      <w:hyperlink r:id="rId22">
        <w:r w:rsidRPr="00725FF4">
          <w:rPr>
            <w:rStyle w:val="Hyperlink"/>
          </w:rPr>
          <w:t xml:space="preserve">may be particularly concerned </w:t>
        </w:r>
      </w:hyperlink>
      <w:r w:rsidRPr="00725FF4">
        <w:t>about returning to campus for work or study. For example, people with social anxiety may be anxious about interacting with others and attending gatherings, people with obsessive compulsive disorder can be concerned about the risk of infection in public spaces, and people on the autism spectrum can be distressed by the changes to rules and processes.</w:t>
      </w:r>
    </w:p>
    <w:p w14:paraId="04A2DC96" w14:textId="77777777" w:rsidR="00D178DA" w:rsidRPr="00725FF4" w:rsidRDefault="00D178DA" w:rsidP="00725FF4"/>
    <w:p w14:paraId="78907F3E" w14:textId="77777777" w:rsidR="00911A33" w:rsidRPr="000E3BB0" w:rsidRDefault="00176F5D" w:rsidP="00725FF4">
      <w:pPr>
        <w:rPr>
          <w:b/>
          <w:bCs/>
        </w:rPr>
      </w:pPr>
      <w:r w:rsidRPr="000E3BB0">
        <w:rPr>
          <w:b/>
          <w:bCs/>
        </w:rPr>
        <w:t>Recommendations</w:t>
      </w:r>
    </w:p>
    <w:p w14:paraId="5A6E58F8" w14:textId="77777777" w:rsidR="00911A33" w:rsidRPr="00725FF4" w:rsidRDefault="00911A33" w:rsidP="00725FF4"/>
    <w:p w14:paraId="56580E37" w14:textId="77777777" w:rsidR="00911A33" w:rsidRPr="00725FF4" w:rsidRDefault="00176F5D" w:rsidP="000E3BB0">
      <w:pPr>
        <w:pStyle w:val="ListParagraph"/>
        <w:numPr>
          <w:ilvl w:val="0"/>
          <w:numId w:val="20"/>
        </w:numPr>
      </w:pPr>
      <w:r w:rsidRPr="00725FF4">
        <w:t>Implement practical solutions, such as the ones outlined in the Guidelines, to help alleviate fears and anxieties for staff and students with disability.</w:t>
      </w:r>
    </w:p>
    <w:p w14:paraId="0B2631F2" w14:textId="77777777" w:rsidR="00911A33" w:rsidRPr="00725FF4" w:rsidRDefault="00176F5D" w:rsidP="000E3BB0">
      <w:pPr>
        <w:pStyle w:val="ListParagraph"/>
        <w:numPr>
          <w:ilvl w:val="0"/>
          <w:numId w:val="20"/>
        </w:numPr>
      </w:pPr>
      <w:r w:rsidRPr="00725FF4">
        <w:t>Provide ongoing check-ins and/or messages that take into account potential emotional crashes  a few weeks after return to campus. Include information on employee assistance programs and student counselling services.</w:t>
      </w:r>
    </w:p>
    <w:p w14:paraId="5356BBD9" w14:textId="77777777" w:rsidR="00911A33" w:rsidRPr="00725FF4" w:rsidRDefault="00176F5D" w:rsidP="000E3BB0">
      <w:pPr>
        <w:pStyle w:val="ListParagraph"/>
        <w:numPr>
          <w:ilvl w:val="0"/>
          <w:numId w:val="20"/>
        </w:numPr>
      </w:pPr>
      <w:r w:rsidRPr="00725FF4">
        <w:t>Provide information on return-to-campus matters. Make this available in an easy-to-find location on the website in accessible formats so staff and students have information without being overwhelmed with emails.</w:t>
      </w:r>
    </w:p>
    <w:p w14:paraId="417150BE" w14:textId="77777777" w:rsidR="00911A33" w:rsidRPr="00725FF4" w:rsidRDefault="00176F5D" w:rsidP="000E3BB0">
      <w:pPr>
        <w:pStyle w:val="ListParagraph"/>
        <w:numPr>
          <w:ilvl w:val="0"/>
          <w:numId w:val="20"/>
        </w:numPr>
      </w:pPr>
      <w:r w:rsidRPr="00725FF4">
        <w:t>Display posters with key information and the link to the return-to-campus webpage.</w:t>
      </w:r>
    </w:p>
    <w:p w14:paraId="56BD7A70" w14:textId="77777777" w:rsidR="00911A33" w:rsidRPr="00725FF4" w:rsidRDefault="00911A33" w:rsidP="00725FF4"/>
    <w:p w14:paraId="3E0EF846" w14:textId="740AF609" w:rsidR="00911A33" w:rsidRPr="000334DF" w:rsidRDefault="000E3BB0" w:rsidP="00302CB1">
      <w:pPr>
        <w:pStyle w:val="Heading3"/>
        <w:ind w:left="0"/>
        <w:rPr>
          <w:sz w:val="28"/>
          <w:szCs w:val="28"/>
        </w:rPr>
      </w:pPr>
      <w:bookmarkStart w:id="75" w:name="_Toc46933745"/>
      <w:bookmarkStart w:id="76" w:name="_Toc46933925"/>
      <w:r w:rsidRPr="000334DF">
        <w:rPr>
          <w:sz w:val="28"/>
          <w:szCs w:val="28"/>
        </w:rPr>
        <w:t xml:space="preserve">3.4 </w:t>
      </w:r>
      <w:r w:rsidR="00176F5D" w:rsidRPr="000334DF">
        <w:rPr>
          <w:sz w:val="28"/>
          <w:szCs w:val="28"/>
        </w:rPr>
        <w:t>General health monitoring</w:t>
      </w:r>
      <w:bookmarkEnd w:id="75"/>
      <w:bookmarkEnd w:id="76"/>
    </w:p>
    <w:p w14:paraId="5F576A3F" w14:textId="77777777" w:rsidR="00911A33" w:rsidRPr="00725FF4" w:rsidRDefault="00911A33" w:rsidP="00725FF4"/>
    <w:p w14:paraId="3793E467" w14:textId="77777777" w:rsidR="00911A33" w:rsidRPr="00725FF4" w:rsidRDefault="00176F5D" w:rsidP="00725FF4">
      <w:r w:rsidRPr="00725FF4">
        <w:t xml:space="preserve">Some institutions are considering or undertaking general health monitoring for people as they return to campus each day. </w:t>
      </w:r>
      <w:hyperlink r:id="rId23">
        <w:r w:rsidRPr="00725FF4">
          <w:rPr>
            <w:rStyle w:val="Hyperlink"/>
          </w:rPr>
          <w:t xml:space="preserve">Safe Work Australia </w:t>
        </w:r>
      </w:hyperlink>
      <w:r w:rsidRPr="00725FF4">
        <w:t xml:space="preserve">acknowledges the role of this in an integrated approach but also warns that people may have irregular temperatures for reasons unrelated to fevers. People with disability are more likely to be subject to some of the factors that </w:t>
      </w:r>
      <w:hyperlink r:id="rId24">
        <w:r w:rsidRPr="00725FF4">
          <w:rPr>
            <w:rStyle w:val="Hyperlink"/>
          </w:rPr>
          <w:t xml:space="preserve">have been found </w:t>
        </w:r>
      </w:hyperlink>
      <w:r w:rsidRPr="00725FF4">
        <w:t>to affect body temperature such as certain health conditions, and medications including some antidepressants, opioids, antihistamines and anticholinergics.</w:t>
      </w:r>
    </w:p>
    <w:p w14:paraId="3FAE2460" w14:textId="77777777" w:rsidR="00911A33" w:rsidRPr="00725FF4" w:rsidRDefault="00911A33" w:rsidP="00725FF4"/>
    <w:p w14:paraId="16B6525E" w14:textId="77777777" w:rsidR="00911A33" w:rsidRPr="00725FF4" w:rsidRDefault="00176F5D" w:rsidP="00725FF4">
      <w:r w:rsidRPr="00725FF4">
        <w:t>Considerations must be made for non-fever-related temperature irregularities in people with disability and/or who are taking certain prescription medications.</w:t>
      </w:r>
    </w:p>
    <w:p w14:paraId="6B828B4E" w14:textId="77777777" w:rsidR="00911A33" w:rsidRPr="00725FF4" w:rsidRDefault="00911A33" w:rsidP="00725FF4"/>
    <w:p w14:paraId="0A272128" w14:textId="77777777" w:rsidR="00911A33" w:rsidRPr="000E3BB0" w:rsidRDefault="00176F5D" w:rsidP="00725FF4">
      <w:pPr>
        <w:rPr>
          <w:b/>
          <w:bCs/>
        </w:rPr>
      </w:pPr>
      <w:r w:rsidRPr="000E3BB0">
        <w:rPr>
          <w:b/>
          <w:bCs/>
        </w:rPr>
        <w:t>Recommendations</w:t>
      </w:r>
    </w:p>
    <w:p w14:paraId="1A2FABB6" w14:textId="77777777" w:rsidR="00911A33" w:rsidRPr="00725FF4" w:rsidRDefault="00911A33" w:rsidP="00725FF4"/>
    <w:p w14:paraId="31DB3717" w14:textId="77777777" w:rsidR="00911A33" w:rsidRPr="00725FF4" w:rsidRDefault="00176F5D" w:rsidP="000E3BB0">
      <w:pPr>
        <w:pStyle w:val="ListParagraph"/>
        <w:numPr>
          <w:ilvl w:val="0"/>
          <w:numId w:val="21"/>
        </w:numPr>
      </w:pPr>
      <w:r w:rsidRPr="00725FF4">
        <w:t>Provide options for people who record irregular body temperatures to provide medical evidence that indicates the temperature variance is symptomatic of a condition and/or medication, rather than fever.</w:t>
      </w:r>
    </w:p>
    <w:p w14:paraId="41DD3C41" w14:textId="77777777" w:rsidR="00911A33" w:rsidRPr="00725FF4" w:rsidRDefault="00176F5D" w:rsidP="000E3BB0">
      <w:pPr>
        <w:pStyle w:val="ListParagraph"/>
        <w:numPr>
          <w:ilvl w:val="0"/>
          <w:numId w:val="21"/>
        </w:numPr>
      </w:pPr>
      <w:r w:rsidRPr="00725FF4">
        <w:t>Establish alternative campus entry processes for people with irregular body temperature so they do not need to explain their circumstances each time they arrive.</w:t>
      </w:r>
    </w:p>
    <w:p w14:paraId="5F5D6DB7" w14:textId="77777777" w:rsidR="00911A33" w:rsidRPr="00725FF4" w:rsidRDefault="00176F5D" w:rsidP="000E3BB0">
      <w:pPr>
        <w:pStyle w:val="ListParagraph"/>
        <w:numPr>
          <w:ilvl w:val="0"/>
          <w:numId w:val="21"/>
        </w:numPr>
      </w:pPr>
      <w:r w:rsidRPr="00725FF4">
        <w:t>Advise students, staff and support workers to stay home if experiencing any symptoms, even mild ones, such as fever, cough, sore throat, runny nose, chills or sweats, loss of sense of taste or smell, or general feelings of being unwell.</w:t>
      </w:r>
    </w:p>
    <w:p w14:paraId="5BBC1373" w14:textId="77777777" w:rsidR="00302CB1" w:rsidRDefault="00176F5D" w:rsidP="00725FF4">
      <w:pPr>
        <w:pStyle w:val="ListParagraph"/>
        <w:numPr>
          <w:ilvl w:val="0"/>
          <w:numId w:val="21"/>
        </w:numPr>
      </w:pPr>
      <w:r w:rsidRPr="00725FF4">
        <w:lastRenderedPageBreak/>
        <w:t>Provide reasonable adjustments to support staff and students who cannot physically attend campus and who need to work or study remotely because:</w:t>
      </w:r>
    </w:p>
    <w:p w14:paraId="0C866DD2" w14:textId="77777777" w:rsidR="00302CB1" w:rsidRDefault="00176F5D" w:rsidP="00302CB1">
      <w:pPr>
        <w:pStyle w:val="ListParagraph"/>
        <w:numPr>
          <w:ilvl w:val="1"/>
          <w:numId w:val="21"/>
        </w:numPr>
      </w:pPr>
      <w:r w:rsidRPr="00725FF4">
        <w:t>they are unwell</w:t>
      </w:r>
    </w:p>
    <w:p w14:paraId="425463A1" w14:textId="77777777" w:rsidR="00302CB1" w:rsidRDefault="00176F5D" w:rsidP="00725FF4">
      <w:pPr>
        <w:pStyle w:val="ListParagraph"/>
        <w:numPr>
          <w:ilvl w:val="1"/>
          <w:numId w:val="21"/>
        </w:numPr>
      </w:pPr>
      <w:r w:rsidRPr="00725FF4">
        <w:t>their support person is unwell</w:t>
      </w:r>
      <w:r w:rsidR="00302CB1">
        <w:t>.</w:t>
      </w:r>
    </w:p>
    <w:p w14:paraId="23296DF5" w14:textId="5B896E2C" w:rsidR="00911A33" w:rsidRPr="00725FF4" w:rsidRDefault="00176F5D" w:rsidP="00725FF4">
      <w:pPr>
        <w:pStyle w:val="ListParagraph"/>
        <w:numPr>
          <w:ilvl w:val="1"/>
          <w:numId w:val="21"/>
        </w:numPr>
      </w:pPr>
      <w:r w:rsidRPr="00725FF4">
        <w:t>or someone with disability for whom they have caring responsibilities for is unwell</w:t>
      </w:r>
      <w:r w:rsidR="008D0836" w:rsidRPr="00725FF4">
        <w:t>.</w:t>
      </w:r>
    </w:p>
    <w:p w14:paraId="076C0595" w14:textId="77777777" w:rsidR="00911A33" w:rsidRPr="00725FF4" w:rsidRDefault="00176F5D" w:rsidP="00302CB1">
      <w:pPr>
        <w:pStyle w:val="ListParagraph"/>
        <w:numPr>
          <w:ilvl w:val="0"/>
          <w:numId w:val="22"/>
        </w:numPr>
      </w:pPr>
      <w:r w:rsidRPr="00725FF4">
        <w:t>Ensure that staff and students are not penalised or unfairly disadvantaged if work or study from</w:t>
      </w:r>
    </w:p>
    <w:p w14:paraId="241D5FC7" w14:textId="77777777" w:rsidR="00302CB1" w:rsidRDefault="00176F5D" w:rsidP="00725FF4">
      <w:pPr>
        <w:pStyle w:val="ListParagraph"/>
        <w:numPr>
          <w:ilvl w:val="0"/>
          <w:numId w:val="22"/>
        </w:numPr>
      </w:pPr>
      <w:r w:rsidRPr="00725FF4">
        <w:t>home is not feasible, but nor are they able to be physically present on campus because:</w:t>
      </w:r>
    </w:p>
    <w:p w14:paraId="652D8F03" w14:textId="77777777" w:rsidR="00302CB1" w:rsidRDefault="00176F5D" w:rsidP="00725FF4">
      <w:pPr>
        <w:pStyle w:val="ListParagraph"/>
        <w:numPr>
          <w:ilvl w:val="1"/>
          <w:numId w:val="22"/>
        </w:numPr>
      </w:pPr>
      <w:r w:rsidRPr="00725FF4">
        <w:t>they are unwell</w:t>
      </w:r>
    </w:p>
    <w:p w14:paraId="274F78E4" w14:textId="77777777" w:rsidR="00302CB1" w:rsidRDefault="00176F5D" w:rsidP="00725FF4">
      <w:pPr>
        <w:pStyle w:val="ListParagraph"/>
        <w:numPr>
          <w:ilvl w:val="1"/>
          <w:numId w:val="22"/>
        </w:numPr>
      </w:pPr>
      <w:r w:rsidRPr="00725FF4">
        <w:t>their support worker is unwell</w:t>
      </w:r>
    </w:p>
    <w:p w14:paraId="71165557" w14:textId="6ADD613B" w:rsidR="00E87C0A" w:rsidRDefault="00176F5D" w:rsidP="00725FF4">
      <w:pPr>
        <w:pStyle w:val="ListParagraph"/>
        <w:numPr>
          <w:ilvl w:val="1"/>
          <w:numId w:val="22"/>
        </w:numPr>
      </w:pPr>
      <w:r w:rsidRPr="00725FF4">
        <w:t>or someone with disability for whom they care for is unwell.</w:t>
      </w:r>
    </w:p>
    <w:p w14:paraId="49E80FC4" w14:textId="77777777" w:rsidR="00D178DA" w:rsidRDefault="00D178DA" w:rsidP="00D178DA">
      <w:pPr>
        <w:pStyle w:val="ListParagraph"/>
        <w:ind w:left="1440" w:firstLine="0"/>
      </w:pPr>
    </w:p>
    <w:p w14:paraId="2BA6A0E9" w14:textId="6A88AC0D" w:rsidR="00911A33" w:rsidRPr="000334DF" w:rsidRDefault="00302CB1" w:rsidP="00302CB1">
      <w:pPr>
        <w:pStyle w:val="Heading3"/>
        <w:ind w:left="0"/>
        <w:rPr>
          <w:sz w:val="28"/>
          <w:szCs w:val="28"/>
        </w:rPr>
      </w:pPr>
      <w:bookmarkStart w:id="77" w:name="3.5_Emergency_evacuation_procedures_"/>
      <w:bookmarkStart w:id="78" w:name="3.6_Educating_others_"/>
      <w:bookmarkStart w:id="79" w:name="_Toc46933746"/>
      <w:bookmarkStart w:id="80" w:name="_Toc46933926"/>
      <w:bookmarkEnd w:id="77"/>
      <w:bookmarkEnd w:id="78"/>
      <w:r w:rsidRPr="000334DF">
        <w:rPr>
          <w:sz w:val="28"/>
          <w:szCs w:val="28"/>
        </w:rPr>
        <w:t xml:space="preserve">3.5 </w:t>
      </w:r>
      <w:r w:rsidR="00176F5D" w:rsidRPr="000334DF">
        <w:rPr>
          <w:sz w:val="28"/>
          <w:szCs w:val="28"/>
        </w:rPr>
        <w:t>Emergency evacuation procedures</w:t>
      </w:r>
      <w:bookmarkEnd w:id="79"/>
      <w:bookmarkEnd w:id="80"/>
    </w:p>
    <w:p w14:paraId="3277CE88" w14:textId="77777777" w:rsidR="00911A33" w:rsidRPr="00725FF4" w:rsidRDefault="00911A33" w:rsidP="00725FF4"/>
    <w:p w14:paraId="393B009D" w14:textId="29FAC013" w:rsidR="00911A33" w:rsidRPr="00725FF4" w:rsidRDefault="00176F5D" w:rsidP="00725FF4">
      <w:r w:rsidRPr="00725FF4">
        <w:t>Many institutions develop a Personal Emergency Evacuation Plan (PEEP) or equivalent for individual staff and students with disability to support their evacuation in emergency situations.</w:t>
      </w:r>
    </w:p>
    <w:p w14:paraId="27934C45" w14:textId="77777777" w:rsidR="00911A33" w:rsidRPr="00725FF4" w:rsidRDefault="00911A33" w:rsidP="00725FF4"/>
    <w:p w14:paraId="58E1C69C" w14:textId="77777777" w:rsidR="00911A33" w:rsidRPr="00725FF4" w:rsidRDefault="00176F5D" w:rsidP="00302CB1">
      <w:pPr>
        <w:pStyle w:val="ListParagraph"/>
        <w:numPr>
          <w:ilvl w:val="0"/>
          <w:numId w:val="23"/>
        </w:numPr>
      </w:pPr>
      <w:r w:rsidRPr="00725FF4">
        <w:t>People may have a PEEP for a variety of reasons including:</w:t>
      </w:r>
    </w:p>
    <w:p w14:paraId="688D3CD0" w14:textId="77777777" w:rsidR="00911A33" w:rsidRPr="00725FF4" w:rsidRDefault="00176F5D" w:rsidP="00302CB1">
      <w:pPr>
        <w:pStyle w:val="ListParagraph"/>
        <w:numPr>
          <w:ilvl w:val="0"/>
          <w:numId w:val="23"/>
        </w:numPr>
      </w:pPr>
      <w:r w:rsidRPr="00725FF4">
        <w:t>being blind or having a vision impairment</w:t>
      </w:r>
    </w:p>
    <w:p w14:paraId="0D62F838" w14:textId="77777777" w:rsidR="00911A33" w:rsidRPr="00725FF4" w:rsidRDefault="00176F5D" w:rsidP="00302CB1">
      <w:pPr>
        <w:pStyle w:val="ListParagraph"/>
        <w:numPr>
          <w:ilvl w:val="0"/>
          <w:numId w:val="23"/>
        </w:numPr>
      </w:pPr>
      <w:r w:rsidRPr="00725FF4">
        <w:t>being Deaf or hard of hearing</w:t>
      </w:r>
    </w:p>
    <w:p w14:paraId="28D92B1A" w14:textId="77777777" w:rsidR="00911A33" w:rsidRPr="00725FF4" w:rsidRDefault="00176F5D" w:rsidP="00302CB1">
      <w:pPr>
        <w:pStyle w:val="ListParagraph"/>
        <w:numPr>
          <w:ilvl w:val="0"/>
          <w:numId w:val="23"/>
        </w:numPr>
      </w:pPr>
      <w:r w:rsidRPr="00725FF4">
        <w:t>having mobility difficulties</w:t>
      </w:r>
    </w:p>
    <w:p w14:paraId="2E57451C" w14:textId="77777777" w:rsidR="00911A33" w:rsidRPr="00725FF4" w:rsidRDefault="00176F5D" w:rsidP="00302CB1">
      <w:pPr>
        <w:pStyle w:val="ListParagraph"/>
        <w:numPr>
          <w:ilvl w:val="0"/>
          <w:numId w:val="23"/>
        </w:numPr>
      </w:pPr>
      <w:r w:rsidRPr="00725FF4">
        <w:t>using a wheelchair</w:t>
      </w:r>
    </w:p>
    <w:p w14:paraId="650313A5" w14:textId="77777777" w:rsidR="00911A33" w:rsidRPr="00725FF4" w:rsidRDefault="00176F5D" w:rsidP="00302CB1">
      <w:pPr>
        <w:pStyle w:val="ListParagraph"/>
        <w:numPr>
          <w:ilvl w:val="0"/>
          <w:numId w:val="23"/>
        </w:numPr>
      </w:pPr>
      <w:r w:rsidRPr="00725FF4">
        <w:t>being prone to panic attacks or claustrophobia</w:t>
      </w:r>
    </w:p>
    <w:p w14:paraId="42157DED" w14:textId="77777777" w:rsidR="00911A33" w:rsidRPr="00725FF4" w:rsidRDefault="00176F5D" w:rsidP="00302CB1">
      <w:pPr>
        <w:pStyle w:val="ListParagraph"/>
        <w:numPr>
          <w:ilvl w:val="0"/>
          <w:numId w:val="23"/>
        </w:numPr>
      </w:pPr>
      <w:r w:rsidRPr="00725FF4">
        <w:t>having serious respiratory conditions.</w:t>
      </w:r>
    </w:p>
    <w:p w14:paraId="4D8CD6E5" w14:textId="77777777" w:rsidR="00911A33" w:rsidRPr="00725FF4" w:rsidRDefault="00911A33" w:rsidP="00725FF4"/>
    <w:p w14:paraId="2F1CFB50" w14:textId="77777777" w:rsidR="00911A33" w:rsidRPr="00725FF4" w:rsidRDefault="00176F5D" w:rsidP="00725FF4">
      <w:r w:rsidRPr="00725FF4">
        <w:t>The PEEP can include the provision for the person with disability to be contacted by,  or supported by    a colleague, manager, course coordinator or allocated buddy; however, the nominated support person may not necessarily be physically in attendance following the return to campus of the person with disability.</w:t>
      </w:r>
    </w:p>
    <w:p w14:paraId="05E20A07" w14:textId="77777777" w:rsidR="00911A33" w:rsidRPr="00725FF4" w:rsidRDefault="00911A33" w:rsidP="00725FF4"/>
    <w:p w14:paraId="4BA7597A" w14:textId="77777777" w:rsidR="00911A33" w:rsidRPr="00725FF4" w:rsidRDefault="00176F5D" w:rsidP="00725FF4">
      <w:r w:rsidRPr="00725FF4">
        <w:t>PEEPs can also include requirements for close proximity between people. For example, people who use wheelchairs require someone to wait with them in the stairwell until the arrival of emergency services personnel.</w:t>
      </w:r>
    </w:p>
    <w:p w14:paraId="6E207A3B" w14:textId="77777777" w:rsidR="00911A33" w:rsidRPr="00725FF4" w:rsidRDefault="00911A33" w:rsidP="00725FF4"/>
    <w:p w14:paraId="6EFE0C43" w14:textId="77777777" w:rsidR="00911A33" w:rsidRPr="00F53033" w:rsidRDefault="00176F5D" w:rsidP="00725FF4">
      <w:pPr>
        <w:rPr>
          <w:b/>
          <w:bCs/>
        </w:rPr>
      </w:pPr>
      <w:r w:rsidRPr="00F53033">
        <w:rPr>
          <w:b/>
          <w:bCs/>
        </w:rPr>
        <w:t>Recommendations</w:t>
      </w:r>
    </w:p>
    <w:p w14:paraId="232956A9" w14:textId="77777777" w:rsidR="00911A33" w:rsidRPr="00725FF4" w:rsidRDefault="00911A33" w:rsidP="00725FF4"/>
    <w:p w14:paraId="03EE4FAA" w14:textId="77777777" w:rsidR="00911A33" w:rsidRPr="00725FF4" w:rsidRDefault="00176F5D" w:rsidP="00F53033">
      <w:pPr>
        <w:pStyle w:val="ListParagraph"/>
        <w:numPr>
          <w:ilvl w:val="0"/>
          <w:numId w:val="24"/>
        </w:numPr>
      </w:pPr>
      <w:r w:rsidRPr="00725FF4">
        <w:t>Review and update the institution’s emergency plans after seeking the latest advice from relevant authorities on PEEPs and physical distancing.</w:t>
      </w:r>
    </w:p>
    <w:p w14:paraId="6872DE0F" w14:textId="77777777" w:rsidR="00911A33" w:rsidRPr="00725FF4" w:rsidRDefault="00176F5D" w:rsidP="00F53033">
      <w:pPr>
        <w:pStyle w:val="ListParagraph"/>
        <w:numPr>
          <w:ilvl w:val="0"/>
          <w:numId w:val="24"/>
        </w:numPr>
      </w:pPr>
      <w:r w:rsidRPr="00725FF4">
        <w:t>Provide information and/or training to fire wardens on revised procedures including PEEPs and assistance for staff and students with disability.</w:t>
      </w:r>
    </w:p>
    <w:p w14:paraId="19BDD339" w14:textId="77777777" w:rsidR="00911A33" w:rsidRPr="00725FF4" w:rsidRDefault="00176F5D" w:rsidP="00F53033">
      <w:pPr>
        <w:pStyle w:val="ListParagraph"/>
        <w:numPr>
          <w:ilvl w:val="0"/>
          <w:numId w:val="24"/>
        </w:numPr>
      </w:pPr>
      <w:r w:rsidRPr="00725FF4">
        <w:t>Provide information on any revised emergency evacuation procedures (e.g. disperse rather than assemble at evacuation points) in accessible formats such as Word documents, Easy English or posters.</w:t>
      </w:r>
    </w:p>
    <w:p w14:paraId="225CE928" w14:textId="77777777" w:rsidR="00911A33" w:rsidRPr="00725FF4" w:rsidRDefault="00176F5D" w:rsidP="00F53033">
      <w:pPr>
        <w:pStyle w:val="ListParagraph"/>
        <w:numPr>
          <w:ilvl w:val="0"/>
          <w:numId w:val="24"/>
        </w:numPr>
      </w:pPr>
      <w:r w:rsidRPr="00725FF4">
        <w:t>Contact staff and students with PEEPs to remind them they need to inform relevant personnel (i.e. fire wardens, asset services) upon their return to campus.</w:t>
      </w:r>
    </w:p>
    <w:p w14:paraId="239D1DFC" w14:textId="3E6B7077" w:rsidR="00911A33" w:rsidRPr="00725FF4" w:rsidRDefault="00176F5D" w:rsidP="00F53033">
      <w:pPr>
        <w:pStyle w:val="ListParagraph"/>
        <w:numPr>
          <w:ilvl w:val="0"/>
          <w:numId w:val="24"/>
        </w:numPr>
      </w:pPr>
      <w:r w:rsidRPr="00725FF4">
        <w:t>Review each PEEP as staff and students return to campus and update where required. This may include reallocation of ‘buddy’ roles.</w:t>
      </w:r>
    </w:p>
    <w:p w14:paraId="5D940843" w14:textId="77777777" w:rsidR="00911A33" w:rsidRPr="00725FF4" w:rsidRDefault="00911A33" w:rsidP="00725FF4"/>
    <w:p w14:paraId="130DE9A1" w14:textId="7538EB0B" w:rsidR="00911A33" w:rsidRPr="000334DF" w:rsidRDefault="00F53033" w:rsidP="00F53033">
      <w:pPr>
        <w:pStyle w:val="Heading3"/>
        <w:ind w:left="0"/>
        <w:rPr>
          <w:sz w:val="28"/>
          <w:szCs w:val="28"/>
        </w:rPr>
      </w:pPr>
      <w:bookmarkStart w:id="81" w:name="_Toc46933747"/>
      <w:bookmarkStart w:id="82" w:name="_Toc46933927"/>
      <w:r w:rsidRPr="000334DF">
        <w:rPr>
          <w:sz w:val="28"/>
          <w:szCs w:val="28"/>
        </w:rPr>
        <w:lastRenderedPageBreak/>
        <w:t xml:space="preserve">3.6 </w:t>
      </w:r>
      <w:r w:rsidR="00176F5D" w:rsidRPr="000334DF">
        <w:rPr>
          <w:sz w:val="28"/>
          <w:szCs w:val="28"/>
        </w:rPr>
        <w:t>Educating others</w:t>
      </w:r>
      <w:bookmarkEnd w:id="81"/>
      <w:bookmarkEnd w:id="82"/>
    </w:p>
    <w:p w14:paraId="17C87F8F" w14:textId="77777777" w:rsidR="00911A33" w:rsidRPr="00725FF4" w:rsidRDefault="00911A33" w:rsidP="00725FF4"/>
    <w:p w14:paraId="01D26207" w14:textId="77777777" w:rsidR="00911A33" w:rsidRPr="00725FF4" w:rsidRDefault="00176F5D" w:rsidP="00725FF4">
      <w:r w:rsidRPr="00725FF4">
        <w:t>Due to the nature of their disabilities, some staff or students may not be able to comply (or may only be able to partially comply) with procedures. This might include staff or students who are accompanied by support workers, or staff or students who are blind and may need to touch surfaces such as handrails, doors or wall to navigate the physical environment.</w:t>
      </w:r>
    </w:p>
    <w:p w14:paraId="7F07482F" w14:textId="77777777" w:rsidR="00911A33" w:rsidRPr="00725FF4" w:rsidRDefault="00911A33" w:rsidP="00725FF4"/>
    <w:p w14:paraId="55692245" w14:textId="77777777" w:rsidR="00911A33" w:rsidRPr="00725FF4" w:rsidRDefault="00176F5D" w:rsidP="00725FF4">
      <w:r w:rsidRPr="00725FF4">
        <w:t>It is important that staff and students who are not always able to fully comply with COVID-19 protocols due to disability are not discriminated against or treated unjustly.</w:t>
      </w:r>
    </w:p>
    <w:p w14:paraId="429C5433" w14:textId="77777777" w:rsidR="00E87C0A" w:rsidRPr="00725FF4" w:rsidRDefault="00E87C0A" w:rsidP="00725FF4"/>
    <w:p w14:paraId="7047AD9B" w14:textId="77777777" w:rsidR="00911A33" w:rsidRPr="00F53033" w:rsidRDefault="00176F5D" w:rsidP="00725FF4">
      <w:pPr>
        <w:rPr>
          <w:b/>
          <w:bCs/>
        </w:rPr>
      </w:pPr>
      <w:r w:rsidRPr="00F53033">
        <w:rPr>
          <w:b/>
          <w:bCs/>
        </w:rPr>
        <w:t>Recommendations</w:t>
      </w:r>
    </w:p>
    <w:p w14:paraId="08DBFC49" w14:textId="77777777" w:rsidR="00911A33" w:rsidRPr="00F53033" w:rsidRDefault="00911A33" w:rsidP="00725FF4">
      <w:pPr>
        <w:rPr>
          <w:b/>
          <w:bCs/>
        </w:rPr>
      </w:pPr>
    </w:p>
    <w:p w14:paraId="7A6A426D" w14:textId="2FB5EBC2" w:rsidR="00911A33" w:rsidRDefault="00176F5D" w:rsidP="00F53033">
      <w:pPr>
        <w:pStyle w:val="ListParagraph"/>
        <w:numPr>
          <w:ilvl w:val="0"/>
          <w:numId w:val="25"/>
        </w:numPr>
      </w:pPr>
      <w:r w:rsidRPr="00725FF4">
        <w:t>Educate other staff and students to increase awareness and understanding of some people’s limited capacities to comply with procedures due to disability.</w:t>
      </w:r>
    </w:p>
    <w:p w14:paraId="6B318F3E" w14:textId="77777777" w:rsidR="00F53033" w:rsidRDefault="00F53033" w:rsidP="00725FF4">
      <w:bookmarkStart w:id="83" w:name="4._Hygiene_and_prevention_protocols"/>
      <w:bookmarkStart w:id="84" w:name="4.1_Physical_distancing_"/>
      <w:bookmarkEnd w:id="83"/>
      <w:bookmarkEnd w:id="84"/>
    </w:p>
    <w:p w14:paraId="1A8E4032" w14:textId="6A82E60B" w:rsidR="00911A33" w:rsidRPr="000334DF" w:rsidRDefault="00F53033" w:rsidP="00F53033">
      <w:pPr>
        <w:pStyle w:val="Heading2"/>
        <w:ind w:left="0" w:firstLine="0"/>
        <w:rPr>
          <w:sz w:val="32"/>
          <w:szCs w:val="32"/>
        </w:rPr>
      </w:pPr>
      <w:bookmarkStart w:id="85" w:name="_Toc46933748"/>
      <w:bookmarkStart w:id="86" w:name="_Toc46933928"/>
      <w:r w:rsidRPr="000334DF">
        <w:rPr>
          <w:sz w:val="32"/>
          <w:szCs w:val="32"/>
        </w:rPr>
        <w:t xml:space="preserve">4. </w:t>
      </w:r>
      <w:r w:rsidR="00176F5D" w:rsidRPr="000334DF">
        <w:rPr>
          <w:sz w:val="32"/>
          <w:szCs w:val="32"/>
        </w:rPr>
        <w:t>HYGIENE AND PREVENTION PROTOCOLS</w:t>
      </w:r>
      <w:bookmarkEnd w:id="85"/>
      <w:bookmarkEnd w:id="86"/>
    </w:p>
    <w:p w14:paraId="5E417576" w14:textId="77777777" w:rsidR="00911A33" w:rsidRPr="00725FF4" w:rsidRDefault="00176F5D" w:rsidP="00725FF4">
      <w:r w:rsidRPr="00725FF4">
        <w:t>This section includes considerations for staff and students with specific disability types; however, each person’s experience of disability can vary within disability type. It is important that staff and students with disability are consulted so that the impact of their experience of their disability is taken into account in any determinations and decisions regarding their return to campus.</w:t>
      </w:r>
    </w:p>
    <w:p w14:paraId="1D7FF311" w14:textId="77777777" w:rsidR="00911A33" w:rsidRPr="00725FF4" w:rsidRDefault="00911A33" w:rsidP="00725FF4"/>
    <w:p w14:paraId="509C8E25" w14:textId="49E5D931" w:rsidR="00911A33" w:rsidRPr="000334DF" w:rsidRDefault="00F53033" w:rsidP="00F53033">
      <w:pPr>
        <w:pStyle w:val="Heading3"/>
        <w:ind w:left="0"/>
        <w:rPr>
          <w:sz w:val="28"/>
          <w:szCs w:val="28"/>
        </w:rPr>
      </w:pPr>
      <w:bookmarkStart w:id="87" w:name="_Toc46933749"/>
      <w:bookmarkStart w:id="88" w:name="_Toc46933929"/>
      <w:r w:rsidRPr="000334DF">
        <w:rPr>
          <w:sz w:val="28"/>
          <w:szCs w:val="28"/>
        </w:rPr>
        <w:t xml:space="preserve">4.1 </w:t>
      </w:r>
      <w:r w:rsidR="00176F5D" w:rsidRPr="000334DF">
        <w:rPr>
          <w:sz w:val="28"/>
          <w:szCs w:val="28"/>
        </w:rPr>
        <w:t>Physical distancing</w:t>
      </w:r>
      <w:bookmarkEnd w:id="87"/>
      <w:bookmarkEnd w:id="88"/>
    </w:p>
    <w:p w14:paraId="2105F969" w14:textId="77777777" w:rsidR="00911A33" w:rsidRPr="00725FF4" w:rsidRDefault="00911A33" w:rsidP="00725FF4"/>
    <w:p w14:paraId="7D3DEE0F" w14:textId="77777777" w:rsidR="00911A33" w:rsidRPr="00725FF4" w:rsidRDefault="00176F5D" w:rsidP="00725FF4">
      <w:r w:rsidRPr="00725FF4">
        <w:t>The current Australian Government advice is that people must maintain a distance of 1.5 metres from others and allow for 4 square metres per person in enclosed spaces in order to reduce the risk of transmission of COVID-19.</w:t>
      </w:r>
    </w:p>
    <w:p w14:paraId="4BE2A923" w14:textId="77777777" w:rsidR="00911A33" w:rsidRPr="00725FF4" w:rsidRDefault="00911A33" w:rsidP="00725FF4"/>
    <w:p w14:paraId="517F8EF0" w14:textId="77777777" w:rsidR="00911A33" w:rsidRPr="00725FF4" w:rsidRDefault="00176F5D" w:rsidP="00725FF4">
      <w:r w:rsidRPr="00725FF4">
        <w:t>Measures have been implemented to promote physical distancing around campuses, including:</w:t>
      </w:r>
    </w:p>
    <w:p w14:paraId="259B6442" w14:textId="77777777" w:rsidR="00911A33" w:rsidRPr="00725FF4" w:rsidRDefault="00911A33" w:rsidP="00725FF4"/>
    <w:p w14:paraId="5561EE00" w14:textId="77777777" w:rsidR="00911A33" w:rsidRPr="00725FF4" w:rsidRDefault="00176F5D" w:rsidP="00F53033">
      <w:pPr>
        <w:pStyle w:val="ListParagraph"/>
        <w:numPr>
          <w:ilvl w:val="0"/>
          <w:numId w:val="25"/>
        </w:numPr>
      </w:pPr>
      <w:r w:rsidRPr="00725FF4">
        <w:t>reconfiguring enclosed spaces such as lecture halls, classrooms, offices</w:t>
      </w:r>
    </w:p>
    <w:p w14:paraId="28F44E6B" w14:textId="77777777" w:rsidR="00911A33" w:rsidRPr="00725FF4" w:rsidRDefault="00176F5D" w:rsidP="00F53033">
      <w:pPr>
        <w:pStyle w:val="ListParagraph"/>
        <w:numPr>
          <w:ilvl w:val="0"/>
          <w:numId w:val="25"/>
        </w:numPr>
      </w:pPr>
      <w:r w:rsidRPr="00725FF4">
        <w:t>limiting the number of people that can be in an enclosed space to allow 4 square metres per person</w:t>
      </w:r>
    </w:p>
    <w:p w14:paraId="3F711F3C" w14:textId="77777777" w:rsidR="00911A33" w:rsidRPr="00725FF4" w:rsidRDefault="00176F5D" w:rsidP="00F53033">
      <w:pPr>
        <w:pStyle w:val="ListParagraph"/>
        <w:numPr>
          <w:ilvl w:val="0"/>
          <w:numId w:val="25"/>
        </w:numPr>
      </w:pPr>
      <w:r w:rsidRPr="00725FF4">
        <w:t>placing markers on floors indicating distancing of 1.5 metres</w:t>
      </w:r>
    </w:p>
    <w:p w14:paraId="71C81BC2" w14:textId="77777777" w:rsidR="00911A33" w:rsidRPr="00725FF4" w:rsidRDefault="00176F5D" w:rsidP="00F53033">
      <w:pPr>
        <w:pStyle w:val="ListParagraph"/>
        <w:numPr>
          <w:ilvl w:val="0"/>
          <w:numId w:val="25"/>
        </w:numPr>
      </w:pPr>
      <w:r w:rsidRPr="00725FF4">
        <w:t>placing arrows on floors and walls to indicate directional flow and prevent crowding</w:t>
      </w:r>
    </w:p>
    <w:p w14:paraId="24DDCEF3" w14:textId="77777777" w:rsidR="00911A33" w:rsidRPr="00725FF4" w:rsidRDefault="00176F5D" w:rsidP="00F53033">
      <w:pPr>
        <w:pStyle w:val="ListParagraph"/>
        <w:numPr>
          <w:ilvl w:val="0"/>
          <w:numId w:val="25"/>
        </w:numPr>
      </w:pPr>
      <w:r w:rsidRPr="00725FF4">
        <w:t>allowing people to work or study from home when possible.</w:t>
      </w:r>
    </w:p>
    <w:p w14:paraId="6C590249" w14:textId="77777777" w:rsidR="00911A33" w:rsidRPr="00725FF4" w:rsidRDefault="00911A33" w:rsidP="00725FF4"/>
    <w:p w14:paraId="2DB9ABB3" w14:textId="77777777" w:rsidR="00911A33" w:rsidRPr="00725FF4" w:rsidRDefault="00176F5D" w:rsidP="00725FF4">
      <w:r w:rsidRPr="00725FF4">
        <w:t>These measures may have to be adapted for staff and students with disability. For example:</w:t>
      </w:r>
    </w:p>
    <w:p w14:paraId="46FCAB33" w14:textId="77777777" w:rsidR="00911A33" w:rsidRPr="00725FF4" w:rsidRDefault="00911A33" w:rsidP="00725FF4"/>
    <w:p w14:paraId="66408DB4" w14:textId="77777777" w:rsidR="00911A33" w:rsidRPr="00725FF4" w:rsidRDefault="00176F5D" w:rsidP="00F53033">
      <w:pPr>
        <w:pStyle w:val="ListParagraph"/>
        <w:numPr>
          <w:ilvl w:val="0"/>
          <w:numId w:val="26"/>
        </w:numPr>
      </w:pPr>
      <w:r w:rsidRPr="00725FF4">
        <w:t>People using wheelchairs or other assistive devices must be able to safely manoeuvre around rooms or areas that have been reconfigured. For instance, if furniture has been rearranged, care must be taken to ensure the relocation of these items will not hinder wheelchair users.</w:t>
      </w:r>
    </w:p>
    <w:p w14:paraId="55892BD9" w14:textId="77777777" w:rsidR="00911A33" w:rsidRPr="00725FF4" w:rsidRDefault="00176F5D" w:rsidP="00F53033">
      <w:pPr>
        <w:pStyle w:val="ListParagraph"/>
        <w:numPr>
          <w:ilvl w:val="0"/>
          <w:numId w:val="26"/>
        </w:numPr>
      </w:pPr>
      <w:r w:rsidRPr="00725FF4">
        <w:t>Some people with disability are assisted by support workers, participation assistants or service animals. People or animals in these support roles do not need to be physically distanced from the person with disability.</w:t>
      </w:r>
    </w:p>
    <w:p w14:paraId="0A640E89" w14:textId="77777777" w:rsidR="00911A33" w:rsidRPr="00725FF4" w:rsidRDefault="00176F5D" w:rsidP="00F53033">
      <w:pPr>
        <w:pStyle w:val="ListParagraph"/>
        <w:numPr>
          <w:ilvl w:val="0"/>
          <w:numId w:val="26"/>
        </w:numPr>
      </w:pPr>
      <w:r w:rsidRPr="00725FF4">
        <w:t>People with disability who have a support person, participation assistant or service animal will need to be accompanied by that person or animal, including in spaces with capacity limits.</w:t>
      </w:r>
    </w:p>
    <w:p w14:paraId="3B8E440F" w14:textId="77777777" w:rsidR="00911A33" w:rsidRPr="00725FF4" w:rsidRDefault="00176F5D" w:rsidP="00F53033">
      <w:pPr>
        <w:pStyle w:val="ListParagraph"/>
        <w:numPr>
          <w:ilvl w:val="0"/>
          <w:numId w:val="26"/>
        </w:numPr>
      </w:pPr>
      <w:r w:rsidRPr="00725FF4">
        <w:lastRenderedPageBreak/>
        <w:t>People who are blind or have low vision may not be able to see floor markers, directional flow indicators or other signage related to physical distancing.</w:t>
      </w:r>
    </w:p>
    <w:p w14:paraId="5BD5C652" w14:textId="77777777" w:rsidR="00911A33" w:rsidRPr="00725FF4" w:rsidRDefault="00911A33" w:rsidP="00725FF4"/>
    <w:p w14:paraId="33260D95" w14:textId="77777777" w:rsidR="00911A33" w:rsidRPr="00F53033" w:rsidRDefault="00176F5D" w:rsidP="00725FF4">
      <w:pPr>
        <w:rPr>
          <w:b/>
          <w:bCs/>
        </w:rPr>
      </w:pPr>
      <w:r w:rsidRPr="00F53033">
        <w:rPr>
          <w:b/>
          <w:bCs/>
        </w:rPr>
        <w:t>Recommendations</w:t>
      </w:r>
    </w:p>
    <w:p w14:paraId="55E3E625" w14:textId="77777777" w:rsidR="00911A33" w:rsidRPr="00725FF4" w:rsidRDefault="00911A33" w:rsidP="00725FF4"/>
    <w:p w14:paraId="2300EB31" w14:textId="77777777" w:rsidR="00911A33" w:rsidRPr="00725FF4" w:rsidRDefault="00176F5D" w:rsidP="00F53033">
      <w:pPr>
        <w:pStyle w:val="ListParagraph"/>
        <w:numPr>
          <w:ilvl w:val="0"/>
          <w:numId w:val="27"/>
        </w:numPr>
      </w:pPr>
      <w:r w:rsidRPr="00725FF4">
        <w:t>Consider the need for people with disability to be accompanied by their support workers, participation assistants and animals when determining the number of people allowed in an enclosed space, especially lifts.</w:t>
      </w:r>
    </w:p>
    <w:p w14:paraId="754B70CB" w14:textId="77777777" w:rsidR="00911A33" w:rsidRPr="00725FF4" w:rsidRDefault="00176F5D" w:rsidP="00F53033">
      <w:pPr>
        <w:pStyle w:val="ListParagraph"/>
        <w:numPr>
          <w:ilvl w:val="0"/>
          <w:numId w:val="27"/>
        </w:numPr>
      </w:pPr>
      <w:r w:rsidRPr="00725FF4">
        <w:t>Display posters that educate others on campus about physical distancing arrangements between people with disability and their support workers or participation assistants.</w:t>
      </w:r>
    </w:p>
    <w:p w14:paraId="6A330C36" w14:textId="77777777" w:rsidR="00911A33" w:rsidRPr="00725FF4" w:rsidRDefault="00176F5D" w:rsidP="00F53033">
      <w:pPr>
        <w:pStyle w:val="ListParagraph"/>
        <w:numPr>
          <w:ilvl w:val="0"/>
          <w:numId w:val="27"/>
        </w:numPr>
      </w:pPr>
      <w:r w:rsidRPr="00725FF4">
        <w:t>Educate the general staff and student population about how they might assist fellow staff and students with disability to navigate around campus.</w:t>
      </w:r>
    </w:p>
    <w:p w14:paraId="4368662F" w14:textId="13BCFA62" w:rsidR="00911A33" w:rsidRPr="00725FF4" w:rsidRDefault="00176F5D" w:rsidP="00F53033">
      <w:pPr>
        <w:pStyle w:val="ListParagraph"/>
        <w:numPr>
          <w:ilvl w:val="0"/>
          <w:numId w:val="27"/>
        </w:numPr>
      </w:pPr>
      <w:r w:rsidRPr="00725FF4">
        <w:t>Consider establishing a program, as some intuitions are, that engages students to serve as COVID-19 ‘ambassadors’ or ‘champions’ to provide COVID-19 – related assistance to anyone on campus.</w:t>
      </w:r>
    </w:p>
    <w:p w14:paraId="434203AD" w14:textId="77777777" w:rsidR="00911A33" w:rsidRPr="00725FF4" w:rsidRDefault="00911A33" w:rsidP="00725FF4"/>
    <w:p w14:paraId="5693D55E" w14:textId="380553D9" w:rsidR="00911A33" w:rsidRPr="000334DF" w:rsidRDefault="00F53033" w:rsidP="00F53033">
      <w:pPr>
        <w:pStyle w:val="Heading2"/>
        <w:ind w:left="0" w:firstLine="0"/>
        <w:rPr>
          <w:sz w:val="32"/>
          <w:szCs w:val="32"/>
        </w:rPr>
      </w:pPr>
      <w:bookmarkStart w:id="89" w:name="4.2_Shared_areas:_general_cleaning_and_d"/>
      <w:bookmarkStart w:id="90" w:name="Ensure_cleaning_materials_(e.g._disinfec"/>
      <w:bookmarkStart w:id="91" w:name="4.3_Hand_hygiene"/>
      <w:bookmarkStart w:id="92" w:name="_Toc46933750"/>
      <w:bookmarkStart w:id="93" w:name="_Toc46933930"/>
      <w:bookmarkEnd w:id="89"/>
      <w:bookmarkEnd w:id="90"/>
      <w:bookmarkEnd w:id="91"/>
      <w:r w:rsidRPr="000334DF">
        <w:rPr>
          <w:sz w:val="32"/>
          <w:szCs w:val="32"/>
        </w:rPr>
        <w:t xml:space="preserve">4.2 </w:t>
      </w:r>
      <w:r w:rsidR="00176F5D" w:rsidRPr="000334DF">
        <w:rPr>
          <w:sz w:val="32"/>
          <w:szCs w:val="32"/>
        </w:rPr>
        <w:t>Shared areas: general cleaning and disinfecting protocols</w:t>
      </w:r>
      <w:bookmarkEnd w:id="92"/>
      <w:bookmarkEnd w:id="93"/>
    </w:p>
    <w:p w14:paraId="006D68F8" w14:textId="77777777" w:rsidR="00911A33" w:rsidRPr="00725FF4" w:rsidRDefault="00911A33" w:rsidP="00725FF4"/>
    <w:p w14:paraId="0060A234" w14:textId="77777777" w:rsidR="00911A33" w:rsidRPr="00725FF4" w:rsidRDefault="00176F5D" w:rsidP="00725FF4">
      <w:r w:rsidRPr="00725FF4">
        <w:t>The COVID-19 virus can remain on surfaces for many hours but is easily inactivated by cleaning and disinfection.</w:t>
      </w:r>
    </w:p>
    <w:p w14:paraId="163B4989" w14:textId="77777777" w:rsidR="00911A33" w:rsidRPr="00725FF4" w:rsidRDefault="00911A33" w:rsidP="00725FF4"/>
    <w:p w14:paraId="7B80C4EC" w14:textId="77777777" w:rsidR="00911A33" w:rsidRPr="00725FF4" w:rsidRDefault="00176F5D" w:rsidP="00725FF4">
      <w:r w:rsidRPr="00725FF4">
        <w:t>Most workplaces and tertiary institutions have increased the frequency and intensity of environmental cleanings and disinfections. High-touch surfaces such as door handles, lift buttons, handrails and light switches, as well as shared equipment, are a focus of these enhanced standards.</w:t>
      </w:r>
    </w:p>
    <w:p w14:paraId="160F965C" w14:textId="77777777" w:rsidR="00911A33" w:rsidRPr="00725FF4" w:rsidRDefault="00911A33" w:rsidP="00725FF4"/>
    <w:p w14:paraId="6F080E60" w14:textId="77777777" w:rsidR="00911A33" w:rsidRPr="00725FF4" w:rsidRDefault="00176F5D" w:rsidP="00725FF4">
      <w:r w:rsidRPr="00725FF4">
        <w:t>To complement the services provided by cleaning personnel, staff and students can be provided with products such as disinfectant wipes to further clean their own environments, workstations, desks and shared spaces or equipment.</w:t>
      </w:r>
    </w:p>
    <w:p w14:paraId="231C799B" w14:textId="77777777" w:rsidR="00911A33" w:rsidRPr="00725FF4" w:rsidRDefault="00911A33" w:rsidP="00725FF4"/>
    <w:p w14:paraId="1671E52F" w14:textId="77777777" w:rsidR="00911A33" w:rsidRPr="00725FF4" w:rsidRDefault="00176F5D" w:rsidP="00725FF4">
      <w:r w:rsidRPr="00725FF4">
        <w:t>While the general principles of cleaning and disinfecting do not change with regards to people with disability, there are some factors that need special consideration.</w:t>
      </w:r>
    </w:p>
    <w:p w14:paraId="2A72068E" w14:textId="77777777" w:rsidR="00911A33" w:rsidRPr="00725FF4" w:rsidRDefault="00911A33" w:rsidP="00725FF4"/>
    <w:p w14:paraId="73723E30" w14:textId="77777777" w:rsidR="00911A33" w:rsidRPr="00F53033" w:rsidRDefault="00176F5D" w:rsidP="00725FF4">
      <w:pPr>
        <w:rPr>
          <w:b/>
          <w:bCs/>
        </w:rPr>
      </w:pPr>
      <w:r w:rsidRPr="00F53033">
        <w:rPr>
          <w:b/>
          <w:bCs/>
        </w:rPr>
        <w:t>Recommendations</w:t>
      </w:r>
    </w:p>
    <w:p w14:paraId="00C8B805" w14:textId="77777777" w:rsidR="00911A33" w:rsidRPr="00725FF4" w:rsidRDefault="00911A33" w:rsidP="00725FF4"/>
    <w:p w14:paraId="2F483F9B" w14:textId="77777777" w:rsidR="00911A33" w:rsidRPr="00725FF4" w:rsidRDefault="00176F5D" w:rsidP="00F53033">
      <w:pPr>
        <w:pStyle w:val="ListParagraph"/>
        <w:numPr>
          <w:ilvl w:val="0"/>
          <w:numId w:val="28"/>
        </w:numPr>
      </w:pPr>
      <w:r w:rsidRPr="00725FF4">
        <w:t>Ensure all staff, students and support workers who use assistive devices with high-touch surfaces are aware that these need to be cleaned and disinfected frequently. Provide disinfectant wipes for this purpose.</w:t>
      </w:r>
    </w:p>
    <w:p w14:paraId="01BCE219" w14:textId="77777777" w:rsidR="00911A33" w:rsidRPr="00725FF4" w:rsidRDefault="00176F5D" w:rsidP="00F53033">
      <w:pPr>
        <w:pStyle w:val="ListParagraph"/>
        <w:numPr>
          <w:ilvl w:val="0"/>
          <w:numId w:val="28"/>
        </w:numPr>
      </w:pPr>
      <w:r w:rsidRPr="00725FF4">
        <w:t>Establish cleaning protocols to ensure that any assistive devices provided by the institution (such as scooters, hoists or wheelchairs) are cleaned and disinfected between each use.</w:t>
      </w:r>
    </w:p>
    <w:p w14:paraId="463A8E52" w14:textId="77777777" w:rsidR="00911A33" w:rsidRPr="00725FF4" w:rsidRDefault="00176F5D" w:rsidP="00F53033">
      <w:pPr>
        <w:pStyle w:val="ListParagraph"/>
        <w:numPr>
          <w:ilvl w:val="0"/>
          <w:numId w:val="28"/>
        </w:numPr>
      </w:pPr>
      <w:r w:rsidRPr="00725FF4">
        <w:t>Ensure cleaning materials (e.g. disinfectant wipes) are available and accessible to all for areas in buildings or departments that require staff and/or students to undertake cleaning and disinfecting tasks between uses, such as shared kitchens, common areas and laboratories.</w:t>
      </w:r>
    </w:p>
    <w:p w14:paraId="7CBA4B8B" w14:textId="77777777" w:rsidR="00911A33" w:rsidRPr="00725FF4" w:rsidRDefault="00911A33" w:rsidP="00725FF4"/>
    <w:p w14:paraId="11F11786" w14:textId="08D4DE4D" w:rsidR="00911A33" w:rsidRPr="000334DF" w:rsidRDefault="00F53033" w:rsidP="00F53033">
      <w:pPr>
        <w:pStyle w:val="Heading3"/>
        <w:ind w:left="0"/>
        <w:rPr>
          <w:sz w:val="28"/>
          <w:szCs w:val="28"/>
        </w:rPr>
      </w:pPr>
      <w:bookmarkStart w:id="94" w:name="_Toc46933751"/>
      <w:bookmarkStart w:id="95" w:name="_Toc46933931"/>
      <w:r w:rsidRPr="000334DF">
        <w:rPr>
          <w:sz w:val="28"/>
          <w:szCs w:val="28"/>
        </w:rPr>
        <w:t xml:space="preserve">4.3 </w:t>
      </w:r>
      <w:r w:rsidR="00176F5D" w:rsidRPr="000334DF">
        <w:rPr>
          <w:sz w:val="28"/>
          <w:szCs w:val="28"/>
        </w:rPr>
        <w:t>Hand hygiene</w:t>
      </w:r>
      <w:bookmarkEnd w:id="94"/>
      <w:bookmarkEnd w:id="95"/>
    </w:p>
    <w:p w14:paraId="69202540" w14:textId="77777777" w:rsidR="00911A33" w:rsidRPr="00725FF4" w:rsidRDefault="00911A33" w:rsidP="00725FF4"/>
    <w:p w14:paraId="11420396" w14:textId="77777777" w:rsidR="00911A33" w:rsidRPr="00725FF4" w:rsidRDefault="00176F5D" w:rsidP="00725FF4">
      <w:r w:rsidRPr="00725FF4">
        <w:t xml:space="preserve">Hand hygiene is one of the most effective ways to prevent the spread of the highly contagious COVID-19 virus. Effective hand hygiene means washing hands with soap and water for at least 20 seconds or using </w:t>
      </w:r>
      <w:r w:rsidRPr="00725FF4">
        <w:lastRenderedPageBreak/>
        <w:t>an alcohol-based hand sanitiser.</w:t>
      </w:r>
    </w:p>
    <w:p w14:paraId="2C904438" w14:textId="77777777" w:rsidR="00911A33" w:rsidRPr="00725FF4" w:rsidRDefault="00911A33" w:rsidP="00725FF4"/>
    <w:p w14:paraId="3595F10F" w14:textId="77777777" w:rsidR="00911A33" w:rsidRPr="00F53033" w:rsidRDefault="00176F5D" w:rsidP="00725FF4">
      <w:pPr>
        <w:rPr>
          <w:b/>
          <w:bCs/>
        </w:rPr>
      </w:pPr>
      <w:r w:rsidRPr="00F53033">
        <w:rPr>
          <w:b/>
          <w:bCs/>
        </w:rPr>
        <w:t>Recommendations</w:t>
      </w:r>
    </w:p>
    <w:p w14:paraId="544DA8AF" w14:textId="77777777" w:rsidR="00911A33" w:rsidRPr="00725FF4" w:rsidRDefault="00911A33" w:rsidP="00725FF4"/>
    <w:p w14:paraId="424D326B" w14:textId="77777777" w:rsidR="00911A33" w:rsidRPr="00725FF4" w:rsidRDefault="00176F5D" w:rsidP="00F53033">
      <w:pPr>
        <w:pStyle w:val="ListParagraph"/>
        <w:numPr>
          <w:ilvl w:val="0"/>
          <w:numId w:val="29"/>
        </w:numPr>
      </w:pPr>
      <w:r w:rsidRPr="00725FF4">
        <w:t>Place hand-sanitising stations at a height, and in a location, where students or staff in wheelchairs, or those with short stature, can access them.</w:t>
      </w:r>
    </w:p>
    <w:p w14:paraId="2693FB7A" w14:textId="77777777" w:rsidR="00911A33" w:rsidRPr="00725FF4" w:rsidRDefault="00176F5D" w:rsidP="00F53033">
      <w:pPr>
        <w:pStyle w:val="ListParagraph"/>
        <w:numPr>
          <w:ilvl w:val="0"/>
          <w:numId w:val="29"/>
        </w:numPr>
      </w:pPr>
      <w:r w:rsidRPr="00725FF4">
        <w:t>Place hand soap dispensers at easily accessible heights and locations.</w:t>
      </w:r>
    </w:p>
    <w:p w14:paraId="16235189" w14:textId="77777777" w:rsidR="00911A33" w:rsidRPr="00725FF4" w:rsidRDefault="00176F5D" w:rsidP="00F53033">
      <w:pPr>
        <w:pStyle w:val="ListParagraph"/>
        <w:numPr>
          <w:ilvl w:val="0"/>
          <w:numId w:val="29"/>
        </w:numPr>
      </w:pPr>
      <w:r w:rsidRPr="00725FF4">
        <w:t>Install automatic, contactless hand-sanitiser dispensers wherever possible for people with limited hand or finger dexterity who cannot use sanitisers with hand pumps.</w:t>
      </w:r>
    </w:p>
    <w:p w14:paraId="63FBC2EB" w14:textId="4C5C940B" w:rsidR="00911A33" w:rsidRPr="00725FF4" w:rsidRDefault="00176F5D" w:rsidP="00F53033">
      <w:pPr>
        <w:pStyle w:val="ListParagraph"/>
        <w:numPr>
          <w:ilvl w:val="0"/>
          <w:numId w:val="29"/>
        </w:numPr>
      </w:pPr>
      <w:r w:rsidRPr="00725FF4">
        <w:t>Provide small bottles of hand sanitiser that people can carry with them, or encourage people to supply their own.</w:t>
      </w:r>
    </w:p>
    <w:p w14:paraId="4C719C85" w14:textId="3B77CB61" w:rsidR="00911A33" w:rsidRDefault="00176F5D" w:rsidP="00F53033">
      <w:pPr>
        <w:pStyle w:val="ListParagraph"/>
        <w:numPr>
          <w:ilvl w:val="0"/>
          <w:numId w:val="29"/>
        </w:numPr>
      </w:pPr>
      <w:r w:rsidRPr="00725FF4">
        <w:t>Provide hand sanitisers without fragrances or unnecessary allergens as some people can be sensitive or allergic to chemicals.</w:t>
      </w:r>
    </w:p>
    <w:p w14:paraId="1B954505" w14:textId="56FCCD72" w:rsidR="00911A33" w:rsidRPr="00725FF4" w:rsidRDefault="00911A33" w:rsidP="00725FF4"/>
    <w:p w14:paraId="4885827E" w14:textId="27CBD3D5" w:rsidR="00911A33" w:rsidRPr="000334DF" w:rsidRDefault="00F53033" w:rsidP="00F53033">
      <w:pPr>
        <w:pStyle w:val="Heading3"/>
        <w:ind w:left="0"/>
        <w:rPr>
          <w:sz w:val="28"/>
          <w:szCs w:val="28"/>
        </w:rPr>
      </w:pPr>
      <w:bookmarkStart w:id="96" w:name="4.4_Use_of_face_masks_or_face_coverings"/>
      <w:bookmarkStart w:id="97" w:name="_Toc46933752"/>
      <w:bookmarkStart w:id="98" w:name="_Toc46933932"/>
      <w:bookmarkEnd w:id="96"/>
      <w:r w:rsidRPr="000334DF">
        <w:rPr>
          <w:sz w:val="28"/>
          <w:szCs w:val="28"/>
        </w:rPr>
        <w:t xml:space="preserve">4.4 </w:t>
      </w:r>
      <w:r w:rsidR="00176F5D" w:rsidRPr="000334DF">
        <w:rPr>
          <w:sz w:val="28"/>
          <w:szCs w:val="28"/>
        </w:rPr>
        <w:t>Use of face masks or face coverings</w:t>
      </w:r>
      <w:bookmarkEnd w:id="97"/>
      <w:bookmarkEnd w:id="98"/>
    </w:p>
    <w:p w14:paraId="44EC0606" w14:textId="77777777" w:rsidR="00911A33" w:rsidRPr="00725FF4" w:rsidRDefault="00911A33" w:rsidP="00725FF4"/>
    <w:p w14:paraId="2DAFDD63" w14:textId="77777777" w:rsidR="00911A33" w:rsidRPr="00725FF4" w:rsidRDefault="00176F5D" w:rsidP="00725FF4">
      <w:r w:rsidRPr="00725FF4">
        <w:t xml:space="preserve">The </w:t>
      </w:r>
      <w:hyperlink r:id="rId25">
        <w:r w:rsidRPr="00725FF4">
          <w:rPr>
            <w:rStyle w:val="Hyperlink"/>
          </w:rPr>
          <w:t xml:space="preserve">Australian Government has deemed </w:t>
        </w:r>
      </w:hyperlink>
      <w:r w:rsidRPr="00725FF4">
        <w:t>that most people will not benefit from wearing a face mask or face covering unless in a region, state or territory where community transmission is occurring. In these areas, people are advised to wear a face mask as an extra precaution. Institutions, staff and students need to stay informed of the up-to-date advice provided by their respective state or territory health departments.</w:t>
      </w:r>
    </w:p>
    <w:p w14:paraId="4ECCE433" w14:textId="77777777" w:rsidR="00911A33" w:rsidRPr="00725FF4" w:rsidRDefault="00911A33" w:rsidP="00725FF4"/>
    <w:p w14:paraId="255B4C13" w14:textId="77777777" w:rsidR="00911A33" w:rsidRPr="00725FF4" w:rsidRDefault="00176F5D" w:rsidP="00725FF4">
      <w:r w:rsidRPr="00725FF4">
        <w:t>Given that over 50 per cent of our communication is visual, and facial expressions, such as smiles, are important in conveying empathy and building rapport, wearing face masks can impede communication and connections between people.</w:t>
      </w:r>
    </w:p>
    <w:p w14:paraId="3A823CAF" w14:textId="77777777" w:rsidR="00911A33" w:rsidRPr="00725FF4" w:rsidRDefault="00911A33" w:rsidP="00725FF4"/>
    <w:p w14:paraId="315EDFDD" w14:textId="77777777" w:rsidR="00911A33" w:rsidRPr="00725FF4" w:rsidRDefault="00176F5D" w:rsidP="00725FF4">
      <w:r w:rsidRPr="00725FF4">
        <w:t>Face masks or coverings are an even greater impediment to communication for some people with disability who rely heavily on visual or facial cues. This includes Deaf people and people who are hard of hearing who use Auslan or who lip-read, as well as people with psychosocial disability who need facial cues.</w:t>
      </w:r>
    </w:p>
    <w:p w14:paraId="1FBEF668" w14:textId="77777777" w:rsidR="00911A33" w:rsidRPr="00725FF4" w:rsidRDefault="00911A33" w:rsidP="00725FF4"/>
    <w:p w14:paraId="7BFFB471" w14:textId="77777777" w:rsidR="00911A33" w:rsidRPr="00725FF4" w:rsidRDefault="00176F5D" w:rsidP="00725FF4">
      <w:r w:rsidRPr="00725FF4">
        <w:t xml:space="preserve">It is also important to note that for some people with disability wearing a mask </w:t>
      </w:r>
      <w:hyperlink r:id="rId26">
        <w:r w:rsidRPr="00725FF4">
          <w:rPr>
            <w:rStyle w:val="Hyperlink"/>
          </w:rPr>
          <w:t>can cause distress or</w:t>
        </w:r>
      </w:hyperlink>
      <w:r w:rsidRPr="00725FF4">
        <w:t xml:space="preserve"> </w:t>
      </w:r>
      <w:hyperlink r:id="rId27">
        <w:r w:rsidRPr="00725FF4">
          <w:rPr>
            <w:rStyle w:val="Hyperlink"/>
          </w:rPr>
          <w:t>difficulties</w:t>
        </w:r>
      </w:hyperlink>
      <w:r w:rsidRPr="00725FF4">
        <w:t>, and in some situations it may aggravate a physical or mental health condition. These  people can therefore have a legitimate reason for not wearing a mask. For example, people on the autism spectrum may be hypersensitive to fabric over their nose and mouth, and wearing a mask may cause them to experience extreme anxiety. People with physical disability, such as cerebral palsy, may not be able to remove the mask without assistance. People with post-traumatic stress or claustrophobia may experience panic.</w:t>
      </w:r>
    </w:p>
    <w:p w14:paraId="1BBA49E4" w14:textId="77777777" w:rsidR="00911A33" w:rsidRPr="00725FF4" w:rsidRDefault="00911A33" w:rsidP="00725FF4"/>
    <w:p w14:paraId="54B1669A" w14:textId="77777777" w:rsidR="00911A33" w:rsidRPr="00F53033" w:rsidRDefault="00176F5D" w:rsidP="00725FF4">
      <w:pPr>
        <w:rPr>
          <w:b/>
          <w:bCs/>
        </w:rPr>
      </w:pPr>
      <w:r w:rsidRPr="00F53033">
        <w:rPr>
          <w:b/>
          <w:bCs/>
        </w:rPr>
        <w:t>Recommendations</w:t>
      </w:r>
    </w:p>
    <w:p w14:paraId="34B9F352" w14:textId="77777777" w:rsidR="00911A33" w:rsidRPr="00725FF4" w:rsidRDefault="00911A33" w:rsidP="00725FF4"/>
    <w:p w14:paraId="5CB84E4E" w14:textId="77777777" w:rsidR="00911A33" w:rsidRPr="00725FF4" w:rsidRDefault="00176F5D" w:rsidP="00F53033">
      <w:pPr>
        <w:pStyle w:val="ListParagraph"/>
        <w:numPr>
          <w:ilvl w:val="0"/>
          <w:numId w:val="30"/>
        </w:numPr>
      </w:pPr>
      <w:r w:rsidRPr="00725FF4">
        <w:t>Provide alternatives to face masks (e.g. options with full-face visibility, clear masks) for staff and students who need to directly communicate face-to-face with other staff and students who are Deaf or hard of hearing.</w:t>
      </w:r>
    </w:p>
    <w:p w14:paraId="25A0E50C" w14:textId="77777777" w:rsidR="00911A33" w:rsidRPr="00725FF4" w:rsidRDefault="00176F5D" w:rsidP="00F53033">
      <w:pPr>
        <w:pStyle w:val="ListParagraph"/>
        <w:numPr>
          <w:ilvl w:val="0"/>
          <w:numId w:val="30"/>
        </w:numPr>
      </w:pPr>
      <w:r w:rsidRPr="00725FF4">
        <w:t>Provide alternatives to face masks (e.g. options with full-face visibility, clear masks) for use in group sessions attended by students who are Deaf or hard of hearing.</w:t>
      </w:r>
    </w:p>
    <w:p w14:paraId="287FC79D" w14:textId="77777777" w:rsidR="00911A33" w:rsidRPr="00725FF4" w:rsidRDefault="00176F5D" w:rsidP="00F53033">
      <w:pPr>
        <w:pStyle w:val="ListParagraph"/>
        <w:numPr>
          <w:ilvl w:val="0"/>
          <w:numId w:val="30"/>
        </w:numPr>
      </w:pPr>
      <w:r w:rsidRPr="00725FF4">
        <w:t xml:space="preserve">Provide instructions in accessible formats on how to effectively put on, take off and dispose of </w:t>
      </w:r>
      <w:r w:rsidRPr="00725FF4">
        <w:lastRenderedPageBreak/>
        <w:t>masks. Make these instructions available to staff and students who either choose to wear a mask or are advised by their health practitioner or government authority to do so.</w:t>
      </w:r>
    </w:p>
    <w:p w14:paraId="4919AC19" w14:textId="77777777" w:rsidR="00911A33" w:rsidRPr="00725FF4" w:rsidRDefault="00176F5D" w:rsidP="00F53033">
      <w:pPr>
        <w:pStyle w:val="ListParagraph"/>
        <w:numPr>
          <w:ilvl w:val="0"/>
          <w:numId w:val="30"/>
        </w:numPr>
      </w:pPr>
      <w:r w:rsidRPr="00725FF4">
        <w:t>Ensure that staff or students who choose to wear a face mask while on campus are not subject to unfair treatment or discrimination.</w:t>
      </w:r>
    </w:p>
    <w:p w14:paraId="78EC21A8" w14:textId="77777777" w:rsidR="00911A33" w:rsidRPr="00725FF4" w:rsidRDefault="00176F5D" w:rsidP="00F53033">
      <w:pPr>
        <w:pStyle w:val="ListParagraph"/>
        <w:numPr>
          <w:ilvl w:val="0"/>
          <w:numId w:val="30"/>
        </w:numPr>
      </w:pPr>
      <w:r w:rsidRPr="00725FF4">
        <w:t>Clarify any underlying disability or health-related reasons for staff or students unable to adhere to mask regulations.</w:t>
      </w:r>
    </w:p>
    <w:p w14:paraId="15D41D6C" w14:textId="0BC9B07E" w:rsidR="00911A33" w:rsidRPr="00725FF4" w:rsidRDefault="00176F5D" w:rsidP="00F53033">
      <w:pPr>
        <w:pStyle w:val="ListParagraph"/>
        <w:numPr>
          <w:ilvl w:val="0"/>
          <w:numId w:val="30"/>
        </w:numPr>
      </w:pPr>
      <w:r w:rsidRPr="00725FF4">
        <w:t>Ensure that staff or students who are unable to wear a face mask while on campus are not subject to unfair treatment or discrimination.</w:t>
      </w:r>
    </w:p>
    <w:p w14:paraId="5CBCAE31" w14:textId="77777777" w:rsidR="00D178DA" w:rsidRDefault="00D178DA" w:rsidP="00F53033">
      <w:pPr>
        <w:pStyle w:val="Heading3"/>
        <w:ind w:left="0"/>
        <w:rPr>
          <w:sz w:val="28"/>
          <w:szCs w:val="28"/>
        </w:rPr>
      </w:pPr>
      <w:bookmarkStart w:id="99" w:name="4.5_Cough_and_sneeze_etiquette"/>
      <w:bookmarkStart w:id="100" w:name="Place_publicly_available_tissues_at_heig"/>
      <w:bookmarkStart w:id="101" w:name="4.6_Service_animals"/>
      <w:bookmarkStart w:id="102" w:name="_Toc46933753"/>
      <w:bookmarkStart w:id="103" w:name="_Toc46933933"/>
      <w:bookmarkEnd w:id="99"/>
      <w:bookmarkEnd w:id="100"/>
      <w:bookmarkEnd w:id="101"/>
    </w:p>
    <w:p w14:paraId="67991195" w14:textId="445A7163" w:rsidR="00911A33" w:rsidRPr="000334DF" w:rsidRDefault="00F53033" w:rsidP="00F53033">
      <w:pPr>
        <w:pStyle w:val="Heading3"/>
        <w:ind w:left="0"/>
        <w:rPr>
          <w:sz w:val="28"/>
          <w:szCs w:val="28"/>
        </w:rPr>
      </w:pPr>
      <w:r w:rsidRPr="000334DF">
        <w:rPr>
          <w:sz w:val="28"/>
          <w:szCs w:val="28"/>
        </w:rPr>
        <w:t xml:space="preserve">4.5 </w:t>
      </w:r>
      <w:r w:rsidR="00176F5D" w:rsidRPr="000334DF">
        <w:rPr>
          <w:sz w:val="28"/>
          <w:szCs w:val="28"/>
        </w:rPr>
        <w:t>Cough and sneeze etiquette</w:t>
      </w:r>
      <w:bookmarkEnd w:id="102"/>
      <w:bookmarkEnd w:id="103"/>
    </w:p>
    <w:p w14:paraId="76446D8C" w14:textId="77777777" w:rsidR="00911A33" w:rsidRPr="00725FF4" w:rsidRDefault="00911A33" w:rsidP="00725FF4"/>
    <w:p w14:paraId="3A2B8DB2" w14:textId="0A9D47ED" w:rsidR="00911A33" w:rsidRPr="00725FF4" w:rsidRDefault="00176F5D" w:rsidP="00725FF4">
      <w:r w:rsidRPr="00725FF4">
        <w:t>Everyone should be reminded to practise cough and sneeze etiquette; this means coughing or sneezing into a clean tissue and immediately discarding the tissue in a bin. Follow up with good hand hygiene (washing and/or sanitising). If tissues are not available, it is recommended that people cough or sneeze into their elbow and follow up with good hand hygiene.</w:t>
      </w:r>
    </w:p>
    <w:p w14:paraId="33E7A6A1" w14:textId="77777777" w:rsidR="00911A33" w:rsidRPr="00725FF4" w:rsidRDefault="00911A33" w:rsidP="00725FF4"/>
    <w:p w14:paraId="58F03478" w14:textId="77777777" w:rsidR="00911A33" w:rsidRPr="00F53033" w:rsidRDefault="00176F5D" w:rsidP="00725FF4">
      <w:pPr>
        <w:rPr>
          <w:b/>
          <w:bCs/>
        </w:rPr>
      </w:pPr>
      <w:r w:rsidRPr="00F53033">
        <w:rPr>
          <w:b/>
          <w:bCs/>
        </w:rPr>
        <w:t>Recommendations</w:t>
      </w:r>
    </w:p>
    <w:p w14:paraId="1219D276" w14:textId="77777777" w:rsidR="00911A33" w:rsidRPr="00725FF4" w:rsidRDefault="00911A33" w:rsidP="00725FF4"/>
    <w:p w14:paraId="03ABBDCE" w14:textId="77777777" w:rsidR="00911A33" w:rsidRPr="00725FF4" w:rsidRDefault="00176F5D" w:rsidP="00F53033">
      <w:pPr>
        <w:pStyle w:val="ListParagraph"/>
        <w:numPr>
          <w:ilvl w:val="0"/>
          <w:numId w:val="31"/>
        </w:numPr>
      </w:pPr>
      <w:r w:rsidRPr="00725FF4">
        <w:t>Place waste bins in accessible areas.</w:t>
      </w:r>
    </w:p>
    <w:p w14:paraId="6E9D3F81" w14:textId="77777777" w:rsidR="00911A33" w:rsidRPr="00725FF4" w:rsidRDefault="00176F5D" w:rsidP="00F53033">
      <w:pPr>
        <w:pStyle w:val="ListParagraph"/>
        <w:numPr>
          <w:ilvl w:val="0"/>
          <w:numId w:val="31"/>
        </w:numPr>
      </w:pPr>
      <w:r w:rsidRPr="00725FF4">
        <w:t>Supply waste bins with sensor operated lids.</w:t>
      </w:r>
    </w:p>
    <w:p w14:paraId="219A367F" w14:textId="77777777" w:rsidR="00911A33" w:rsidRPr="00725FF4" w:rsidRDefault="00176F5D" w:rsidP="00F53033">
      <w:pPr>
        <w:pStyle w:val="ListParagraph"/>
        <w:numPr>
          <w:ilvl w:val="0"/>
          <w:numId w:val="31"/>
        </w:numPr>
      </w:pPr>
      <w:r w:rsidRPr="00725FF4">
        <w:t>Encourage people who have difficulty accessing bins to bring a rubbish bag for used tissues.</w:t>
      </w:r>
    </w:p>
    <w:p w14:paraId="313D2F43" w14:textId="699F22B5" w:rsidR="00911A33" w:rsidRPr="00725FF4" w:rsidRDefault="00176F5D" w:rsidP="00725FF4">
      <w:pPr>
        <w:pStyle w:val="ListParagraph"/>
        <w:numPr>
          <w:ilvl w:val="0"/>
          <w:numId w:val="31"/>
        </w:numPr>
      </w:pPr>
      <w:r w:rsidRPr="00725FF4">
        <w:t>Place publicly available tissues at heights and locations that everyone can access.</w:t>
      </w:r>
    </w:p>
    <w:p w14:paraId="134ADB75" w14:textId="77777777" w:rsidR="00911A33" w:rsidRPr="00725FF4" w:rsidRDefault="00911A33" w:rsidP="00725FF4"/>
    <w:p w14:paraId="39D1E13C" w14:textId="5A278B01" w:rsidR="00911A33" w:rsidRPr="000334DF" w:rsidRDefault="00F53033" w:rsidP="00F53033">
      <w:pPr>
        <w:pStyle w:val="Heading3"/>
        <w:ind w:left="0"/>
        <w:rPr>
          <w:sz w:val="28"/>
          <w:szCs w:val="28"/>
        </w:rPr>
      </w:pPr>
      <w:bookmarkStart w:id="104" w:name="_Toc46933754"/>
      <w:bookmarkStart w:id="105" w:name="_Toc46933934"/>
      <w:r w:rsidRPr="000334DF">
        <w:rPr>
          <w:sz w:val="28"/>
          <w:szCs w:val="28"/>
        </w:rPr>
        <w:t xml:space="preserve">4.6 </w:t>
      </w:r>
      <w:r w:rsidR="00176F5D" w:rsidRPr="000334DF">
        <w:rPr>
          <w:sz w:val="28"/>
          <w:szCs w:val="28"/>
        </w:rPr>
        <w:t>Service animals</w:t>
      </w:r>
      <w:bookmarkEnd w:id="104"/>
      <w:bookmarkEnd w:id="105"/>
    </w:p>
    <w:p w14:paraId="43BA8A72" w14:textId="77777777" w:rsidR="00911A33" w:rsidRPr="00725FF4" w:rsidRDefault="00911A33" w:rsidP="00725FF4"/>
    <w:p w14:paraId="665E1479" w14:textId="77777777" w:rsidR="00911A33" w:rsidRPr="00725FF4" w:rsidRDefault="00176F5D" w:rsidP="00725FF4">
      <w:r w:rsidRPr="00725FF4">
        <w:t>A service animal is an animal that is formally trained and accredited under a state or territory law to support people with disability to alleviate the effect of the disability.</w:t>
      </w:r>
    </w:p>
    <w:p w14:paraId="424456B9" w14:textId="77777777" w:rsidR="00911A33" w:rsidRPr="00725FF4" w:rsidRDefault="00911A33" w:rsidP="00725FF4"/>
    <w:p w14:paraId="52BFDF35" w14:textId="77777777" w:rsidR="00911A33" w:rsidRPr="00725FF4" w:rsidRDefault="00176F5D" w:rsidP="00725FF4">
      <w:r w:rsidRPr="00725FF4">
        <w:t xml:space="preserve">While there are still many unknowns about the virus that causes COVID-19, evidence </w:t>
      </w:r>
      <w:hyperlink r:id="rId28">
        <w:r w:rsidRPr="00725FF4">
          <w:rPr>
            <w:rStyle w:val="Hyperlink"/>
          </w:rPr>
          <w:t xml:space="preserve">suggests that </w:t>
        </w:r>
      </w:hyperlink>
      <w:r w:rsidRPr="00725FF4">
        <w:t>in some cases the virus can spread from people to animals, such as dogs or cats; however, to date there have not been any known cases of domestic animals transmitting the COVID-19 virus to people, nor has COVID-19 been reported in domestic animals (pets or livestock) or wildlife in Australia.</w:t>
      </w:r>
    </w:p>
    <w:p w14:paraId="25E2D297" w14:textId="77777777" w:rsidR="00911A33" w:rsidRPr="00725FF4" w:rsidRDefault="00911A33" w:rsidP="00725FF4"/>
    <w:p w14:paraId="09B5B8A2" w14:textId="77777777" w:rsidR="00911A33" w:rsidRPr="00F53033" w:rsidRDefault="00176F5D" w:rsidP="00725FF4">
      <w:pPr>
        <w:rPr>
          <w:b/>
          <w:bCs/>
        </w:rPr>
      </w:pPr>
      <w:r w:rsidRPr="00F53033">
        <w:rPr>
          <w:b/>
          <w:bCs/>
        </w:rPr>
        <w:t>Recommendations</w:t>
      </w:r>
    </w:p>
    <w:p w14:paraId="1B78E729" w14:textId="77777777" w:rsidR="00911A33" w:rsidRPr="00725FF4" w:rsidRDefault="00911A33" w:rsidP="00725FF4"/>
    <w:p w14:paraId="0848CE3D" w14:textId="77777777" w:rsidR="00911A33" w:rsidRPr="00725FF4" w:rsidRDefault="00176F5D" w:rsidP="00F53033">
      <w:pPr>
        <w:pStyle w:val="ListParagraph"/>
        <w:numPr>
          <w:ilvl w:val="0"/>
          <w:numId w:val="32"/>
        </w:numPr>
      </w:pPr>
      <w:r w:rsidRPr="00725FF4">
        <w:t>Ensure staff and students who use service animals are aware of the low but potential risk to their animal.</w:t>
      </w:r>
    </w:p>
    <w:p w14:paraId="6C1CB26E" w14:textId="77777777" w:rsidR="00911A33" w:rsidRPr="00725FF4" w:rsidRDefault="00176F5D" w:rsidP="00F53033">
      <w:pPr>
        <w:pStyle w:val="ListParagraph"/>
        <w:numPr>
          <w:ilvl w:val="0"/>
          <w:numId w:val="32"/>
        </w:numPr>
      </w:pPr>
      <w:r w:rsidRPr="00725FF4">
        <w:t>Provide information to staff and students about how to protect their animal while on campus, including the following points.</w:t>
      </w:r>
    </w:p>
    <w:p w14:paraId="23F60F9D" w14:textId="77777777" w:rsidR="00911A33" w:rsidRPr="00725FF4" w:rsidRDefault="00911A33" w:rsidP="00725FF4"/>
    <w:p w14:paraId="176867CB" w14:textId="77777777" w:rsidR="00F53033" w:rsidRDefault="00176F5D" w:rsidP="00F53033">
      <w:pPr>
        <w:ind w:firstLine="360"/>
        <w:rPr>
          <w:b/>
          <w:bCs/>
        </w:rPr>
      </w:pPr>
      <w:r w:rsidRPr="00F53033">
        <w:rPr>
          <w:b/>
          <w:bCs/>
        </w:rPr>
        <w:t>Ways to protect service animals while on campus</w:t>
      </w:r>
    </w:p>
    <w:p w14:paraId="4C43DF83" w14:textId="77777777" w:rsidR="00F53033" w:rsidRPr="00F53033" w:rsidRDefault="00176F5D" w:rsidP="00F53033">
      <w:pPr>
        <w:pStyle w:val="ListParagraph"/>
        <w:numPr>
          <w:ilvl w:val="0"/>
          <w:numId w:val="35"/>
        </w:numPr>
        <w:rPr>
          <w:b/>
          <w:bCs/>
        </w:rPr>
      </w:pPr>
      <w:r w:rsidRPr="00725FF4">
        <w:t>When possible, both the handler and the animal should stay at least 1.5 metres away from others.</w:t>
      </w:r>
    </w:p>
    <w:p w14:paraId="3790F808" w14:textId="77777777" w:rsidR="00F53033" w:rsidRPr="00F53033" w:rsidRDefault="00176F5D" w:rsidP="00F53033">
      <w:pPr>
        <w:pStyle w:val="ListParagraph"/>
        <w:numPr>
          <w:ilvl w:val="0"/>
          <w:numId w:val="35"/>
        </w:numPr>
        <w:rPr>
          <w:b/>
          <w:bCs/>
        </w:rPr>
      </w:pPr>
      <w:r w:rsidRPr="00725FF4">
        <w:t>If a service animal is sick, call a veterinarian and do not go out in public with the animal.</w:t>
      </w:r>
    </w:p>
    <w:p w14:paraId="3CA25FEA" w14:textId="77777777" w:rsidR="00F53033" w:rsidRPr="00F53033" w:rsidRDefault="00176F5D" w:rsidP="00F53033">
      <w:pPr>
        <w:pStyle w:val="ListParagraph"/>
        <w:numPr>
          <w:ilvl w:val="0"/>
          <w:numId w:val="35"/>
        </w:numPr>
        <w:rPr>
          <w:b/>
          <w:bCs/>
        </w:rPr>
      </w:pPr>
      <w:r w:rsidRPr="00725FF4">
        <w:t>Clean and disinfect service animal collars, vests, leashes, harnesses and other supplies frequently.</w:t>
      </w:r>
    </w:p>
    <w:p w14:paraId="549B96E5" w14:textId="77777777" w:rsidR="00F53033" w:rsidRPr="00F53033" w:rsidRDefault="00176F5D" w:rsidP="00F53033">
      <w:pPr>
        <w:pStyle w:val="ListParagraph"/>
        <w:numPr>
          <w:ilvl w:val="0"/>
          <w:numId w:val="35"/>
        </w:numPr>
        <w:rPr>
          <w:b/>
          <w:bCs/>
        </w:rPr>
      </w:pPr>
      <w:r w:rsidRPr="00725FF4">
        <w:t xml:space="preserve">Do not wipe or bathe service animals with chemical disinfectants, alcohol, hydrogen </w:t>
      </w:r>
      <w:r w:rsidRPr="00725FF4">
        <w:lastRenderedPageBreak/>
        <w:t>peroxide or any other products not approved for animal use. There is no evidence that the virus can spread to people from the skin, fur or hair of pets.</w:t>
      </w:r>
    </w:p>
    <w:p w14:paraId="49EFC395" w14:textId="14CDE9DC" w:rsidR="00911A33" w:rsidRPr="00F53033" w:rsidRDefault="00D733CC" w:rsidP="00F53033">
      <w:pPr>
        <w:pStyle w:val="ListParagraph"/>
        <w:numPr>
          <w:ilvl w:val="0"/>
          <w:numId w:val="35"/>
        </w:numPr>
        <w:rPr>
          <w:b/>
          <w:bCs/>
        </w:rPr>
      </w:pPr>
      <w:r w:rsidRPr="00725FF4">
        <w:rPr>
          <w:noProof/>
        </w:rPr>
        <mc:AlternateContent>
          <mc:Choice Requires="wps">
            <w:drawing>
              <wp:anchor distT="0" distB="0" distL="114300" distR="114300" simplePos="0" relativeHeight="251698176" behindDoc="0" locked="0" layoutInCell="1" allowOverlap="1" wp14:anchorId="12658EB3" wp14:editId="26A6F868">
                <wp:simplePos x="0" y="0"/>
                <wp:positionH relativeFrom="column">
                  <wp:posOffset>457200</wp:posOffset>
                </wp:positionH>
                <wp:positionV relativeFrom="paragraph">
                  <wp:posOffset>1963420</wp:posOffset>
                </wp:positionV>
                <wp:extent cx="6858000" cy="444500"/>
                <wp:effectExtent l="0" t="0" r="19050" b="12700"/>
                <wp:wrapNone/>
                <wp:docPr id="7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44500"/>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A1642DA" id="Rectangle 52" o:spid="_x0000_s1026" style="position:absolute;margin-left:36pt;margin-top:154.6pt;width:540pt;height:3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" filled="f" strokecolor="white" strokeweight="1pt"/>
            </w:pict>
          </mc:Fallback>
        </mc:AlternateContent>
      </w:r>
      <w:r w:rsidR="00176F5D" w:rsidRPr="00725FF4">
        <w:t>Do not put face coverings on service animals. Covering an animal’s face may cause harm.</w:t>
      </w:r>
    </w:p>
    <w:p w14:paraId="11E07A3F" w14:textId="77777777" w:rsidR="00D178DA" w:rsidRDefault="00D178DA" w:rsidP="00F53033">
      <w:pPr>
        <w:pStyle w:val="Heading2"/>
        <w:ind w:left="0" w:firstLine="0"/>
        <w:rPr>
          <w:sz w:val="32"/>
          <w:szCs w:val="32"/>
        </w:rPr>
      </w:pPr>
      <w:bookmarkStart w:id="106" w:name="_Toc46933755"/>
      <w:bookmarkStart w:id="107" w:name="_Toc46933935"/>
    </w:p>
    <w:p w14:paraId="207BD286" w14:textId="4EDD10F6" w:rsidR="00911A33" w:rsidRPr="000334DF" w:rsidRDefault="00F53033" w:rsidP="00F53033">
      <w:pPr>
        <w:pStyle w:val="Heading2"/>
        <w:ind w:left="0" w:firstLine="0"/>
        <w:rPr>
          <w:sz w:val="32"/>
          <w:szCs w:val="32"/>
        </w:rPr>
      </w:pPr>
      <w:r w:rsidRPr="000334DF">
        <w:rPr>
          <w:sz w:val="32"/>
          <w:szCs w:val="32"/>
        </w:rPr>
        <w:t xml:space="preserve">5. </w:t>
      </w:r>
      <w:r w:rsidR="00176F5D" w:rsidRPr="000334DF">
        <w:rPr>
          <w:sz w:val="32"/>
          <w:szCs w:val="32"/>
        </w:rPr>
        <w:t>LEARNING AND TEACHING</w:t>
      </w:r>
      <w:r w:rsidRPr="000334DF">
        <w:rPr>
          <w:sz w:val="32"/>
          <w:szCs w:val="32"/>
        </w:rPr>
        <w:t xml:space="preserve"> </w:t>
      </w:r>
      <w:r w:rsidR="00176F5D" w:rsidRPr="000334DF">
        <w:rPr>
          <w:sz w:val="32"/>
          <w:szCs w:val="32"/>
        </w:rPr>
        <w:t>CONSIDERATIONS</w:t>
      </w:r>
      <w:bookmarkEnd w:id="106"/>
      <w:bookmarkEnd w:id="107"/>
    </w:p>
    <w:p w14:paraId="421933D6" w14:textId="77777777" w:rsidR="00F53033" w:rsidRDefault="00F53033" w:rsidP="00725FF4"/>
    <w:p w14:paraId="49482F3A" w14:textId="3B07E2ED" w:rsidR="00911A33" w:rsidRPr="000334DF" w:rsidRDefault="00F53033" w:rsidP="00F53033">
      <w:pPr>
        <w:pStyle w:val="Heading3"/>
        <w:ind w:left="0"/>
        <w:rPr>
          <w:sz w:val="28"/>
          <w:szCs w:val="28"/>
        </w:rPr>
      </w:pPr>
      <w:bookmarkStart w:id="108" w:name="_Toc46933756"/>
      <w:bookmarkStart w:id="109" w:name="_Toc46933936"/>
      <w:r w:rsidRPr="000334DF">
        <w:rPr>
          <w:sz w:val="28"/>
          <w:szCs w:val="28"/>
        </w:rPr>
        <w:t xml:space="preserve">5.1 </w:t>
      </w:r>
      <w:r w:rsidR="00176F5D" w:rsidRPr="000334DF">
        <w:rPr>
          <w:sz w:val="28"/>
          <w:szCs w:val="28"/>
        </w:rPr>
        <w:t>Reasonable adjustments</w:t>
      </w:r>
      <w:bookmarkEnd w:id="108"/>
      <w:bookmarkEnd w:id="109"/>
    </w:p>
    <w:p w14:paraId="7148A806" w14:textId="77777777" w:rsidR="00911A33" w:rsidRPr="00725FF4" w:rsidRDefault="00911A33" w:rsidP="00725FF4"/>
    <w:p w14:paraId="0B62D3DC" w14:textId="77777777" w:rsidR="00911A33" w:rsidRPr="00725FF4" w:rsidRDefault="00176F5D" w:rsidP="00725FF4">
      <w:r w:rsidRPr="00725FF4">
        <w:t>As on-campus, face-to-face teaching recommences, it is important to consider those students who are not yet comfortable or able to return to campus due to the impact of the COVID-19 pandemic.</w:t>
      </w:r>
    </w:p>
    <w:p w14:paraId="69666521" w14:textId="77777777" w:rsidR="00911A33" w:rsidRPr="00725FF4" w:rsidRDefault="00911A33" w:rsidP="00725FF4"/>
    <w:p w14:paraId="18428466" w14:textId="77777777" w:rsidR="00911A33" w:rsidRPr="00725FF4" w:rsidRDefault="00176F5D" w:rsidP="00725FF4">
      <w:r w:rsidRPr="00725FF4">
        <w:t>Students who are unable to return to on-campus learning (including laboratory work or practical classes) should not be academically disadvantaged, stigmatised or treated less fairly. Sometimes this may mean exploring relevant and appropriate alternatives for attendance, assessments or units of study.</w:t>
      </w:r>
    </w:p>
    <w:p w14:paraId="4ADDF5A0" w14:textId="77777777" w:rsidR="00911A33" w:rsidRPr="00725FF4" w:rsidRDefault="00911A33" w:rsidP="00725FF4"/>
    <w:p w14:paraId="4024DA49" w14:textId="77777777" w:rsidR="00911A33" w:rsidRPr="00725FF4" w:rsidRDefault="00176F5D" w:rsidP="00725FF4">
      <w:r w:rsidRPr="00725FF4">
        <w:t>Information about the delivery approach (online, on-campus or a blend of both) needs to be provided to students as soon as possible in clear and accessible formats.</w:t>
      </w:r>
    </w:p>
    <w:p w14:paraId="60D6F038" w14:textId="77777777" w:rsidR="00911A33" w:rsidRPr="00725FF4" w:rsidRDefault="00911A33" w:rsidP="00725FF4"/>
    <w:p w14:paraId="30CA7C0C" w14:textId="77777777" w:rsidR="00911A33" w:rsidRPr="00F53033" w:rsidRDefault="00176F5D" w:rsidP="00725FF4">
      <w:pPr>
        <w:rPr>
          <w:b/>
          <w:bCs/>
        </w:rPr>
      </w:pPr>
      <w:r w:rsidRPr="00F53033">
        <w:rPr>
          <w:b/>
          <w:bCs/>
        </w:rPr>
        <w:t>Recommendations</w:t>
      </w:r>
    </w:p>
    <w:p w14:paraId="63059AD2" w14:textId="77777777" w:rsidR="00911A33" w:rsidRPr="00725FF4" w:rsidRDefault="00911A33" w:rsidP="00725FF4"/>
    <w:p w14:paraId="6911488C" w14:textId="77777777" w:rsidR="00911A33" w:rsidRPr="00725FF4" w:rsidRDefault="00176F5D" w:rsidP="00F53033">
      <w:pPr>
        <w:pStyle w:val="ListParagraph"/>
        <w:numPr>
          <w:ilvl w:val="0"/>
          <w:numId w:val="37"/>
        </w:numPr>
      </w:pPr>
      <w:r w:rsidRPr="00725FF4">
        <w:t>Provide reasonable adjustments for students who require continued access to online learning without fear of falling behind or being stigmatised.</w:t>
      </w:r>
    </w:p>
    <w:p w14:paraId="57191007" w14:textId="77777777" w:rsidR="00911A33" w:rsidRPr="00725FF4" w:rsidRDefault="00176F5D" w:rsidP="00F53033">
      <w:pPr>
        <w:pStyle w:val="ListParagraph"/>
        <w:numPr>
          <w:ilvl w:val="0"/>
          <w:numId w:val="37"/>
        </w:numPr>
      </w:pPr>
      <w:r w:rsidRPr="00725FF4">
        <w:t>Determine alternative options to on-campus study (including assessments, laboratory work,</w:t>
      </w:r>
    </w:p>
    <w:p w14:paraId="7788CF54" w14:textId="77777777" w:rsidR="00911A33" w:rsidRPr="00725FF4" w:rsidRDefault="00176F5D" w:rsidP="00F53033">
      <w:pPr>
        <w:pStyle w:val="ListParagraph"/>
        <w:numPr>
          <w:ilvl w:val="0"/>
          <w:numId w:val="37"/>
        </w:numPr>
      </w:pPr>
      <w:r w:rsidRPr="00725FF4">
        <w:t>workshops and practical classes), where necessary taking the inherent requirements and key learning objectives into careful consideration. Review and update student Learning Access Plans to reflect the additional needs of the student and any reasonable adjustments required.</w:t>
      </w:r>
    </w:p>
    <w:p w14:paraId="5686D435" w14:textId="77777777" w:rsidR="00911A33" w:rsidRPr="00725FF4" w:rsidRDefault="00176F5D" w:rsidP="00F53033">
      <w:pPr>
        <w:pStyle w:val="ListParagraph"/>
        <w:numPr>
          <w:ilvl w:val="0"/>
          <w:numId w:val="37"/>
        </w:numPr>
      </w:pPr>
      <w:r w:rsidRPr="00725FF4">
        <w:t>Provide alternatives to on-campus teaching for educators with disability who choose to continue teaching online as opposed to returning to physical campus.</w:t>
      </w:r>
    </w:p>
    <w:p w14:paraId="2F628EE8" w14:textId="77777777" w:rsidR="00911A33" w:rsidRPr="00725FF4" w:rsidRDefault="00911A33" w:rsidP="00725FF4"/>
    <w:p w14:paraId="73113278" w14:textId="198133DE" w:rsidR="00911A33" w:rsidRPr="000334DF" w:rsidRDefault="00F53033" w:rsidP="00F53033">
      <w:pPr>
        <w:pStyle w:val="Heading3"/>
        <w:ind w:left="0"/>
        <w:rPr>
          <w:sz w:val="28"/>
          <w:szCs w:val="28"/>
        </w:rPr>
      </w:pPr>
      <w:bookmarkStart w:id="110" w:name="_Toc46933757"/>
      <w:bookmarkStart w:id="111" w:name="_Toc46933937"/>
      <w:r w:rsidRPr="000334DF">
        <w:rPr>
          <w:sz w:val="28"/>
          <w:szCs w:val="28"/>
        </w:rPr>
        <w:t xml:space="preserve">5.2 </w:t>
      </w:r>
      <w:r w:rsidR="00176F5D" w:rsidRPr="000334DF">
        <w:rPr>
          <w:sz w:val="28"/>
          <w:szCs w:val="28"/>
        </w:rPr>
        <w:t>Exams</w:t>
      </w:r>
      <w:bookmarkEnd w:id="110"/>
      <w:bookmarkEnd w:id="111"/>
    </w:p>
    <w:p w14:paraId="75CA1DC7" w14:textId="77777777" w:rsidR="00911A33" w:rsidRPr="00725FF4" w:rsidRDefault="00911A33" w:rsidP="00725FF4"/>
    <w:p w14:paraId="65E5429E" w14:textId="77777777" w:rsidR="00911A33" w:rsidRPr="00725FF4" w:rsidRDefault="00176F5D" w:rsidP="00725FF4">
      <w:r w:rsidRPr="00725FF4">
        <w:t>Anecdotal evidence suggests that proctored exams increase anxiety for many students—with or without disability.</w:t>
      </w:r>
    </w:p>
    <w:p w14:paraId="273993D2" w14:textId="77777777" w:rsidR="00911A33" w:rsidRPr="00725FF4" w:rsidRDefault="00911A33" w:rsidP="00725FF4"/>
    <w:p w14:paraId="66E8B2C2" w14:textId="77777777" w:rsidR="00911A33" w:rsidRPr="00F53033" w:rsidRDefault="00176F5D" w:rsidP="00725FF4">
      <w:pPr>
        <w:rPr>
          <w:b/>
          <w:bCs/>
        </w:rPr>
      </w:pPr>
      <w:r w:rsidRPr="00F53033">
        <w:rPr>
          <w:b/>
          <w:bCs/>
        </w:rPr>
        <w:t>Recommendations</w:t>
      </w:r>
    </w:p>
    <w:p w14:paraId="081EA3A8" w14:textId="77777777" w:rsidR="00911A33" w:rsidRPr="00725FF4" w:rsidRDefault="00911A33" w:rsidP="00725FF4"/>
    <w:p w14:paraId="1A791C15" w14:textId="77777777" w:rsidR="00911A33" w:rsidRPr="00725FF4" w:rsidRDefault="00176F5D" w:rsidP="00F53033">
      <w:pPr>
        <w:pStyle w:val="ListParagraph"/>
        <w:numPr>
          <w:ilvl w:val="0"/>
          <w:numId w:val="38"/>
        </w:numPr>
      </w:pPr>
      <w:r w:rsidRPr="00725FF4">
        <w:t>Consider what adjustments or alternatives can be made available for students with severe anxiety regarding proctored exams. For example, this might include supervised exams in the library or take-home exams over 24 or 48 hours.</w:t>
      </w:r>
    </w:p>
    <w:p w14:paraId="0D975936" w14:textId="77777777" w:rsidR="00F53033" w:rsidRDefault="00F53033" w:rsidP="00725FF4">
      <w:bookmarkStart w:id="112" w:name="5.3_Field_trips,_industry_placements,_in"/>
      <w:bookmarkEnd w:id="112"/>
    </w:p>
    <w:p w14:paraId="4A4C196D" w14:textId="1BD4AFE8" w:rsidR="00911A33" w:rsidRPr="000334DF" w:rsidRDefault="00F53033" w:rsidP="00F53033">
      <w:pPr>
        <w:pStyle w:val="Heading3"/>
        <w:ind w:left="0"/>
        <w:rPr>
          <w:sz w:val="28"/>
          <w:szCs w:val="28"/>
        </w:rPr>
      </w:pPr>
      <w:bookmarkStart w:id="113" w:name="_Toc46933758"/>
      <w:bookmarkStart w:id="114" w:name="_Toc46933938"/>
      <w:r w:rsidRPr="000334DF">
        <w:rPr>
          <w:sz w:val="28"/>
          <w:szCs w:val="28"/>
        </w:rPr>
        <w:t xml:space="preserve">5.3 </w:t>
      </w:r>
      <w:r w:rsidR="00176F5D" w:rsidRPr="000334DF">
        <w:rPr>
          <w:sz w:val="28"/>
          <w:szCs w:val="28"/>
        </w:rPr>
        <w:t>Field trips, industry placements, internships and work integrated learning</w:t>
      </w:r>
      <w:bookmarkEnd w:id="113"/>
      <w:bookmarkEnd w:id="114"/>
    </w:p>
    <w:p w14:paraId="64783CB8" w14:textId="77777777" w:rsidR="00911A33" w:rsidRPr="00725FF4" w:rsidRDefault="00911A33" w:rsidP="00725FF4"/>
    <w:p w14:paraId="73BE3BAD" w14:textId="77777777" w:rsidR="00911A33" w:rsidRPr="00725FF4" w:rsidRDefault="00176F5D" w:rsidP="00725FF4">
      <w:r w:rsidRPr="00725FF4">
        <w:t>Prior to COVID-19, off campus activities—where students participated in, engaged with or visited businesses, industry groups or other locations—were integral components of many tertiary courses. These activities enhanced and enriched tertiary learning by providing students with opportunities to engage in experiences unique to workplace contexts.</w:t>
      </w:r>
    </w:p>
    <w:p w14:paraId="64045E12" w14:textId="77777777" w:rsidR="00911A33" w:rsidRPr="00725FF4" w:rsidRDefault="00911A33" w:rsidP="00725FF4"/>
    <w:p w14:paraId="1699CD0E" w14:textId="284B8B8E" w:rsidR="00911A33" w:rsidRPr="00725FF4" w:rsidRDefault="00176F5D" w:rsidP="00725FF4">
      <w:r w:rsidRPr="00725FF4">
        <w:t>As staff and students return to campus, it is likely that these types of learning activities will once again be offered; however, in some cases COVID-19 has broadened the approach to these activities and may provide an opportunity to consider providing ongoing alternatives that provide greater safety for all  staff and students including those with disability. A recent Australian Collaborative Education Network guide on online work integrated learning acknowledges that while online alternatives are not the same as physically located experiences, they can be equally valuable and productive as well as provide more flexibility and relevance for both students and industry.</w:t>
      </w:r>
    </w:p>
    <w:p w14:paraId="75358DD7" w14:textId="77777777" w:rsidR="008D0836" w:rsidRPr="00725FF4" w:rsidRDefault="008D0836" w:rsidP="00725FF4"/>
    <w:p w14:paraId="255C56DF" w14:textId="77777777" w:rsidR="00911A33" w:rsidRPr="00725FF4" w:rsidRDefault="00176F5D" w:rsidP="00725FF4">
      <w:r w:rsidRPr="00725FF4">
        <w:t>As field trips, work integrated learning and excursions recommence, it is important to consider those students with disability who are not yet ready to undertake learning activities involving physical proximity.</w:t>
      </w:r>
    </w:p>
    <w:p w14:paraId="627D791C" w14:textId="77777777" w:rsidR="00911A33" w:rsidRPr="00725FF4" w:rsidRDefault="00911A33" w:rsidP="00725FF4"/>
    <w:p w14:paraId="029C07AF" w14:textId="77777777" w:rsidR="00911A33" w:rsidRPr="00F53033" w:rsidRDefault="00176F5D" w:rsidP="00725FF4">
      <w:pPr>
        <w:rPr>
          <w:b/>
          <w:bCs/>
        </w:rPr>
      </w:pPr>
      <w:r w:rsidRPr="00F53033">
        <w:rPr>
          <w:b/>
          <w:bCs/>
        </w:rPr>
        <w:t>Recommendations</w:t>
      </w:r>
    </w:p>
    <w:p w14:paraId="36DF7641" w14:textId="77777777" w:rsidR="00911A33" w:rsidRPr="00725FF4" w:rsidRDefault="00911A33" w:rsidP="00725FF4"/>
    <w:p w14:paraId="630491B5" w14:textId="0B22EB13" w:rsidR="00911A33" w:rsidRPr="00725FF4" w:rsidRDefault="00176F5D" w:rsidP="00725FF4">
      <w:r w:rsidRPr="00725FF4">
        <w:t>Provide reasonable adjustments for students to access suitable alternatives to physical field trips, industry placements or work integrated learning components without fear of falling behind or being stigmatised.</w:t>
      </w:r>
    </w:p>
    <w:p w14:paraId="4156AF49" w14:textId="77777777" w:rsidR="00911A33" w:rsidRPr="00725FF4" w:rsidRDefault="00911A33" w:rsidP="00725FF4"/>
    <w:p w14:paraId="3CE19417" w14:textId="1AA6C6BC" w:rsidR="00911A33" w:rsidRPr="000334DF" w:rsidRDefault="00F53033" w:rsidP="00F53033">
      <w:pPr>
        <w:pStyle w:val="Heading2"/>
        <w:ind w:left="0" w:firstLine="0"/>
        <w:rPr>
          <w:sz w:val="32"/>
          <w:szCs w:val="32"/>
        </w:rPr>
      </w:pPr>
      <w:bookmarkStart w:id="115" w:name="6._More_information"/>
      <w:bookmarkStart w:id="116" w:name="_Toc46933759"/>
      <w:bookmarkStart w:id="117" w:name="_Toc46933939"/>
      <w:bookmarkEnd w:id="115"/>
      <w:r w:rsidRPr="000334DF">
        <w:rPr>
          <w:sz w:val="32"/>
          <w:szCs w:val="32"/>
        </w:rPr>
        <w:t xml:space="preserve">6. </w:t>
      </w:r>
      <w:r w:rsidR="00176F5D" w:rsidRPr="000334DF">
        <w:rPr>
          <w:sz w:val="32"/>
          <w:szCs w:val="32"/>
        </w:rPr>
        <w:t>MORE INFORMATION</w:t>
      </w:r>
      <w:bookmarkEnd w:id="116"/>
      <w:bookmarkEnd w:id="117"/>
    </w:p>
    <w:p w14:paraId="34FB0F99" w14:textId="77777777" w:rsidR="00911A33" w:rsidRPr="00725FF4" w:rsidRDefault="00176F5D" w:rsidP="00725FF4">
      <w:r w:rsidRPr="00725FF4">
        <w:t>Australian Government Department of Health:</w:t>
      </w:r>
    </w:p>
    <w:p w14:paraId="6703DF01" w14:textId="56A75FF4" w:rsidR="00911A33" w:rsidRPr="00725FF4" w:rsidRDefault="00176F5D" w:rsidP="00725FF4">
      <w:r w:rsidRPr="00725FF4">
        <w:t>Coronavirus (COVID-19) resources for the general public</w:t>
      </w:r>
    </w:p>
    <w:p w14:paraId="7F09EA90" w14:textId="6E18FC3D" w:rsidR="00911A33" w:rsidRPr="00725FF4" w:rsidRDefault="0018348A" w:rsidP="00725FF4">
      <w:hyperlink r:id="rId29">
        <w:r w:rsidR="00176F5D" w:rsidRPr="00725FF4">
          <w:rPr>
            <w:rStyle w:val="Hyperlink"/>
          </w:rPr>
          <w:t>https://www.health.gov.au/resources/collections/novel-coronavirus-2019-ncov-resources</w:t>
        </w:r>
      </w:hyperlink>
    </w:p>
    <w:p w14:paraId="3A78940B" w14:textId="77777777" w:rsidR="00911A33" w:rsidRPr="00725FF4" w:rsidRDefault="00911A33" w:rsidP="00725FF4"/>
    <w:p w14:paraId="3ED43C0B" w14:textId="77777777" w:rsidR="00911A33" w:rsidRPr="00725FF4" w:rsidRDefault="00176F5D" w:rsidP="00725FF4">
      <w:r w:rsidRPr="00725FF4">
        <w:t>Australian Disability Clearinghouse on Education and Training:</w:t>
      </w:r>
    </w:p>
    <w:p w14:paraId="5EA1C944" w14:textId="4F919FE1" w:rsidR="00911A33" w:rsidRPr="00725FF4" w:rsidRDefault="00176F5D" w:rsidP="00725FF4">
      <w:r w:rsidRPr="00725FF4">
        <w:t>Coronavirus (COVID-19) – frequently asked questions</w:t>
      </w:r>
    </w:p>
    <w:p w14:paraId="7FB329C3" w14:textId="77777777" w:rsidR="00911A33" w:rsidRPr="00725FF4" w:rsidRDefault="0018348A" w:rsidP="00725FF4">
      <w:hyperlink r:id="rId30">
        <w:r w:rsidR="00176F5D" w:rsidRPr="00725FF4">
          <w:rPr>
            <w:rStyle w:val="Hyperlink"/>
          </w:rPr>
          <w:t>https://www.adcet.edu.au/covid-19-faqs/</w:t>
        </w:r>
      </w:hyperlink>
    </w:p>
    <w:p w14:paraId="004F8ED3" w14:textId="77777777" w:rsidR="00911A33" w:rsidRDefault="00911A33" w:rsidP="00725FF4"/>
    <w:p w14:paraId="76F09DC0" w14:textId="20AF4DFC" w:rsidR="00F53033" w:rsidRPr="00725FF4" w:rsidRDefault="00F53033" w:rsidP="00725FF4">
      <w:pPr>
        <w:sectPr w:rsidR="00F53033" w:rsidRPr="00725FF4" w:rsidSect="00725FF4">
          <w:footerReference w:type="even" r:id="rId31"/>
          <w:pgSz w:w="12240" w:h="15840"/>
          <w:pgMar w:top="1440" w:right="1440" w:bottom="1440" w:left="1440" w:header="0" w:footer="0" w:gutter="0"/>
          <w:cols w:space="720"/>
        </w:sectPr>
      </w:pPr>
    </w:p>
    <w:p w14:paraId="07E0CEA8" w14:textId="40286E83" w:rsidR="00911A33" w:rsidRPr="000334DF" w:rsidRDefault="00176F5D" w:rsidP="00054C5B">
      <w:pPr>
        <w:pStyle w:val="Heading2"/>
        <w:ind w:left="-567" w:firstLine="0"/>
        <w:rPr>
          <w:sz w:val="32"/>
          <w:szCs w:val="32"/>
        </w:rPr>
      </w:pPr>
      <w:bookmarkStart w:id="118" w:name="AppenDix_1"/>
      <w:bookmarkStart w:id="119" w:name="Action_List"/>
      <w:bookmarkStart w:id="120" w:name="_Toc46933760"/>
      <w:bookmarkStart w:id="121" w:name="_Toc46933940"/>
      <w:bookmarkEnd w:id="118"/>
      <w:bookmarkEnd w:id="119"/>
      <w:r w:rsidRPr="000334DF">
        <w:rPr>
          <w:sz w:val="32"/>
          <w:szCs w:val="32"/>
        </w:rPr>
        <w:lastRenderedPageBreak/>
        <w:t>APPENDIX 1</w:t>
      </w:r>
      <w:bookmarkEnd w:id="120"/>
      <w:bookmarkEnd w:id="121"/>
    </w:p>
    <w:p w14:paraId="116BCC8E" w14:textId="6BBFF29F" w:rsidR="00D178DA" w:rsidRDefault="00176F5D" w:rsidP="00054C5B">
      <w:pPr>
        <w:pStyle w:val="Heading3"/>
        <w:ind w:left="-567"/>
        <w:rPr>
          <w:sz w:val="28"/>
          <w:szCs w:val="28"/>
        </w:rPr>
      </w:pPr>
      <w:bookmarkStart w:id="122" w:name="_Toc46933761"/>
      <w:bookmarkStart w:id="123" w:name="_Toc46933941"/>
      <w:r w:rsidRPr="000334DF">
        <w:rPr>
          <w:sz w:val="28"/>
          <w:szCs w:val="28"/>
        </w:rPr>
        <w:t>Action List</w:t>
      </w:r>
      <w:bookmarkEnd w:id="122"/>
      <w:bookmarkEnd w:id="123"/>
    </w:p>
    <w:p w14:paraId="4C631D21" w14:textId="77777777" w:rsidR="00054C5B" w:rsidRDefault="00054C5B" w:rsidP="00054C5B">
      <w:pPr>
        <w:pStyle w:val="Copy"/>
        <w:ind w:left="-567"/>
      </w:pPr>
    </w:p>
    <w:p w14:paraId="6DC29FD2" w14:textId="3DCBBECA" w:rsidR="00D178DA" w:rsidRDefault="00D178DA" w:rsidP="00054C5B">
      <w:pPr>
        <w:pStyle w:val="Copy"/>
        <w:ind w:left="-567"/>
      </w:pPr>
      <w:r>
        <w:t>The action list is a practical checklist for most of the recommendations in the Guidelines. Institutions are able to indicate if the recommendation is relevant to them, what actions they need to take, and the person/team responsible.</w:t>
      </w:r>
    </w:p>
    <w:p w14:paraId="711666C2" w14:textId="77777777" w:rsidR="00911A33" w:rsidRDefault="00911A33">
      <w:pPr>
        <w:pStyle w:val="BodyText"/>
        <w:spacing w:before="7"/>
        <w:rPr>
          <w:b/>
          <w:sz w:val="17"/>
        </w:rPr>
      </w:pPr>
    </w:p>
    <w:tbl>
      <w:tblPr>
        <w:tblW w:w="10773" w:type="dxa"/>
        <w:tblInd w:w="-572" w:type="dxa"/>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Layout w:type="fixed"/>
        <w:tblCellMar>
          <w:left w:w="0" w:type="dxa"/>
          <w:right w:w="0" w:type="dxa"/>
        </w:tblCellMar>
        <w:tblLook w:val="01E0" w:firstRow="1" w:lastRow="1" w:firstColumn="1" w:lastColumn="1" w:noHBand="0" w:noVBand="0"/>
      </w:tblPr>
      <w:tblGrid>
        <w:gridCol w:w="4820"/>
        <w:gridCol w:w="992"/>
        <w:gridCol w:w="2410"/>
        <w:gridCol w:w="2551"/>
      </w:tblGrid>
      <w:tr w:rsidR="00D733CC" w:rsidRPr="00D733CC" w14:paraId="61DA67A9" w14:textId="77777777" w:rsidTr="00884CCD">
        <w:trPr>
          <w:trHeight w:val="493"/>
        </w:trPr>
        <w:tc>
          <w:tcPr>
            <w:tcW w:w="4820" w:type="dxa"/>
            <w:shd w:val="clear" w:color="auto" w:fill="auto"/>
            <w:vAlign w:val="center"/>
          </w:tcPr>
          <w:p w14:paraId="236A62B4" w14:textId="77777777" w:rsidR="00911A33" w:rsidRPr="00054C5B" w:rsidRDefault="00176F5D" w:rsidP="00054C5B">
            <w:pPr>
              <w:pStyle w:val="TableParagraph"/>
              <w:rPr>
                <w:b/>
                <w:sz w:val="18"/>
                <w:szCs w:val="18"/>
              </w:rPr>
            </w:pPr>
            <w:r w:rsidRPr="00054C5B">
              <w:rPr>
                <w:b/>
                <w:sz w:val="18"/>
                <w:szCs w:val="18"/>
              </w:rPr>
              <w:t>CONSIDERATION</w:t>
            </w:r>
          </w:p>
        </w:tc>
        <w:tc>
          <w:tcPr>
            <w:tcW w:w="992" w:type="dxa"/>
            <w:shd w:val="clear" w:color="auto" w:fill="auto"/>
            <w:vAlign w:val="center"/>
          </w:tcPr>
          <w:p w14:paraId="580B2A40" w14:textId="77777777" w:rsidR="00911A33" w:rsidRPr="00054C5B" w:rsidRDefault="00176F5D" w:rsidP="00054C5B">
            <w:pPr>
              <w:pStyle w:val="TableParagraph"/>
              <w:rPr>
                <w:b/>
                <w:sz w:val="18"/>
                <w:szCs w:val="18"/>
              </w:rPr>
            </w:pPr>
            <w:r w:rsidRPr="00054C5B">
              <w:rPr>
                <w:b/>
                <w:sz w:val="18"/>
                <w:szCs w:val="18"/>
              </w:rPr>
              <w:t>RELEVANT?</w:t>
            </w:r>
          </w:p>
        </w:tc>
        <w:tc>
          <w:tcPr>
            <w:tcW w:w="2410" w:type="dxa"/>
            <w:shd w:val="clear" w:color="auto" w:fill="auto"/>
            <w:vAlign w:val="center"/>
          </w:tcPr>
          <w:p w14:paraId="001BB8FC" w14:textId="77777777" w:rsidR="00911A33" w:rsidRPr="00054C5B" w:rsidRDefault="00176F5D" w:rsidP="00054C5B">
            <w:pPr>
              <w:pStyle w:val="TableParagraph"/>
              <w:rPr>
                <w:b/>
                <w:sz w:val="18"/>
                <w:szCs w:val="18"/>
              </w:rPr>
            </w:pPr>
            <w:r w:rsidRPr="00054C5B">
              <w:rPr>
                <w:b/>
                <w:sz w:val="18"/>
                <w:szCs w:val="18"/>
              </w:rPr>
              <w:t>SPECIFIC ACTIONS REQUIRED</w:t>
            </w:r>
          </w:p>
        </w:tc>
        <w:tc>
          <w:tcPr>
            <w:tcW w:w="2551" w:type="dxa"/>
            <w:shd w:val="clear" w:color="auto" w:fill="auto"/>
            <w:vAlign w:val="center"/>
          </w:tcPr>
          <w:p w14:paraId="4B4CF185" w14:textId="77777777" w:rsidR="00911A33" w:rsidRPr="00054C5B" w:rsidRDefault="00176F5D" w:rsidP="00054C5B">
            <w:pPr>
              <w:pStyle w:val="TableParagraph"/>
              <w:rPr>
                <w:b/>
                <w:sz w:val="18"/>
                <w:szCs w:val="18"/>
              </w:rPr>
            </w:pPr>
            <w:r w:rsidRPr="00054C5B">
              <w:rPr>
                <w:b/>
                <w:sz w:val="18"/>
                <w:szCs w:val="18"/>
              </w:rPr>
              <w:t>RESPONSIBLE TEAM/PERSON</w:t>
            </w:r>
          </w:p>
        </w:tc>
      </w:tr>
      <w:tr w:rsidR="00911A33" w:rsidRPr="00D733CC" w14:paraId="2EE0B8EE" w14:textId="77777777" w:rsidTr="00884CCD">
        <w:trPr>
          <w:trHeight w:val="493"/>
        </w:trPr>
        <w:tc>
          <w:tcPr>
            <w:tcW w:w="4820" w:type="dxa"/>
            <w:vAlign w:val="center"/>
          </w:tcPr>
          <w:p w14:paraId="12C7B143" w14:textId="77777777" w:rsidR="00911A33" w:rsidRPr="00D733CC" w:rsidRDefault="00176F5D" w:rsidP="00884CCD">
            <w:pPr>
              <w:pStyle w:val="TableParagraph"/>
              <w:spacing w:before="116"/>
              <w:rPr>
                <w:b/>
                <w:sz w:val="20"/>
              </w:rPr>
            </w:pPr>
            <w:r w:rsidRPr="00D733CC">
              <w:rPr>
                <w:b/>
                <w:sz w:val="20"/>
              </w:rPr>
              <w:t>Disability specific</w:t>
            </w:r>
          </w:p>
        </w:tc>
        <w:tc>
          <w:tcPr>
            <w:tcW w:w="992" w:type="dxa"/>
            <w:vAlign w:val="center"/>
          </w:tcPr>
          <w:p w14:paraId="11E81C47" w14:textId="77777777" w:rsidR="00911A33" w:rsidRPr="00D733CC" w:rsidRDefault="00911A33">
            <w:pPr>
              <w:pStyle w:val="TableParagraph"/>
              <w:rPr>
                <w:rFonts w:ascii="Times New Roman"/>
                <w:sz w:val="18"/>
              </w:rPr>
            </w:pPr>
          </w:p>
        </w:tc>
        <w:tc>
          <w:tcPr>
            <w:tcW w:w="2410" w:type="dxa"/>
            <w:vAlign w:val="center"/>
          </w:tcPr>
          <w:p w14:paraId="10918778" w14:textId="77777777" w:rsidR="00911A33" w:rsidRPr="00D733CC" w:rsidRDefault="00911A33">
            <w:pPr>
              <w:pStyle w:val="TableParagraph"/>
              <w:rPr>
                <w:rFonts w:ascii="Times New Roman"/>
                <w:sz w:val="18"/>
              </w:rPr>
            </w:pPr>
          </w:p>
        </w:tc>
        <w:tc>
          <w:tcPr>
            <w:tcW w:w="2551" w:type="dxa"/>
            <w:vAlign w:val="center"/>
          </w:tcPr>
          <w:p w14:paraId="3A06B87F" w14:textId="77777777" w:rsidR="00911A33" w:rsidRPr="00D733CC" w:rsidRDefault="00911A33">
            <w:pPr>
              <w:pStyle w:val="TableParagraph"/>
              <w:rPr>
                <w:rFonts w:ascii="Times New Roman"/>
                <w:sz w:val="18"/>
              </w:rPr>
            </w:pPr>
          </w:p>
        </w:tc>
      </w:tr>
      <w:tr w:rsidR="00911A33" w:rsidRPr="00D733CC" w14:paraId="26967AA7" w14:textId="77777777" w:rsidTr="00884CCD">
        <w:trPr>
          <w:trHeight w:val="493"/>
        </w:trPr>
        <w:tc>
          <w:tcPr>
            <w:tcW w:w="4820" w:type="dxa"/>
            <w:vAlign w:val="center"/>
          </w:tcPr>
          <w:p w14:paraId="7E233F4D" w14:textId="77777777" w:rsidR="00911A33" w:rsidRPr="00D733CC" w:rsidRDefault="00176F5D" w:rsidP="001454E8">
            <w:pPr>
              <w:pStyle w:val="TableParagraph"/>
              <w:spacing w:before="136"/>
              <w:rPr>
                <w:sz w:val="20"/>
              </w:rPr>
            </w:pPr>
            <w:r w:rsidRPr="00D733CC">
              <w:rPr>
                <w:sz w:val="20"/>
              </w:rPr>
              <w:t>Promotion of general wellbeing strategies</w:t>
            </w:r>
          </w:p>
        </w:tc>
        <w:tc>
          <w:tcPr>
            <w:tcW w:w="992" w:type="dxa"/>
            <w:vAlign w:val="center"/>
          </w:tcPr>
          <w:p w14:paraId="294059B2" w14:textId="77777777" w:rsidR="00911A33" w:rsidRPr="00D733CC" w:rsidRDefault="00911A33">
            <w:pPr>
              <w:pStyle w:val="TableParagraph"/>
              <w:rPr>
                <w:rFonts w:ascii="Times New Roman"/>
                <w:sz w:val="18"/>
              </w:rPr>
            </w:pPr>
          </w:p>
        </w:tc>
        <w:tc>
          <w:tcPr>
            <w:tcW w:w="2410" w:type="dxa"/>
            <w:vAlign w:val="center"/>
          </w:tcPr>
          <w:p w14:paraId="24BDCAB9" w14:textId="77777777" w:rsidR="00911A33" w:rsidRPr="00D733CC" w:rsidRDefault="00911A33">
            <w:pPr>
              <w:pStyle w:val="TableParagraph"/>
              <w:rPr>
                <w:rFonts w:ascii="Times New Roman"/>
                <w:sz w:val="18"/>
              </w:rPr>
            </w:pPr>
          </w:p>
        </w:tc>
        <w:tc>
          <w:tcPr>
            <w:tcW w:w="2551" w:type="dxa"/>
            <w:vAlign w:val="center"/>
          </w:tcPr>
          <w:p w14:paraId="2016D282" w14:textId="77777777" w:rsidR="00911A33" w:rsidRPr="00D733CC" w:rsidRDefault="00911A33">
            <w:pPr>
              <w:pStyle w:val="TableParagraph"/>
              <w:rPr>
                <w:rFonts w:ascii="Times New Roman"/>
                <w:sz w:val="18"/>
              </w:rPr>
            </w:pPr>
          </w:p>
        </w:tc>
      </w:tr>
      <w:tr w:rsidR="00911A33" w:rsidRPr="00D733CC" w14:paraId="49C94FEF" w14:textId="77777777" w:rsidTr="00884CCD">
        <w:trPr>
          <w:trHeight w:val="493"/>
        </w:trPr>
        <w:tc>
          <w:tcPr>
            <w:tcW w:w="4820" w:type="dxa"/>
            <w:vAlign w:val="center"/>
          </w:tcPr>
          <w:p w14:paraId="7E88F75B" w14:textId="62D61CA2" w:rsidR="00911A33" w:rsidRPr="00D733CC" w:rsidRDefault="00176F5D" w:rsidP="001454E8">
            <w:pPr>
              <w:pStyle w:val="TableParagraph"/>
              <w:rPr>
                <w:sz w:val="20"/>
              </w:rPr>
            </w:pPr>
            <w:r w:rsidRPr="00D733CC">
              <w:rPr>
                <w:sz w:val="20"/>
              </w:rPr>
              <w:t>Information easy to find on website</w:t>
            </w:r>
          </w:p>
        </w:tc>
        <w:tc>
          <w:tcPr>
            <w:tcW w:w="992" w:type="dxa"/>
            <w:vAlign w:val="center"/>
          </w:tcPr>
          <w:p w14:paraId="67865C76" w14:textId="77777777" w:rsidR="00911A33" w:rsidRPr="00D733CC" w:rsidRDefault="00911A33">
            <w:pPr>
              <w:pStyle w:val="TableParagraph"/>
              <w:rPr>
                <w:rFonts w:ascii="Times New Roman"/>
                <w:sz w:val="18"/>
              </w:rPr>
            </w:pPr>
          </w:p>
        </w:tc>
        <w:tc>
          <w:tcPr>
            <w:tcW w:w="2410" w:type="dxa"/>
            <w:vAlign w:val="center"/>
          </w:tcPr>
          <w:p w14:paraId="28960531" w14:textId="77777777" w:rsidR="00911A33" w:rsidRPr="00D733CC" w:rsidRDefault="00911A33">
            <w:pPr>
              <w:pStyle w:val="TableParagraph"/>
              <w:rPr>
                <w:rFonts w:ascii="Times New Roman"/>
                <w:sz w:val="18"/>
              </w:rPr>
            </w:pPr>
          </w:p>
        </w:tc>
        <w:tc>
          <w:tcPr>
            <w:tcW w:w="2551" w:type="dxa"/>
            <w:vAlign w:val="center"/>
          </w:tcPr>
          <w:p w14:paraId="1E51F8FA" w14:textId="77777777" w:rsidR="00911A33" w:rsidRPr="00D733CC" w:rsidRDefault="00911A33">
            <w:pPr>
              <w:pStyle w:val="TableParagraph"/>
              <w:rPr>
                <w:rFonts w:ascii="Times New Roman"/>
                <w:sz w:val="18"/>
              </w:rPr>
            </w:pPr>
          </w:p>
        </w:tc>
      </w:tr>
      <w:tr w:rsidR="00911A33" w:rsidRPr="00D733CC" w14:paraId="6894DDC7" w14:textId="77777777" w:rsidTr="00884CCD">
        <w:trPr>
          <w:trHeight w:val="493"/>
        </w:trPr>
        <w:tc>
          <w:tcPr>
            <w:tcW w:w="4820" w:type="dxa"/>
            <w:vAlign w:val="center"/>
          </w:tcPr>
          <w:p w14:paraId="338EFEA6" w14:textId="77777777" w:rsidR="00911A33" w:rsidRPr="00D733CC" w:rsidRDefault="00176F5D" w:rsidP="001454E8">
            <w:pPr>
              <w:pStyle w:val="TableParagraph"/>
              <w:rPr>
                <w:sz w:val="20"/>
              </w:rPr>
            </w:pPr>
            <w:r w:rsidRPr="00D733CC">
              <w:rPr>
                <w:sz w:val="20"/>
              </w:rPr>
              <w:t>Posters promoting webpage</w:t>
            </w:r>
          </w:p>
        </w:tc>
        <w:tc>
          <w:tcPr>
            <w:tcW w:w="992" w:type="dxa"/>
            <w:vAlign w:val="center"/>
          </w:tcPr>
          <w:p w14:paraId="0FCBEBFE" w14:textId="77777777" w:rsidR="00911A33" w:rsidRPr="00D733CC" w:rsidRDefault="00911A33">
            <w:pPr>
              <w:pStyle w:val="TableParagraph"/>
              <w:rPr>
                <w:rFonts w:ascii="Times New Roman"/>
                <w:sz w:val="18"/>
              </w:rPr>
            </w:pPr>
          </w:p>
        </w:tc>
        <w:tc>
          <w:tcPr>
            <w:tcW w:w="2410" w:type="dxa"/>
            <w:vAlign w:val="center"/>
          </w:tcPr>
          <w:p w14:paraId="1D291FE8" w14:textId="77777777" w:rsidR="00911A33" w:rsidRPr="00D733CC" w:rsidRDefault="00911A33">
            <w:pPr>
              <w:pStyle w:val="TableParagraph"/>
              <w:rPr>
                <w:rFonts w:ascii="Times New Roman"/>
                <w:sz w:val="18"/>
              </w:rPr>
            </w:pPr>
          </w:p>
        </w:tc>
        <w:tc>
          <w:tcPr>
            <w:tcW w:w="2551" w:type="dxa"/>
            <w:vAlign w:val="center"/>
          </w:tcPr>
          <w:p w14:paraId="4DB9B656" w14:textId="77777777" w:rsidR="00911A33" w:rsidRPr="00D733CC" w:rsidRDefault="00911A33">
            <w:pPr>
              <w:pStyle w:val="TableParagraph"/>
              <w:rPr>
                <w:rFonts w:ascii="Times New Roman"/>
                <w:sz w:val="18"/>
              </w:rPr>
            </w:pPr>
          </w:p>
        </w:tc>
      </w:tr>
      <w:tr w:rsidR="00911A33" w:rsidRPr="00D733CC" w14:paraId="313182DC" w14:textId="77777777" w:rsidTr="00884CCD">
        <w:trPr>
          <w:trHeight w:val="493"/>
        </w:trPr>
        <w:tc>
          <w:tcPr>
            <w:tcW w:w="4820" w:type="dxa"/>
            <w:vAlign w:val="center"/>
          </w:tcPr>
          <w:p w14:paraId="3804F56D" w14:textId="77777777" w:rsidR="00911A33" w:rsidRPr="00D733CC" w:rsidRDefault="00176F5D" w:rsidP="001454E8">
            <w:pPr>
              <w:pStyle w:val="TableParagraph"/>
              <w:rPr>
                <w:sz w:val="20"/>
              </w:rPr>
            </w:pPr>
            <w:r w:rsidRPr="00D733CC">
              <w:rPr>
                <w:sz w:val="20"/>
              </w:rPr>
              <w:t>Clear, concise step-by-step guides developed</w:t>
            </w:r>
          </w:p>
        </w:tc>
        <w:tc>
          <w:tcPr>
            <w:tcW w:w="992" w:type="dxa"/>
            <w:vAlign w:val="center"/>
          </w:tcPr>
          <w:p w14:paraId="31483250" w14:textId="77777777" w:rsidR="00911A33" w:rsidRPr="00D733CC" w:rsidRDefault="00911A33">
            <w:pPr>
              <w:pStyle w:val="TableParagraph"/>
              <w:rPr>
                <w:rFonts w:ascii="Times New Roman"/>
                <w:sz w:val="18"/>
              </w:rPr>
            </w:pPr>
          </w:p>
        </w:tc>
        <w:tc>
          <w:tcPr>
            <w:tcW w:w="2410" w:type="dxa"/>
            <w:vAlign w:val="center"/>
          </w:tcPr>
          <w:p w14:paraId="39BEE720" w14:textId="77777777" w:rsidR="00911A33" w:rsidRPr="00D733CC" w:rsidRDefault="00911A33">
            <w:pPr>
              <w:pStyle w:val="TableParagraph"/>
              <w:rPr>
                <w:rFonts w:ascii="Times New Roman"/>
                <w:sz w:val="18"/>
              </w:rPr>
            </w:pPr>
          </w:p>
        </w:tc>
        <w:tc>
          <w:tcPr>
            <w:tcW w:w="2551" w:type="dxa"/>
            <w:vAlign w:val="center"/>
          </w:tcPr>
          <w:p w14:paraId="6BB59C13" w14:textId="77777777" w:rsidR="00911A33" w:rsidRPr="00D733CC" w:rsidRDefault="00911A33">
            <w:pPr>
              <w:pStyle w:val="TableParagraph"/>
              <w:rPr>
                <w:rFonts w:ascii="Times New Roman"/>
                <w:sz w:val="18"/>
              </w:rPr>
            </w:pPr>
          </w:p>
        </w:tc>
      </w:tr>
      <w:tr w:rsidR="00911A33" w:rsidRPr="00D733CC" w14:paraId="2B142B8C" w14:textId="77777777" w:rsidTr="00884CCD">
        <w:trPr>
          <w:trHeight w:val="493"/>
        </w:trPr>
        <w:tc>
          <w:tcPr>
            <w:tcW w:w="4820" w:type="dxa"/>
            <w:vAlign w:val="center"/>
          </w:tcPr>
          <w:p w14:paraId="6EE27539" w14:textId="77777777" w:rsidR="00911A33" w:rsidRPr="00D733CC" w:rsidRDefault="00176F5D" w:rsidP="001454E8">
            <w:pPr>
              <w:pStyle w:val="TableParagraph"/>
              <w:rPr>
                <w:sz w:val="20"/>
              </w:rPr>
            </w:pPr>
            <w:r w:rsidRPr="00D733CC">
              <w:rPr>
                <w:sz w:val="20"/>
              </w:rPr>
              <w:t>Quiet locations provided</w:t>
            </w:r>
          </w:p>
        </w:tc>
        <w:tc>
          <w:tcPr>
            <w:tcW w:w="992" w:type="dxa"/>
            <w:vAlign w:val="center"/>
          </w:tcPr>
          <w:p w14:paraId="00B7F0F0" w14:textId="77777777" w:rsidR="00911A33" w:rsidRPr="00D733CC" w:rsidRDefault="00911A33">
            <w:pPr>
              <w:pStyle w:val="TableParagraph"/>
              <w:rPr>
                <w:rFonts w:ascii="Times New Roman"/>
                <w:sz w:val="18"/>
              </w:rPr>
            </w:pPr>
          </w:p>
        </w:tc>
        <w:tc>
          <w:tcPr>
            <w:tcW w:w="2410" w:type="dxa"/>
            <w:vAlign w:val="center"/>
          </w:tcPr>
          <w:p w14:paraId="2BA2E9F3" w14:textId="77777777" w:rsidR="00911A33" w:rsidRPr="00D733CC" w:rsidRDefault="00911A33">
            <w:pPr>
              <w:pStyle w:val="TableParagraph"/>
              <w:rPr>
                <w:rFonts w:ascii="Times New Roman"/>
                <w:sz w:val="18"/>
              </w:rPr>
            </w:pPr>
          </w:p>
        </w:tc>
        <w:tc>
          <w:tcPr>
            <w:tcW w:w="2551" w:type="dxa"/>
            <w:vAlign w:val="center"/>
          </w:tcPr>
          <w:p w14:paraId="23F5E30D" w14:textId="77777777" w:rsidR="00911A33" w:rsidRPr="00D733CC" w:rsidRDefault="00911A33">
            <w:pPr>
              <w:pStyle w:val="TableParagraph"/>
              <w:rPr>
                <w:rFonts w:ascii="Times New Roman"/>
                <w:sz w:val="18"/>
              </w:rPr>
            </w:pPr>
          </w:p>
        </w:tc>
      </w:tr>
      <w:tr w:rsidR="00911A33" w:rsidRPr="00D733CC" w14:paraId="5BAE37E8" w14:textId="77777777" w:rsidTr="00884CCD">
        <w:trPr>
          <w:trHeight w:val="493"/>
        </w:trPr>
        <w:tc>
          <w:tcPr>
            <w:tcW w:w="4820" w:type="dxa"/>
            <w:vAlign w:val="center"/>
          </w:tcPr>
          <w:p w14:paraId="47E756FB" w14:textId="77777777" w:rsidR="00911A33" w:rsidRPr="00D733CC" w:rsidRDefault="00176F5D" w:rsidP="001454E8">
            <w:pPr>
              <w:pStyle w:val="TableParagraph"/>
              <w:rPr>
                <w:sz w:val="20"/>
              </w:rPr>
            </w:pPr>
            <w:r w:rsidRPr="00D733CC">
              <w:rPr>
                <w:sz w:val="20"/>
              </w:rPr>
              <w:t>Orientation and mobility retraining arranged</w:t>
            </w:r>
          </w:p>
        </w:tc>
        <w:tc>
          <w:tcPr>
            <w:tcW w:w="992" w:type="dxa"/>
            <w:vAlign w:val="center"/>
          </w:tcPr>
          <w:p w14:paraId="1100A477" w14:textId="77777777" w:rsidR="00911A33" w:rsidRPr="00D733CC" w:rsidRDefault="00911A33">
            <w:pPr>
              <w:pStyle w:val="TableParagraph"/>
              <w:rPr>
                <w:rFonts w:ascii="Times New Roman"/>
                <w:sz w:val="18"/>
              </w:rPr>
            </w:pPr>
          </w:p>
        </w:tc>
        <w:tc>
          <w:tcPr>
            <w:tcW w:w="2410" w:type="dxa"/>
            <w:vAlign w:val="center"/>
          </w:tcPr>
          <w:p w14:paraId="60B2356E" w14:textId="77777777" w:rsidR="00911A33" w:rsidRPr="00D733CC" w:rsidRDefault="00911A33">
            <w:pPr>
              <w:pStyle w:val="TableParagraph"/>
              <w:rPr>
                <w:rFonts w:ascii="Times New Roman"/>
                <w:sz w:val="18"/>
              </w:rPr>
            </w:pPr>
          </w:p>
        </w:tc>
        <w:tc>
          <w:tcPr>
            <w:tcW w:w="2551" w:type="dxa"/>
            <w:vAlign w:val="center"/>
          </w:tcPr>
          <w:p w14:paraId="2FB8B2C0" w14:textId="77777777" w:rsidR="00911A33" w:rsidRPr="00D733CC" w:rsidRDefault="00911A33">
            <w:pPr>
              <w:pStyle w:val="TableParagraph"/>
              <w:rPr>
                <w:rFonts w:ascii="Times New Roman"/>
                <w:sz w:val="18"/>
              </w:rPr>
            </w:pPr>
          </w:p>
        </w:tc>
      </w:tr>
      <w:tr w:rsidR="00911A33" w:rsidRPr="00D733CC" w14:paraId="53F7A369" w14:textId="77777777" w:rsidTr="00884CCD">
        <w:trPr>
          <w:trHeight w:val="493"/>
        </w:trPr>
        <w:tc>
          <w:tcPr>
            <w:tcW w:w="4820" w:type="dxa"/>
            <w:vAlign w:val="center"/>
          </w:tcPr>
          <w:p w14:paraId="2FC0313D" w14:textId="77777777" w:rsidR="00911A33" w:rsidRPr="00D733CC" w:rsidRDefault="00176F5D" w:rsidP="001454E8">
            <w:pPr>
              <w:pStyle w:val="TableParagraph"/>
              <w:rPr>
                <w:sz w:val="20"/>
              </w:rPr>
            </w:pPr>
            <w:r w:rsidRPr="00D733CC">
              <w:rPr>
                <w:sz w:val="20"/>
              </w:rPr>
              <w:t>Audio materials developed</w:t>
            </w:r>
          </w:p>
        </w:tc>
        <w:tc>
          <w:tcPr>
            <w:tcW w:w="992" w:type="dxa"/>
            <w:vAlign w:val="center"/>
          </w:tcPr>
          <w:p w14:paraId="7B2DB3B1" w14:textId="77777777" w:rsidR="00911A33" w:rsidRPr="00D733CC" w:rsidRDefault="00911A33">
            <w:pPr>
              <w:pStyle w:val="TableParagraph"/>
              <w:rPr>
                <w:rFonts w:ascii="Times New Roman"/>
                <w:sz w:val="18"/>
              </w:rPr>
            </w:pPr>
          </w:p>
        </w:tc>
        <w:tc>
          <w:tcPr>
            <w:tcW w:w="2410" w:type="dxa"/>
            <w:vAlign w:val="center"/>
          </w:tcPr>
          <w:p w14:paraId="235398E5" w14:textId="77777777" w:rsidR="00911A33" w:rsidRPr="00D733CC" w:rsidRDefault="00911A33">
            <w:pPr>
              <w:pStyle w:val="TableParagraph"/>
              <w:rPr>
                <w:rFonts w:ascii="Times New Roman"/>
                <w:sz w:val="18"/>
              </w:rPr>
            </w:pPr>
          </w:p>
        </w:tc>
        <w:tc>
          <w:tcPr>
            <w:tcW w:w="2551" w:type="dxa"/>
            <w:vAlign w:val="center"/>
          </w:tcPr>
          <w:p w14:paraId="591D4BF4" w14:textId="77777777" w:rsidR="00911A33" w:rsidRPr="00D733CC" w:rsidRDefault="00911A33">
            <w:pPr>
              <w:pStyle w:val="TableParagraph"/>
              <w:rPr>
                <w:rFonts w:ascii="Times New Roman"/>
                <w:sz w:val="18"/>
              </w:rPr>
            </w:pPr>
          </w:p>
        </w:tc>
      </w:tr>
      <w:tr w:rsidR="00911A33" w:rsidRPr="00D733CC" w14:paraId="380CB8BF" w14:textId="77777777" w:rsidTr="00884CCD">
        <w:trPr>
          <w:trHeight w:val="493"/>
        </w:trPr>
        <w:tc>
          <w:tcPr>
            <w:tcW w:w="4820" w:type="dxa"/>
            <w:vAlign w:val="center"/>
          </w:tcPr>
          <w:p w14:paraId="10E5EC4F" w14:textId="77777777" w:rsidR="00911A33" w:rsidRPr="00D733CC" w:rsidRDefault="00176F5D" w:rsidP="001454E8">
            <w:pPr>
              <w:pStyle w:val="TableParagraph"/>
              <w:rPr>
                <w:sz w:val="20"/>
              </w:rPr>
            </w:pPr>
            <w:r w:rsidRPr="00D733CC">
              <w:rPr>
                <w:sz w:val="20"/>
              </w:rPr>
              <w:t>Video materials have closed captions</w:t>
            </w:r>
          </w:p>
        </w:tc>
        <w:tc>
          <w:tcPr>
            <w:tcW w:w="992" w:type="dxa"/>
            <w:vAlign w:val="center"/>
          </w:tcPr>
          <w:p w14:paraId="5FA74294" w14:textId="77777777" w:rsidR="00911A33" w:rsidRPr="00D733CC" w:rsidRDefault="00911A33">
            <w:pPr>
              <w:pStyle w:val="TableParagraph"/>
              <w:rPr>
                <w:rFonts w:ascii="Times New Roman"/>
                <w:sz w:val="18"/>
              </w:rPr>
            </w:pPr>
          </w:p>
        </w:tc>
        <w:tc>
          <w:tcPr>
            <w:tcW w:w="2410" w:type="dxa"/>
            <w:vAlign w:val="center"/>
          </w:tcPr>
          <w:p w14:paraId="2EB2043B" w14:textId="77777777" w:rsidR="00911A33" w:rsidRPr="00D733CC" w:rsidRDefault="00911A33">
            <w:pPr>
              <w:pStyle w:val="TableParagraph"/>
              <w:rPr>
                <w:rFonts w:ascii="Times New Roman"/>
                <w:sz w:val="18"/>
              </w:rPr>
            </w:pPr>
          </w:p>
        </w:tc>
        <w:tc>
          <w:tcPr>
            <w:tcW w:w="2551" w:type="dxa"/>
            <w:vAlign w:val="center"/>
          </w:tcPr>
          <w:p w14:paraId="7E590473" w14:textId="77777777" w:rsidR="00911A33" w:rsidRPr="00D733CC" w:rsidRDefault="00911A33">
            <w:pPr>
              <w:pStyle w:val="TableParagraph"/>
              <w:rPr>
                <w:rFonts w:ascii="Times New Roman"/>
                <w:sz w:val="18"/>
              </w:rPr>
            </w:pPr>
          </w:p>
        </w:tc>
      </w:tr>
      <w:tr w:rsidR="00911A33" w:rsidRPr="00D733CC" w14:paraId="25EEF9D5" w14:textId="77777777" w:rsidTr="00884CCD">
        <w:trPr>
          <w:trHeight w:val="493"/>
        </w:trPr>
        <w:tc>
          <w:tcPr>
            <w:tcW w:w="4820" w:type="dxa"/>
            <w:vAlign w:val="center"/>
          </w:tcPr>
          <w:p w14:paraId="4F2A6D28" w14:textId="77777777" w:rsidR="00911A33" w:rsidRPr="00D733CC" w:rsidRDefault="00176F5D" w:rsidP="001454E8">
            <w:pPr>
              <w:pStyle w:val="TableParagraph"/>
              <w:rPr>
                <w:sz w:val="20"/>
              </w:rPr>
            </w:pPr>
            <w:r w:rsidRPr="00D733CC">
              <w:rPr>
                <w:sz w:val="20"/>
              </w:rPr>
              <w:t>See-through masks available</w:t>
            </w:r>
          </w:p>
        </w:tc>
        <w:tc>
          <w:tcPr>
            <w:tcW w:w="992" w:type="dxa"/>
            <w:vAlign w:val="center"/>
          </w:tcPr>
          <w:p w14:paraId="29AA6B3A" w14:textId="77777777" w:rsidR="00911A33" w:rsidRPr="00D733CC" w:rsidRDefault="00911A33">
            <w:pPr>
              <w:pStyle w:val="TableParagraph"/>
              <w:rPr>
                <w:rFonts w:ascii="Times New Roman"/>
                <w:sz w:val="18"/>
              </w:rPr>
            </w:pPr>
          </w:p>
        </w:tc>
        <w:tc>
          <w:tcPr>
            <w:tcW w:w="2410" w:type="dxa"/>
            <w:vAlign w:val="center"/>
          </w:tcPr>
          <w:p w14:paraId="09E065CB" w14:textId="77777777" w:rsidR="00911A33" w:rsidRPr="00D733CC" w:rsidRDefault="00911A33">
            <w:pPr>
              <w:pStyle w:val="TableParagraph"/>
              <w:rPr>
                <w:rFonts w:ascii="Times New Roman"/>
                <w:sz w:val="18"/>
              </w:rPr>
            </w:pPr>
          </w:p>
        </w:tc>
        <w:tc>
          <w:tcPr>
            <w:tcW w:w="2551" w:type="dxa"/>
            <w:vAlign w:val="center"/>
          </w:tcPr>
          <w:p w14:paraId="00ADC86F" w14:textId="77777777" w:rsidR="00911A33" w:rsidRPr="00D733CC" w:rsidRDefault="00911A33">
            <w:pPr>
              <w:pStyle w:val="TableParagraph"/>
              <w:rPr>
                <w:rFonts w:ascii="Times New Roman"/>
                <w:sz w:val="18"/>
              </w:rPr>
            </w:pPr>
          </w:p>
        </w:tc>
      </w:tr>
      <w:tr w:rsidR="00911A33" w:rsidRPr="00D733CC" w14:paraId="12487FEE" w14:textId="77777777" w:rsidTr="00884CCD">
        <w:trPr>
          <w:trHeight w:val="493"/>
        </w:trPr>
        <w:tc>
          <w:tcPr>
            <w:tcW w:w="4820" w:type="dxa"/>
            <w:vAlign w:val="center"/>
          </w:tcPr>
          <w:p w14:paraId="5BF31A00" w14:textId="77777777" w:rsidR="00911A33" w:rsidRPr="00D733CC" w:rsidRDefault="00176F5D" w:rsidP="001454E8">
            <w:pPr>
              <w:pStyle w:val="TableParagraph"/>
              <w:spacing w:before="147"/>
              <w:rPr>
                <w:sz w:val="20"/>
              </w:rPr>
            </w:pPr>
            <w:r w:rsidRPr="00D733CC">
              <w:rPr>
                <w:sz w:val="20"/>
              </w:rPr>
              <w:t>Easy-to-read written information available</w:t>
            </w:r>
          </w:p>
        </w:tc>
        <w:tc>
          <w:tcPr>
            <w:tcW w:w="992" w:type="dxa"/>
            <w:vAlign w:val="center"/>
          </w:tcPr>
          <w:p w14:paraId="18394B21" w14:textId="77777777" w:rsidR="00911A33" w:rsidRPr="00D733CC" w:rsidRDefault="00911A33">
            <w:pPr>
              <w:pStyle w:val="TableParagraph"/>
              <w:rPr>
                <w:rFonts w:ascii="Times New Roman"/>
                <w:sz w:val="18"/>
              </w:rPr>
            </w:pPr>
          </w:p>
        </w:tc>
        <w:tc>
          <w:tcPr>
            <w:tcW w:w="2410" w:type="dxa"/>
            <w:vAlign w:val="center"/>
          </w:tcPr>
          <w:p w14:paraId="6903F9F7" w14:textId="77777777" w:rsidR="00911A33" w:rsidRPr="00D733CC" w:rsidRDefault="00911A33">
            <w:pPr>
              <w:pStyle w:val="TableParagraph"/>
              <w:rPr>
                <w:rFonts w:ascii="Times New Roman"/>
                <w:sz w:val="18"/>
              </w:rPr>
            </w:pPr>
          </w:p>
        </w:tc>
        <w:tc>
          <w:tcPr>
            <w:tcW w:w="2551" w:type="dxa"/>
            <w:vAlign w:val="center"/>
          </w:tcPr>
          <w:p w14:paraId="589975C9" w14:textId="77777777" w:rsidR="00911A33" w:rsidRPr="00D733CC" w:rsidRDefault="00911A33">
            <w:pPr>
              <w:pStyle w:val="TableParagraph"/>
              <w:rPr>
                <w:rFonts w:ascii="Times New Roman"/>
                <w:sz w:val="18"/>
              </w:rPr>
            </w:pPr>
          </w:p>
        </w:tc>
      </w:tr>
      <w:tr w:rsidR="00911A33" w:rsidRPr="00D733CC" w14:paraId="273777AD" w14:textId="77777777" w:rsidTr="00884CCD">
        <w:trPr>
          <w:trHeight w:val="493"/>
        </w:trPr>
        <w:tc>
          <w:tcPr>
            <w:tcW w:w="4820" w:type="dxa"/>
            <w:vAlign w:val="center"/>
          </w:tcPr>
          <w:p w14:paraId="4E1F27C0" w14:textId="77777777" w:rsidR="00911A33" w:rsidRPr="00D733CC" w:rsidRDefault="00176F5D" w:rsidP="001454E8">
            <w:pPr>
              <w:pStyle w:val="TableParagraph"/>
              <w:rPr>
                <w:sz w:val="20"/>
              </w:rPr>
            </w:pPr>
            <w:r w:rsidRPr="00D733CC">
              <w:rPr>
                <w:sz w:val="20"/>
              </w:rPr>
              <w:t>Access champions program established</w:t>
            </w:r>
          </w:p>
        </w:tc>
        <w:tc>
          <w:tcPr>
            <w:tcW w:w="992" w:type="dxa"/>
            <w:vAlign w:val="center"/>
          </w:tcPr>
          <w:p w14:paraId="1C44DD53" w14:textId="77777777" w:rsidR="00911A33" w:rsidRPr="00D733CC" w:rsidRDefault="00911A33">
            <w:pPr>
              <w:pStyle w:val="TableParagraph"/>
              <w:rPr>
                <w:rFonts w:ascii="Times New Roman"/>
                <w:sz w:val="18"/>
              </w:rPr>
            </w:pPr>
          </w:p>
        </w:tc>
        <w:tc>
          <w:tcPr>
            <w:tcW w:w="2410" w:type="dxa"/>
            <w:vAlign w:val="center"/>
          </w:tcPr>
          <w:p w14:paraId="18EB8B34" w14:textId="77777777" w:rsidR="00911A33" w:rsidRPr="00D733CC" w:rsidRDefault="00911A33">
            <w:pPr>
              <w:pStyle w:val="TableParagraph"/>
              <w:rPr>
                <w:rFonts w:ascii="Times New Roman"/>
                <w:sz w:val="18"/>
              </w:rPr>
            </w:pPr>
          </w:p>
        </w:tc>
        <w:tc>
          <w:tcPr>
            <w:tcW w:w="2551" w:type="dxa"/>
            <w:vAlign w:val="center"/>
          </w:tcPr>
          <w:p w14:paraId="1F47F966" w14:textId="77777777" w:rsidR="00911A33" w:rsidRPr="00D733CC" w:rsidRDefault="00911A33">
            <w:pPr>
              <w:pStyle w:val="TableParagraph"/>
              <w:rPr>
                <w:rFonts w:ascii="Times New Roman"/>
                <w:sz w:val="18"/>
              </w:rPr>
            </w:pPr>
          </w:p>
        </w:tc>
      </w:tr>
      <w:tr w:rsidR="00911A33" w:rsidRPr="00D733CC" w14:paraId="54CC0B10" w14:textId="77777777" w:rsidTr="00884CCD">
        <w:trPr>
          <w:trHeight w:val="493"/>
        </w:trPr>
        <w:tc>
          <w:tcPr>
            <w:tcW w:w="4820" w:type="dxa"/>
            <w:vAlign w:val="center"/>
          </w:tcPr>
          <w:p w14:paraId="3E3403B1" w14:textId="77777777" w:rsidR="00911A33" w:rsidRPr="00D733CC" w:rsidRDefault="00176F5D" w:rsidP="001454E8">
            <w:pPr>
              <w:pStyle w:val="TableParagraph"/>
              <w:spacing w:before="1" w:line="235" w:lineRule="auto"/>
              <w:rPr>
                <w:sz w:val="20"/>
              </w:rPr>
            </w:pPr>
            <w:r w:rsidRPr="00D733CC">
              <w:rPr>
                <w:sz w:val="20"/>
              </w:rPr>
              <w:t>Processes for irregular temperature readings established</w:t>
            </w:r>
          </w:p>
        </w:tc>
        <w:tc>
          <w:tcPr>
            <w:tcW w:w="992" w:type="dxa"/>
            <w:vAlign w:val="center"/>
          </w:tcPr>
          <w:p w14:paraId="6C7E63E1" w14:textId="77777777" w:rsidR="00911A33" w:rsidRPr="00D733CC" w:rsidRDefault="00911A33">
            <w:pPr>
              <w:pStyle w:val="TableParagraph"/>
              <w:rPr>
                <w:rFonts w:ascii="Times New Roman"/>
                <w:sz w:val="18"/>
              </w:rPr>
            </w:pPr>
          </w:p>
        </w:tc>
        <w:tc>
          <w:tcPr>
            <w:tcW w:w="2410" w:type="dxa"/>
            <w:vAlign w:val="center"/>
          </w:tcPr>
          <w:p w14:paraId="47CAB2FD" w14:textId="77777777" w:rsidR="00911A33" w:rsidRPr="00D733CC" w:rsidRDefault="00911A33">
            <w:pPr>
              <w:pStyle w:val="TableParagraph"/>
              <w:rPr>
                <w:rFonts w:ascii="Times New Roman"/>
                <w:sz w:val="18"/>
              </w:rPr>
            </w:pPr>
          </w:p>
        </w:tc>
        <w:tc>
          <w:tcPr>
            <w:tcW w:w="2551" w:type="dxa"/>
            <w:vAlign w:val="center"/>
          </w:tcPr>
          <w:p w14:paraId="46415E50" w14:textId="77777777" w:rsidR="00911A33" w:rsidRPr="00D733CC" w:rsidRDefault="00911A33">
            <w:pPr>
              <w:pStyle w:val="TableParagraph"/>
              <w:rPr>
                <w:rFonts w:ascii="Times New Roman"/>
                <w:sz w:val="18"/>
              </w:rPr>
            </w:pPr>
          </w:p>
        </w:tc>
      </w:tr>
      <w:tr w:rsidR="00911A33" w:rsidRPr="00D733CC" w14:paraId="078F4800" w14:textId="77777777" w:rsidTr="00884CCD">
        <w:trPr>
          <w:trHeight w:val="493"/>
        </w:trPr>
        <w:tc>
          <w:tcPr>
            <w:tcW w:w="4820" w:type="dxa"/>
            <w:vAlign w:val="center"/>
          </w:tcPr>
          <w:p w14:paraId="2109D695" w14:textId="3E0F0B74" w:rsidR="00911A33" w:rsidRPr="00D733CC" w:rsidRDefault="00176F5D" w:rsidP="001454E8">
            <w:pPr>
              <w:pStyle w:val="TableParagraph"/>
              <w:spacing w:before="1" w:line="235" w:lineRule="auto"/>
              <w:ind w:right="155"/>
              <w:rPr>
                <w:b/>
                <w:sz w:val="20"/>
              </w:rPr>
            </w:pPr>
            <w:r w:rsidRPr="00D733CC">
              <w:rPr>
                <w:b/>
                <w:sz w:val="20"/>
              </w:rPr>
              <w:t>Individual consultation and risk assessments</w:t>
            </w:r>
          </w:p>
        </w:tc>
        <w:tc>
          <w:tcPr>
            <w:tcW w:w="992" w:type="dxa"/>
            <w:vAlign w:val="center"/>
          </w:tcPr>
          <w:p w14:paraId="1179DA70" w14:textId="77777777" w:rsidR="00911A33" w:rsidRPr="00D733CC" w:rsidRDefault="00911A33">
            <w:pPr>
              <w:pStyle w:val="TableParagraph"/>
              <w:rPr>
                <w:rFonts w:ascii="Times New Roman"/>
                <w:sz w:val="18"/>
              </w:rPr>
            </w:pPr>
          </w:p>
        </w:tc>
        <w:tc>
          <w:tcPr>
            <w:tcW w:w="2410" w:type="dxa"/>
            <w:vAlign w:val="center"/>
          </w:tcPr>
          <w:p w14:paraId="0ABDB908" w14:textId="77777777" w:rsidR="00911A33" w:rsidRPr="00D733CC" w:rsidRDefault="00911A33">
            <w:pPr>
              <w:pStyle w:val="TableParagraph"/>
              <w:rPr>
                <w:rFonts w:ascii="Times New Roman"/>
                <w:sz w:val="18"/>
              </w:rPr>
            </w:pPr>
          </w:p>
        </w:tc>
        <w:tc>
          <w:tcPr>
            <w:tcW w:w="2551" w:type="dxa"/>
            <w:vAlign w:val="center"/>
          </w:tcPr>
          <w:p w14:paraId="2B70202E" w14:textId="77777777" w:rsidR="00911A33" w:rsidRPr="00D733CC" w:rsidRDefault="00911A33">
            <w:pPr>
              <w:pStyle w:val="TableParagraph"/>
              <w:rPr>
                <w:rFonts w:ascii="Times New Roman"/>
                <w:sz w:val="18"/>
              </w:rPr>
            </w:pPr>
          </w:p>
        </w:tc>
      </w:tr>
      <w:tr w:rsidR="00911A33" w:rsidRPr="00D733CC" w14:paraId="2980E587" w14:textId="77777777" w:rsidTr="00884CCD">
        <w:trPr>
          <w:trHeight w:val="493"/>
        </w:trPr>
        <w:tc>
          <w:tcPr>
            <w:tcW w:w="4820" w:type="dxa"/>
            <w:vAlign w:val="center"/>
          </w:tcPr>
          <w:p w14:paraId="419C617E" w14:textId="790181D5" w:rsidR="00911A33" w:rsidRPr="00D733CC" w:rsidRDefault="00176F5D" w:rsidP="001454E8">
            <w:pPr>
              <w:pStyle w:val="TableParagraph"/>
              <w:spacing w:before="1" w:line="235" w:lineRule="auto"/>
              <w:rPr>
                <w:sz w:val="20"/>
              </w:rPr>
            </w:pPr>
            <w:r w:rsidRPr="00D733CC">
              <w:rPr>
                <w:sz w:val="20"/>
              </w:rPr>
              <w:t>Consultation processes and timelines developed</w:t>
            </w:r>
          </w:p>
        </w:tc>
        <w:tc>
          <w:tcPr>
            <w:tcW w:w="992" w:type="dxa"/>
            <w:vAlign w:val="center"/>
          </w:tcPr>
          <w:p w14:paraId="2754EF53" w14:textId="77777777" w:rsidR="00911A33" w:rsidRPr="00D733CC" w:rsidRDefault="00911A33">
            <w:pPr>
              <w:pStyle w:val="TableParagraph"/>
              <w:rPr>
                <w:rFonts w:ascii="Times New Roman"/>
                <w:sz w:val="18"/>
              </w:rPr>
            </w:pPr>
          </w:p>
        </w:tc>
        <w:tc>
          <w:tcPr>
            <w:tcW w:w="2410" w:type="dxa"/>
            <w:vAlign w:val="center"/>
          </w:tcPr>
          <w:p w14:paraId="006E00BF" w14:textId="77777777" w:rsidR="00911A33" w:rsidRPr="00D733CC" w:rsidRDefault="00911A33">
            <w:pPr>
              <w:pStyle w:val="TableParagraph"/>
              <w:rPr>
                <w:rFonts w:ascii="Times New Roman"/>
                <w:sz w:val="18"/>
              </w:rPr>
            </w:pPr>
          </w:p>
        </w:tc>
        <w:tc>
          <w:tcPr>
            <w:tcW w:w="2551" w:type="dxa"/>
            <w:vAlign w:val="center"/>
          </w:tcPr>
          <w:p w14:paraId="171F5EB4" w14:textId="77777777" w:rsidR="00911A33" w:rsidRPr="00D733CC" w:rsidRDefault="00911A33">
            <w:pPr>
              <w:pStyle w:val="TableParagraph"/>
              <w:rPr>
                <w:rFonts w:ascii="Times New Roman"/>
                <w:sz w:val="18"/>
              </w:rPr>
            </w:pPr>
          </w:p>
        </w:tc>
      </w:tr>
      <w:tr w:rsidR="00911A33" w:rsidRPr="00D733CC" w14:paraId="1578B035" w14:textId="77777777" w:rsidTr="00884CCD">
        <w:trPr>
          <w:trHeight w:val="493"/>
        </w:trPr>
        <w:tc>
          <w:tcPr>
            <w:tcW w:w="4820" w:type="dxa"/>
            <w:vAlign w:val="center"/>
          </w:tcPr>
          <w:p w14:paraId="75803E19" w14:textId="77777777" w:rsidR="00911A33" w:rsidRPr="00D733CC" w:rsidRDefault="00176F5D" w:rsidP="001454E8">
            <w:pPr>
              <w:pStyle w:val="TableParagraph"/>
              <w:rPr>
                <w:sz w:val="20"/>
              </w:rPr>
            </w:pPr>
            <w:r w:rsidRPr="00D733CC">
              <w:rPr>
                <w:sz w:val="20"/>
              </w:rPr>
              <w:t>Risk assessment checklist/s completed</w:t>
            </w:r>
          </w:p>
        </w:tc>
        <w:tc>
          <w:tcPr>
            <w:tcW w:w="992" w:type="dxa"/>
            <w:vAlign w:val="center"/>
          </w:tcPr>
          <w:p w14:paraId="53DB4A9A" w14:textId="77777777" w:rsidR="00911A33" w:rsidRPr="00D733CC" w:rsidRDefault="00911A33">
            <w:pPr>
              <w:pStyle w:val="TableParagraph"/>
              <w:rPr>
                <w:rFonts w:ascii="Times New Roman"/>
                <w:sz w:val="18"/>
              </w:rPr>
            </w:pPr>
          </w:p>
        </w:tc>
        <w:tc>
          <w:tcPr>
            <w:tcW w:w="2410" w:type="dxa"/>
            <w:vAlign w:val="center"/>
          </w:tcPr>
          <w:p w14:paraId="1EC9EA29" w14:textId="77777777" w:rsidR="00911A33" w:rsidRPr="00D733CC" w:rsidRDefault="00911A33">
            <w:pPr>
              <w:pStyle w:val="TableParagraph"/>
              <w:rPr>
                <w:rFonts w:ascii="Times New Roman"/>
                <w:sz w:val="18"/>
              </w:rPr>
            </w:pPr>
          </w:p>
        </w:tc>
        <w:tc>
          <w:tcPr>
            <w:tcW w:w="2551" w:type="dxa"/>
            <w:vAlign w:val="center"/>
          </w:tcPr>
          <w:p w14:paraId="4328F62B" w14:textId="77777777" w:rsidR="00911A33" w:rsidRPr="00D733CC" w:rsidRDefault="00911A33">
            <w:pPr>
              <w:pStyle w:val="TableParagraph"/>
              <w:rPr>
                <w:rFonts w:ascii="Times New Roman"/>
                <w:sz w:val="18"/>
              </w:rPr>
            </w:pPr>
          </w:p>
        </w:tc>
      </w:tr>
      <w:tr w:rsidR="00911A33" w:rsidRPr="00D733CC" w14:paraId="25E502AD" w14:textId="77777777" w:rsidTr="00884CCD">
        <w:trPr>
          <w:trHeight w:val="493"/>
        </w:trPr>
        <w:tc>
          <w:tcPr>
            <w:tcW w:w="4820" w:type="dxa"/>
            <w:vAlign w:val="center"/>
          </w:tcPr>
          <w:p w14:paraId="4878F2AF" w14:textId="77777777" w:rsidR="00911A33" w:rsidRPr="00D733CC" w:rsidRDefault="00176F5D" w:rsidP="001454E8">
            <w:pPr>
              <w:pStyle w:val="TableParagraph"/>
              <w:rPr>
                <w:b/>
                <w:sz w:val="20"/>
              </w:rPr>
            </w:pPr>
            <w:r w:rsidRPr="00D733CC">
              <w:rPr>
                <w:b/>
                <w:sz w:val="20"/>
              </w:rPr>
              <w:t>Physical distancing</w:t>
            </w:r>
          </w:p>
        </w:tc>
        <w:tc>
          <w:tcPr>
            <w:tcW w:w="992" w:type="dxa"/>
            <w:vAlign w:val="center"/>
          </w:tcPr>
          <w:p w14:paraId="6302ED27" w14:textId="77777777" w:rsidR="00911A33" w:rsidRPr="00D733CC" w:rsidRDefault="00911A33">
            <w:pPr>
              <w:pStyle w:val="TableParagraph"/>
              <w:rPr>
                <w:rFonts w:ascii="Times New Roman"/>
                <w:sz w:val="18"/>
              </w:rPr>
            </w:pPr>
          </w:p>
        </w:tc>
        <w:tc>
          <w:tcPr>
            <w:tcW w:w="2410" w:type="dxa"/>
            <w:vAlign w:val="center"/>
          </w:tcPr>
          <w:p w14:paraId="0250D93F" w14:textId="77777777" w:rsidR="00911A33" w:rsidRPr="00D733CC" w:rsidRDefault="00911A33">
            <w:pPr>
              <w:pStyle w:val="TableParagraph"/>
              <w:rPr>
                <w:rFonts w:ascii="Times New Roman"/>
                <w:sz w:val="18"/>
              </w:rPr>
            </w:pPr>
          </w:p>
        </w:tc>
        <w:tc>
          <w:tcPr>
            <w:tcW w:w="2551" w:type="dxa"/>
            <w:vAlign w:val="center"/>
          </w:tcPr>
          <w:p w14:paraId="72AB04D3" w14:textId="77777777" w:rsidR="00911A33" w:rsidRPr="00D733CC" w:rsidRDefault="00911A33">
            <w:pPr>
              <w:pStyle w:val="TableParagraph"/>
              <w:rPr>
                <w:rFonts w:ascii="Times New Roman"/>
                <w:sz w:val="18"/>
              </w:rPr>
            </w:pPr>
          </w:p>
        </w:tc>
      </w:tr>
      <w:tr w:rsidR="00911A33" w:rsidRPr="00D733CC" w14:paraId="476AEA8C" w14:textId="77777777" w:rsidTr="00884CCD">
        <w:trPr>
          <w:trHeight w:val="493"/>
        </w:trPr>
        <w:tc>
          <w:tcPr>
            <w:tcW w:w="4820" w:type="dxa"/>
            <w:vAlign w:val="center"/>
          </w:tcPr>
          <w:p w14:paraId="060A29BE" w14:textId="77777777" w:rsidR="00911A33" w:rsidRPr="00D733CC" w:rsidRDefault="00176F5D" w:rsidP="001454E8">
            <w:pPr>
              <w:pStyle w:val="TableParagraph"/>
              <w:rPr>
                <w:sz w:val="20"/>
              </w:rPr>
            </w:pPr>
            <w:r w:rsidRPr="00D733CC">
              <w:rPr>
                <w:sz w:val="20"/>
              </w:rPr>
              <w:t>Suitable for wheelchairs</w:t>
            </w:r>
          </w:p>
        </w:tc>
        <w:tc>
          <w:tcPr>
            <w:tcW w:w="992" w:type="dxa"/>
            <w:vAlign w:val="center"/>
          </w:tcPr>
          <w:p w14:paraId="4EF00283" w14:textId="77777777" w:rsidR="00911A33" w:rsidRPr="00D733CC" w:rsidRDefault="00911A33">
            <w:pPr>
              <w:pStyle w:val="TableParagraph"/>
              <w:rPr>
                <w:rFonts w:ascii="Times New Roman"/>
                <w:sz w:val="18"/>
              </w:rPr>
            </w:pPr>
          </w:p>
        </w:tc>
        <w:tc>
          <w:tcPr>
            <w:tcW w:w="2410" w:type="dxa"/>
            <w:vAlign w:val="center"/>
          </w:tcPr>
          <w:p w14:paraId="689D4709" w14:textId="77777777" w:rsidR="00911A33" w:rsidRPr="00D733CC" w:rsidRDefault="00911A33">
            <w:pPr>
              <w:pStyle w:val="TableParagraph"/>
              <w:rPr>
                <w:rFonts w:ascii="Times New Roman"/>
                <w:sz w:val="18"/>
              </w:rPr>
            </w:pPr>
          </w:p>
        </w:tc>
        <w:tc>
          <w:tcPr>
            <w:tcW w:w="2551" w:type="dxa"/>
            <w:vAlign w:val="center"/>
          </w:tcPr>
          <w:p w14:paraId="74BB103D" w14:textId="77777777" w:rsidR="00911A33" w:rsidRPr="00D733CC" w:rsidRDefault="00911A33">
            <w:pPr>
              <w:pStyle w:val="TableParagraph"/>
              <w:rPr>
                <w:rFonts w:ascii="Times New Roman"/>
                <w:sz w:val="18"/>
              </w:rPr>
            </w:pPr>
          </w:p>
        </w:tc>
      </w:tr>
      <w:tr w:rsidR="00911A33" w:rsidRPr="00D733CC" w14:paraId="271BC180" w14:textId="77777777" w:rsidTr="00884CCD">
        <w:trPr>
          <w:trHeight w:val="493"/>
        </w:trPr>
        <w:tc>
          <w:tcPr>
            <w:tcW w:w="4820" w:type="dxa"/>
            <w:vAlign w:val="center"/>
          </w:tcPr>
          <w:p w14:paraId="1391E338" w14:textId="77777777" w:rsidR="00911A33" w:rsidRPr="00D733CC" w:rsidRDefault="00176F5D" w:rsidP="001454E8">
            <w:pPr>
              <w:pStyle w:val="TableParagraph"/>
              <w:spacing w:before="1" w:line="235" w:lineRule="auto"/>
              <w:rPr>
                <w:sz w:val="20"/>
              </w:rPr>
            </w:pPr>
            <w:r w:rsidRPr="00D733CC">
              <w:rPr>
                <w:sz w:val="20"/>
              </w:rPr>
              <w:t>Posters explain physical distancing and allowances for support workers</w:t>
            </w:r>
          </w:p>
        </w:tc>
        <w:tc>
          <w:tcPr>
            <w:tcW w:w="992" w:type="dxa"/>
            <w:vAlign w:val="center"/>
          </w:tcPr>
          <w:p w14:paraId="5EC69F01" w14:textId="77777777" w:rsidR="00911A33" w:rsidRPr="00D733CC" w:rsidRDefault="00911A33">
            <w:pPr>
              <w:pStyle w:val="TableParagraph"/>
              <w:rPr>
                <w:rFonts w:ascii="Times New Roman"/>
                <w:sz w:val="18"/>
              </w:rPr>
            </w:pPr>
          </w:p>
        </w:tc>
        <w:tc>
          <w:tcPr>
            <w:tcW w:w="2410" w:type="dxa"/>
            <w:vAlign w:val="center"/>
          </w:tcPr>
          <w:p w14:paraId="04CEC408" w14:textId="77777777" w:rsidR="00911A33" w:rsidRPr="00D733CC" w:rsidRDefault="00911A33">
            <w:pPr>
              <w:pStyle w:val="TableParagraph"/>
              <w:rPr>
                <w:rFonts w:ascii="Times New Roman"/>
                <w:sz w:val="18"/>
              </w:rPr>
            </w:pPr>
          </w:p>
        </w:tc>
        <w:tc>
          <w:tcPr>
            <w:tcW w:w="2551" w:type="dxa"/>
            <w:vAlign w:val="center"/>
          </w:tcPr>
          <w:p w14:paraId="0B431225" w14:textId="77777777" w:rsidR="00911A33" w:rsidRPr="00D733CC" w:rsidRDefault="00911A33">
            <w:pPr>
              <w:pStyle w:val="TableParagraph"/>
              <w:rPr>
                <w:rFonts w:ascii="Times New Roman"/>
                <w:sz w:val="18"/>
              </w:rPr>
            </w:pPr>
          </w:p>
        </w:tc>
      </w:tr>
      <w:tr w:rsidR="00911A33" w:rsidRPr="00D733CC" w14:paraId="2471E850" w14:textId="77777777" w:rsidTr="00884CCD">
        <w:trPr>
          <w:trHeight w:val="493"/>
        </w:trPr>
        <w:tc>
          <w:tcPr>
            <w:tcW w:w="4820" w:type="dxa"/>
            <w:vAlign w:val="center"/>
          </w:tcPr>
          <w:p w14:paraId="6714D935" w14:textId="77777777" w:rsidR="00911A33" w:rsidRPr="00D733CC" w:rsidRDefault="00176F5D" w:rsidP="001454E8">
            <w:pPr>
              <w:pStyle w:val="TableParagraph"/>
              <w:spacing w:before="1" w:line="235" w:lineRule="auto"/>
              <w:rPr>
                <w:sz w:val="20"/>
              </w:rPr>
            </w:pPr>
            <w:r w:rsidRPr="00D733CC">
              <w:rPr>
                <w:sz w:val="20"/>
              </w:rPr>
              <w:t>COVID-19 ambassadors/champions program created</w:t>
            </w:r>
          </w:p>
        </w:tc>
        <w:tc>
          <w:tcPr>
            <w:tcW w:w="992" w:type="dxa"/>
            <w:vAlign w:val="center"/>
          </w:tcPr>
          <w:p w14:paraId="25DDBC45" w14:textId="77777777" w:rsidR="00911A33" w:rsidRPr="00D733CC" w:rsidRDefault="00911A33">
            <w:pPr>
              <w:pStyle w:val="TableParagraph"/>
              <w:rPr>
                <w:rFonts w:ascii="Times New Roman"/>
                <w:sz w:val="18"/>
              </w:rPr>
            </w:pPr>
          </w:p>
        </w:tc>
        <w:tc>
          <w:tcPr>
            <w:tcW w:w="2410" w:type="dxa"/>
            <w:vAlign w:val="center"/>
          </w:tcPr>
          <w:p w14:paraId="468C59C4" w14:textId="77777777" w:rsidR="00911A33" w:rsidRPr="00D733CC" w:rsidRDefault="00911A33">
            <w:pPr>
              <w:pStyle w:val="TableParagraph"/>
              <w:rPr>
                <w:rFonts w:ascii="Times New Roman"/>
                <w:sz w:val="18"/>
              </w:rPr>
            </w:pPr>
          </w:p>
        </w:tc>
        <w:tc>
          <w:tcPr>
            <w:tcW w:w="2551" w:type="dxa"/>
            <w:vAlign w:val="center"/>
          </w:tcPr>
          <w:p w14:paraId="115C7E9C" w14:textId="77777777" w:rsidR="00911A33" w:rsidRPr="00D733CC" w:rsidRDefault="00911A33">
            <w:pPr>
              <w:pStyle w:val="TableParagraph"/>
              <w:rPr>
                <w:rFonts w:ascii="Times New Roman"/>
                <w:sz w:val="18"/>
              </w:rPr>
            </w:pPr>
          </w:p>
        </w:tc>
      </w:tr>
      <w:tr w:rsidR="00911A33" w:rsidRPr="00D733CC" w14:paraId="26867D0B" w14:textId="77777777" w:rsidTr="00884CCD">
        <w:trPr>
          <w:trHeight w:val="493"/>
        </w:trPr>
        <w:tc>
          <w:tcPr>
            <w:tcW w:w="4820" w:type="dxa"/>
            <w:vAlign w:val="center"/>
          </w:tcPr>
          <w:p w14:paraId="6B9D100B" w14:textId="77777777" w:rsidR="00911A33" w:rsidRPr="00D733CC" w:rsidRDefault="00176F5D" w:rsidP="001454E8">
            <w:pPr>
              <w:pStyle w:val="TableParagraph"/>
              <w:rPr>
                <w:b/>
                <w:sz w:val="20"/>
              </w:rPr>
            </w:pPr>
            <w:r w:rsidRPr="00D733CC">
              <w:rPr>
                <w:b/>
                <w:sz w:val="20"/>
              </w:rPr>
              <w:t>Hand hygiene</w:t>
            </w:r>
          </w:p>
        </w:tc>
        <w:tc>
          <w:tcPr>
            <w:tcW w:w="992" w:type="dxa"/>
            <w:vAlign w:val="center"/>
          </w:tcPr>
          <w:p w14:paraId="037D64AB" w14:textId="77777777" w:rsidR="00911A33" w:rsidRPr="00D733CC" w:rsidRDefault="00911A33">
            <w:pPr>
              <w:pStyle w:val="TableParagraph"/>
              <w:rPr>
                <w:rFonts w:ascii="Times New Roman"/>
                <w:sz w:val="18"/>
              </w:rPr>
            </w:pPr>
          </w:p>
        </w:tc>
        <w:tc>
          <w:tcPr>
            <w:tcW w:w="2410" w:type="dxa"/>
            <w:vAlign w:val="center"/>
          </w:tcPr>
          <w:p w14:paraId="7C8BB288" w14:textId="77777777" w:rsidR="00911A33" w:rsidRPr="00D733CC" w:rsidRDefault="00911A33">
            <w:pPr>
              <w:pStyle w:val="TableParagraph"/>
              <w:rPr>
                <w:rFonts w:ascii="Times New Roman"/>
                <w:sz w:val="18"/>
              </w:rPr>
            </w:pPr>
          </w:p>
        </w:tc>
        <w:tc>
          <w:tcPr>
            <w:tcW w:w="2551" w:type="dxa"/>
            <w:vAlign w:val="center"/>
          </w:tcPr>
          <w:p w14:paraId="164D1760" w14:textId="77777777" w:rsidR="00911A33" w:rsidRPr="00D733CC" w:rsidRDefault="00911A33">
            <w:pPr>
              <w:pStyle w:val="TableParagraph"/>
              <w:rPr>
                <w:rFonts w:ascii="Times New Roman"/>
                <w:sz w:val="18"/>
              </w:rPr>
            </w:pPr>
          </w:p>
        </w:tc>
      </w:tr>
      <w:tr w:rsidR="00911A33" w:rsidRPr="00D733CC" w14:paraId="47745248" w14:textId="77777777" w:rsidTr="00884CCD">
        <w:trPr>
          <w:trHeight w:val="493"/>
        </w:trPr>
        <w:tc>
          <w:tcPr>
            <w:tcW w:w="4820" w:type="dxa"/>
            <w:vAlign w:val="center"/>
          </w:tcPr>
          <w:p w14:paraId="5E21857B" w14:textId="77777777" w:rsidR="00911A33" w:rsidRPr="00D733CC" w:rsidRDefault="00176F5D" w:rsidP="001454E8">
            <w:pPr>
              <w:pStyle w:val="TableParagraph"/>
              <w:rPr>
                <w:sz w:val="20"/>
              </w:rPr>
            </w:pPr>
            <w:r w:rsidRPr="00D733CC">
              <w:rPr>
                <w:sz w:val="20"/>
              </w:rPr>
              <w:t>Adjustable height stations</w:t>
            </w:r>
          </w:p>
        </w:tc>
        <w:tc>
          <w:tcPr>
            <w:tcW w:w="992" w:type="dxa"/>
            <w:vAlign w:val="center"/>
          </w:tcPr>
          <w:p w14:paraId="470AA1FD" w14:textId="77777777" w:rsidR="00911A33" w:rsidRPr="00D733CC" w:rsidRDefault="00911A33">
            <w:pPr>
              <w:pStyle w:val="TableParagraph"/>
              <w:rPr>
                <w:rFonts w:ascii="Times New Roman"/>
                <w:sz w:val="18"/>
              </w:rPr>
            </w:pPr>
          </w:p>
        </w:tc>
        <w:tc>
          <w:tcPr>
            <w:tcW w:w="2410" w:type="dxa"/>
            <w:vAlign w:val="center"/>
          </w:tcPr>
          <w:p w14:paraId="7DF54CBC" w14:textId="77777777" w:rsidR="00911A33" w:rsidRPr="00D733CC" w:rsidRDefault="00911A33">
            <w:pPr>
              <w:pStyle w:val="TableParagraph"/>
              <w:rPr>
                <w:rFonts w:ascii="Times New Roman"/>
                <w:sz w:val="18"/>
              </w:rPr>
            </w:pPr>
          </w:p>
        </w:tc>
        <w:tc>
          <w:tcPr>
            <w:tcW w:w="2551" w:type="dxa"/>
            <w:vAlign w:val="center"/>
          </w:tcPr>
          <w:p w14:paraId="468DC2BB" w14:textId="77777777" w:rsidR="00911A33" w:rsidRPr="00D733CC" w:rsidRDefault="00911A33">
            <w:pPr>
              <w:pStyle w:val="TableParagraph"/>
              <w:rPr>
                <w:rFonts w:ascii="Times New Roman"/>
                <w:sz w:val="18"/>
              </w:rPr>
            </w:pPr>
          </w:p>
        </w:tc>
      </w:tr>
    </w:tbl>
    <w:p w14:paraId="54855F88" w14:textId="135F5A41" w:rsidR="00D178DA" w:rsidRPr="00D733CC" w:rsidRDefault="00D178DA">
      <w:pPr>
        <w:rPr>
          <w:rFonts w:ascii="Times New Roman"/>
          <w:sz w:val="18"/>
        </w:rPr>
        <w:sectPr w:rsidR="00D178DA" w:rsidRPr="00D733CC" w:rsidSect="008D42A8">
          <w:footerReference w:type="default" r:id="rId32"/>
          <w:pgSz w:w="12240" w:h="15840"/>
          <w:pgMar w:top="851" w:right="1440" w:bottom="1440" w:left="1276" w:header="0" w:footer="400" w:gutter="0"/>
          <w:pgNumType w:start="21"/>
          <w:cols w:space="720"/>
        </w:sectPr>
      </w:pPr>
    </w:p>
    <w:p w14:paraId="67B5E4E2" w14:textId="3F8AAABF" w:rsidR="00D733CC" w:rsidRPr="00D733CC" w:rsidRDefault="00176F5D" w:rsidP="006E2856">
      <w:pPr>
        <w:pStyle w:val="BodyText"/>
      </w:pPr>
      <w:r w:rsidRPr="00D733CC">
        <w:rPr>
          <w:noProof/>
        </w:rPr>
        <w:lastRenderedPageBreak/>
        <mc:AlternateContent>
          <mc:Choice Requires="wps">
            <w:drawing>
              <wp:anchor distT="0" distB="0" distL="114300" distR="114300" simplePos="0" relativeHeight="251708416" behindDoc="0" locked="0" layoutInCell="1" allowOverlap="1" wp14:anchorId="49449F2D" wp14:editId="29181A34">
                <wp:simplePos x="0" y="0"/>
                <wp:positionH relativeFrom="page">
                  <wp:posOffset>457200</wp:posOffset>
                </wp:positionH>
                <wp:positionV relativeFrom="page">
                  <wp:posOffset>647700</wp:posOffset>
                </wp:positionV>
                <wp:extent cx="6962775" cy="9191625"/>
                <wp:effectExtent l="0" t="0" r="9525" b="9525"/>
                <wp:wrapNone/>
                <wp:docPr id="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919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Layout w:type="fixed"/>
                              <w:tblCellMar>
                                <w:left w:w="0" w:type="dxa"/>
                                <w:right w:w="0" w:type="dxa"/>
                              </w:tblCellMar>
                              <w:tblLook w:val="01E0" w:firstRow="1" w:lastRow="1" w:firstColumn="1" w:lastColumn="1" w:noHBand="0" w:noVBand="0"/>
                            </w:tblPr>
                            <w:tblGrid>
                              <w:gridCol w:w="4810"/>
                              <w:gridCol w:w="992"/>
                              <w:gridCol w:w="2410"/>
                              <w:gridCol w:w="2556"/>
                            </w:tblGrid>
                            <w:tr w:rsidR="00D178DA" w14:paraId="4DDA2179" w14:textId="77777777" w:rsidTr="00884CCD">
                              <w:trPr>
                                <w:trHeight w:val="551"/>
                              </w:trPr>
                              <w:tc>
                                <w:tcPr>
                                  <w:tcW w:w="4810" w:type="dxa"/>
                                  <w:shd w:val="clear" w:color="auto" w:fill="auto"/>
                                </w:tcPr>
                                <w:p w14:paraId="5B1F4344" w14:textId="77777777" w:rsidR="00D178DA" w:rsidRPr="00054C5B" w:rsidRDefault="00D178DA" w:rsidP="001454E8">
                                  <w:pPr>
                                    <w:pStyle w:val="TableParagraph"/>
                                    <w:spacing w:before="139"/>
                                    <w:rPr>
                                      <w:b/>
                                      <w:sz w:val="18"/>
                                      <w:szCs w:val="18"/>
                                    </w:rPr>
                                  </w:pPr>
                                  <w:r w:rsidRPr="00054C5B">
                                    <w:rPr>
                                      <w:b/>
                                      <w:sz w:val="18"/>
                                      <w:szCs w:val="18"/>
                                    </w:rPr>
                                    <w:t>CONSIDERATION</w:t>
                                  </w:r>
                                </w:p>
                              </w:tc>
                              <w:tc>
                                <w:tcPr>
                                  <w:tcW w:w="992" w:type="dxa"/>
                                  <w:shd w:val="clear" w:color="auto" w:fill="auto"/>
                                </w:tcPr>
                                <w:p w14:paraId="596463CA" w14:textId="77777777" w:rsidR="00D178DA" w:rsidRPr="00054C5B" w:rsidRDefault="00D178DA" w:rsidP="001454E8">
                                  <w:pPr>
                                    <w:pStyle w:val="TableParagraph"/>
                                    <w:spacing w:before="139"/>
                                    <w:rPr>
                                      <w:b/>
                                      <w:sz w:val="18"/>
                                      <w:szCs w:val="18"/>
                                    </w:rPr>
                                  </w:pPr>
                                  <w:r w:rsidRPr="00054C5B">
                                    <w:rPr>
                                      <w:b/>
                                      <w:sz w:val="18"/>
                                      <w:szCs w:val="18"/>
                                    </w:rPr>
                                    <w:t>RELEVANT?</w:t>
                                  </w:r>
                                </w:p>
                              </w:tc>
                              <w:tc>
                                <w:tcPr>
                                  <w:tcW w:w="2410" w:type="dxa"/>
                                  <w:shd w:val="clear" w:color="auto" w:fill="auto"/>
                                </w:tcPr>
                                <w:p w14:paraId="7B551F49" w14:textId="77777777" w:rsidR="00D178DA" w:rsidRPr="00054C5B" w:rsidRDefault="00D178DA" w:rsidP="001454E8">
                                  <w:pPr>
                                    <w:pStyle w:val="TableParagraph"/>
                                    <w:spacing w:before="139"/>
                                    <w:rPr>
                                      <w:b/>
                                      <w:sz w:val="18"/>
                                      <w:szCs w:val="18"/>
                                    </w:rPr>
                                  </w:pPr>
                                  <w:r w:rsidRPr="00054C5B">
                                    <w:rPr>
                                      <w:b/>
                                      <w:sz w:val="18"/>
                                      <w:szCs w:val="18"/>
                                    </w:rPr>
                                    <w:t>SPECIFIC ACTIONS REQUIRED</w:t>
                                  </w:r>
                                </w:p>
                              </w:tc>
                              <w:tc>
                                <w:tcPr>
                                  <w:tcW w:w="2556" w:type="dxa"/>
                                  <w:shd w:val="clear" w:color="auto" w:fill="auto"/>
                                </w:tcPr>
                                <w:p w14:paraId="0B9E2ABC" w14:textId="77777777" w:rsidR="00D178DA" w:rsidRPr="00054C5B" w:rsidRDefault="00D178DA" w:rsidP="001454E8">
                                  <w:pPr>
                                    <w:pStyle w:val="TableParagraph"/>
                                    <w:spacing w:before="139"/>
                                    <w:rPr>
                                      <w:b/>
                                      <w:sz w:val="18"/>
                                      <w:szCs w:val="18"/>
                                    </w:rPr>
                                  </w:pPr>
                                  <w:r w:rsidRPr="00054C5B">
                                    <w:rPr>
                                      <w:b/>
                                      <w:color w:val="414042"/>
                                      <w:sz w:val="18"/>
                                      <w:szCs w:val="18"/>
                                    </w:rPr>
                                    <w:t>RESPONSIBLE TEAM/PERSON</w:t>
                                  </w:r>
                                </w:p>
                              </w:tc>
                            </w:tr>
                            <w:tr w:rsidR="00D178DA" w14:paraId="3A1595AF" w14:textId="77777777" w:rsidTr="00884CCD">
                              <w:trPr>
                                <w:trHeight w:val="551"/>
                              </w:trPr>
                              <w:tc>
                                <w:tcPr>
                                  <w:tcW w:w="4810" w:type="dxa"/>
                                  <w:vAlign w:val="center"/>
                                </w:tcPr>
                                <w:p w14:paraId="4442FB1E" w14:textId="77777777" w:rsidR="00D178DA" w:rsidRPr="00D733CC" w:rsidRDefault="00D178DA" w:rsidP="001454E8">
                                  <w:pPr>
                                    <w:pStyle w:val="TableParagraph"/>
                                    <w:spacing w:before="48"/>
                                    <w:rPr>
                                      <w:sz w:val="20"/>
                                    </w:rPr>
                                  </w:pPr>
                                  <w:r w:rsidRPr="00D733CC">
                                    <w:rPr>
                                      <w:sz w:val="20"/>
                                    </w:rPr>
                                    <w:t>Automatic and contactless</w:t>
                                  </w:r>
                                </w:p>
                              </w:tc>
                              <w:tc>
                                <w:tcPr>
                                  <w:tcW w:w="992" w:type="dxa"/>
                                </w:tcPr>
                                <w:p w14:paraId="58A897C5" w14:textId="77777777" w:rsidR="00D178DA" w:rsidRPr="00D733CC" w:rsidRDefault="00D178DA">
                                  <w:pPr>
                                    <w:pStyle w:val="TableParagraph"/>
                                    <w:rPr>
                                      <w:rFonts w:ascii="Times New Roman"/>
                                      <w:sz w:val="18"/>
                                    </w:rPr>
                                  </w:pPr>
                                </w:p>
                              </w:tc>
                              <w:tc>
                                <w:tcPr>
                                  <w:tcW w:w="2410" w:type="dxa"/>
                                </w:tcPr>
                                <w:p w14:paraId="56D353A8" w14:textId="77777777" w:rsidR="00D178DA" w:rsidRPr="00D733CC" w:rsidRDefault="00D178DA">
                                  <w:pPr>
                                    <w:pStyle w:val="TableParagraph"/>
                                    <w:rPr>
                                      <w:rFonts w:ascii="Times New Roman"/>
                                      <w:sz w:val="18"/>
                                    </w:rPr>
                                  </w:pPr>
                                </w:p>
                              </w:tc>
                              <w:tc>
                                <w:tcPr>
                                  <w:tcW w:w="2556" w:type="dxa"/>
                                </w:tcPr>
                                <w:p w14:paraId="043D2DE0" w14:textId="77777777" w:rsidR="00D178DA" w:rsidRDefault="00D178DA">
                                  <w:pPr>
                                    <w:pStyle w:val="TableParagraph"/>
                                    <w:rPr>
                                      <w:rFonts w:ascii="Times New Roman"/>
                                      <w:sz w:val="18"/>
                                    </w:rPr>
                                  </w:pPr>
                                </w:p>
                              </w:tc>
                            </w:tr>
                            <w:tr w:rsidR="00D178DA" w14:paraId="28E32B97" w14:textId="77777777" w:rsidTr="00884CCD">
                              <w:trPr>
                                <w:trHeight w:val="551"/>
                              </w:trPr>
                              <w:tc>
                                <w:tcPr>
                                  <w:tcW w:w="4810" w:type="dxa"/>
                                  <w:vAlign w:val="center"/>
                                </w:tcPr>
                                <w:p w14:paraId="7A0258F4" w14:textId="77777777" w:rsidR="00D178DA" w:rsidRPr="00D733CC" w:rsidRDefault="00D178DA" w:rsidP="001454E8">
                                  <w:pPr>
                                    <w:pStyle w:val="TableParagraph"/>
                                    <w:rPr>
                                      <w:sz w:val="20"/>
                                    </w:rPr>
                                  </w:pPr>
                                  <w:r w:rsidRPr="00D733CC">
                                    <w:rPr>
                                      <w:sz w:val="20"/>
                                    </w:rPr>
                                    <w:t>Personal hand sanitiser bottles</w:t>
                                  </w:r>
                                </w:p>
                              </w:tc>
                              <w:tc>
                                <w:tcPr>
                                  <w:tcW w:w="992" w:type="dxa"/>
                                </w:tcPr>
                                <w:p w14:paraId="471B7AC2" w14:textId="77777777" w:rsidR="00D178DA" w:rsidRPr="00D733CC" w:rsidRDefault="00D178DA">
                                  <w:pPr>
                                    <w:pStyle w:val="TableParagraph"/>
                                    <w:rPr>
                                      <w:rFonts w:ascii="Times New Roman"/>
                                      <w:sz w:val="18"/>
                                    </w:rPr>
                                  </w:pPr>
                                </w:p>
                              </w:tc>
                              <w:tc>
                                <w:tcPr>
                                  <w:tcW w:w="2410" w:type="dxa"/>
                                </w:tcPr>
                                <w:p w14:paraId="04413088" w14:textId="77777777" w:rsidR="00D178DA" w:rsidRPr="00D733CC" w:rsidRDefault="00D178DA">
                                  <w:pPr>
                                    <w:pStyle w:val="TableParagraph"/>
                                    <w:rPr>
                                      <w:rFonts w:ascii="Times New Roman"/>
                                      <w:sz w:val="18"/>
                                    </w:rPr>
                                  </w:pPr>
                                </w:p>
                              </w:tc>
                              <w:tc>
                                <w:tcPr>
                                  <w:tcW w:w="2556" w:type="dxa"/>
                                </w:tcPr>
                                <w:p w14:paraId="53EF92E5" w14:textId="77777777" w:rsidR="00D178DA" w:rsidRDefault="00D178DA">
                                  <w:pPr>
                                    <w:pStyle w:val="TableParagraph"/>
                                    <w:rPr>
                                      <w:rFonts w:ascii="Times New Roman"/>
                                      <w:sz w:val="18"/>
                                    </w:rPr>
                                  </w:pPr>
                                </w:p>
                              </w:tc>
                            </w:tr>
                            <w:tr w:rsidR="00D178DA" w14:paraId="1E0B2291" w14:textId="77777777" w:rsidTr="00884CCD">
                              <w:trPr>
                                <w:trHeight w:val="551"/>
                              </w:trPr>
                              <w:tc>
                                <w:tcPr>
                                  <w:tcW w:w="4810" w:type="dxa"/>
                                  <w:vAlign w:val="center"/>
                                </w:tcPr>
                                <w:p w14:paraId="20AFF9EF" w14:textId="77777777" w:rsidR="00D178DA" w:rsidRPr="00D733CC" w:rsidRDefault="00D178DA" w:rsidP="001454E8">
                                  <w:pPr>
                                    <w:pStyle w:val="TableParagraph"/>
                                    <w:rPr>
                                      <w:sz w:val="20"/>
                                    </w:rPr>
                                  </w:pPr>
                                  <w:r w:rsidRPr="00D733CC">
                                    <w:rPr>
                                      <w:sz w:val="20"/>
                                    </w:rPr>
                                    <w:t>Low allergen and fragrance free</w:t>
                                  </w:r>
                                </w:p>
                              </w:tc>
                              <w:tc>
                                <w:tcPr>
                                  <w:tcW w:w="992" w:type="dxa"/>
                                </w:tcPr>
                                <w:p w14:paraId="1A140B36" w14:textId="77777777" w:rsidR="00D178DA" w:rsidRPr="00D733CC" w:rsidRDefault="00D178DA">
                                  <w:pPr>
                                    <w:pStyle w:val="TableParagraph"/>
                                    <w:rPr>
                                      <w:rFonts w:ascii="Times New Roman"/>
                                      <w:sz w:val="18"/>
                                    </w:rPr>
                                  </w:pPr>
                                </w:p>
                              </w:tc>
                              <w:tc>
                                <w:tcPr>
                                  <w:tcW w:w="2410" w:type="dxa"/>
                                </w:tcPr>
                                <w:p w14:paraId="0DFED1BD" w14:textId="77777777" w:rsidR="00D178DA" w:rsidRPr="00D733CC" w:rsidRDefault="00D178DA">
                                  <w:pPr>
                                    <w:pStyle w:val="TableParagraph"/>
                                    <w:rPr>
                                      <w:rFonts w:ascii="Times New Roman"/>
                                      <w:sz w:val="18"/>
                                    </w:rPr>
                                  </w:pPr>
                                </w:p>
                              </w:tc>
                              <w:tc>
                                <w:tcPr>
                                  <w:tcW w:w="2556" w:type="dxa"/>
                                </w:tcPr>
                                <w:p w14:paraId="03C0FF34" w14:textId="77777777" w:rsidR="00D178DA" w:rsidRDefault="00D178DA">
                                  <w:pPr>
                                    <w:pStyle w:val="TableParagraph"/>
                                    <w:rPr>
                                      <w:rFonts w:ascii="Times New Roman"/>
                                      <w:sz w:val="18"/>
                                    </w:rPr>
                                  </w:pPr>
                                </w:p>
                              </w:tc>
                            </w:tr>
                            <w:tr w:rsidR="00D178DA" w14:paraId="1527ACE6" w14:textId="77777777" w:rsidTr="00884CCD">
                              <w:trPr>
                                <w:trHeight w:val="551"/>
                              </w:trPr>
                              <w:tc>
                                <w:tcPr>
                                  <w:tcW w:w="4810" w:type="dxa"/>
                                  <w:vAlign w:val="center"/>
                                </w:tcPr>
                                <w:p w14:paraId="43BCC3EE" w14:textId="77777777" w:rsidR="00D178DA" w:rsidRPr="00D733CC" w:rsidRDefault="00D178DA" w:rsidP="001454E8">
                                  <w:pPr>
                                    <w:pStyle w:val="TableParagraph"/>
                                    <w:rPr>
                                      <w:b/>
                                      <w:sz w:val="20"/>
                                    </w:rPr>
                                  </w:pPr>
                                  <w:r w:rsidRPr="00D733CC">
                                    <w:rPr>
                                      <w:b/>
                                      <w:sz w:val="20"/>
                                    </w:rPr>
                                    <w:t>Cough and sneeze etiquette</w:t>
                                  </w:r>
                                </w:p>
                              </w:tc>
                              <w:tc>
                                <w:tcPr>
                                  <w:tcW w:w="992" w:type="dxa"/>
                                </w:tcPr>
                                <w:p w14:paraId="3BB555AE" w14:textId="77777777" w:rsidR="00D178DA" w:rsidRPr="00D733CC" w:rsidRDefault="00D178DA">
                                  <w:pPr>
                                    <w:pStyle w:val="TableParagraph"/>
                                    <w:rPr>
                                      <w:rFonts w:ascii="Times New Roman"/>
                                      <w:sz w:val="18"/>
                                    </w:rPr>
                                  </w:pPr>
                                </w:p>
                              </w:tc>
                              <w:tc>
                                <w:tcPr>
                                  <w:tcW w:w="2410" w:type="dxa"/>
                                </w:tcPr>
                                <w:p w14:paraId="36A4D458" w14:textId="77777777" w:rsidR="00D178DA" w:rsidRPr="00D733CC" w:rsidRDefault="00D178DA">
                                  <w:pPr>
                                    <w:pStyle w:val="TableParagraph"/>
                                    <w:rPr>
                                      <w:rFonts w:ascii="Times New Roman"/>
                                      <w:sz w:val="18"/>
                                    </w:rPr>
                                  </w:pPr>
                                </w:p>
                              </w:tc>
                              <w:tc>
                                <w:tcPr>
                                  <w:tcW w:w="2556" w:type="dxa"/>
                                </w:tcPr>
                                <w:p w14:paraId="6C730F87" w14:textId="77777777" w:rsidR="00D178DA" w:rsidRDefault="00D178DA">
                                  <w:pPr>
                                    <w:pStyle w:val="TableParagraph"/>
                                    <w:rPr>
                                      <w:rFonts w:ascii="Times New Roman"/>
                                      <w:sz w:val="18"/>
                                    </w:rPr>
                                  </w:pPr>
                                </w:p>
                              </w:tc>
                            </w:tr>
                            <w:tr w:rsidR="00D178DA" w14:paraId="55F1FC86" w14:textId="77777777" w:rsidTr="00884CCD">
                              <w:trPr>
                                <w:trHeight w:val="551"/>
                              </w:trPr>
                              <w:tc>
                                <w:tcPr>
                                  <w:tcW w:w="4810" w:type="dxa"/>
                                  <w:vAlign w:val="center"/>
                                </w:tcPr>
                                <w:p w14:paraId="38B14D2E" w14:textId="77777777" w:rsidR="00D178DA" w:rsidRPr="00D733CC" w:rsidRDefault="00D178DA" w:rsidP="001454E8">
                                  <w:pPr>
                                    <w:pStyle w:val="TableParagraph"/>
                                    <w:rPr>
                                      <w:sz w:val="20"/>
                                    </w:rPr>
                                  </w:pPr>
                                  <w:r w:rsidRPr="00D733CC">
                                    <w:rPr>
                                      <w:sz w:val="20"/>
                                    </w:rPr>
                                    <w:t>Accessible waste bins</w:t>
                                  </w:r>
                                </w:p>
                              </w:tc>
                              <w:tc>
                                <w:tcPr>
                                  <w:tcW w:w="992" w:type="dxa"/>
                                </w:tcPr>
                                <w:p w14:paraId="04EAA113" w14:textId="77777777" w:rsidR="00D178DA" w:rsidRPr="00D733CC" w:rsidRDefault="00D178DA">
                                  <w:pPr>
                                    <w:pStyle w:val="TableParagraph"/>
                                    <w:rPr>
                                      <w:rFonts w:ascii="Times New Roman"/>
                                      <w:sz w:val="18"/>
                                    </w:rPr>
                                  </w:pPr>
                                </w:p>
                              </w:tc>
                              <w:tc>
                                <w:tcPr>
                                  <w:tcW w:w="2410" w:type="dxa"/>
                                </w:tcPr>
                                <w:p w14:paraId="383214B1" w14:textId="77777777" w:rsidR="00D178DA" w:rsidRPr="00D733CC" w:rsidRDefault="00D178DA">
                                  <w:pPr>
                                    <w:pStyle w:val="TableParagraph"/>
                                    <w:rPr>
                                      <w:rFonts w:ascii="Times New Roman"/>
                                      <w:sz w:val="18"/>
                                    </w:rPr>
                                  </w:pPr>
                                </w:p>
                              </w:tc>
                              <w:tc>
                                <w:tcPr>
                                  <w:tcW w:w="2556" w:type="dxa"/>
                                </w:tcPr>
                                <w:p w14:paraId="7450AC61" w14:textId="77777777" w:rsidR="00D178DA" w:rsidRDefault="00D178DA">
                                  <w:pPr>
                                    <w:pStyle w:val="TableParagraph"/>
                                    <w:rPr>
                                      <w:rFonts w:ascii="Times New Roman"/>
                                      <w:sz w:val="18"/>
                                    </w:rPr>
                                  </w:pPr>
                                </w:p>
                              </w:tc>
                            </w:tr>
                            <w:tr w:rsidR="00D178DA" w14:paraId="5FA8DA1D" w14:textId="77777777" w:rsidTr="00884CCD">
                              <w:trPr>
                                <w:trHeight w:val="551"/>
                              </w:trPr>
                              <w:tc>
                                <w:tcPr>
                                  <w:tcW w:w="4810" w:type="dxa"/>
                                  <w:vAlign w:val="center"/>
                                </w:tcPr>
                                <w:p w14:paraId="0073069D" w14:textId="77777777" w:rsidR="00D178DA" w:rsidRPr="00D733CC" w:rsidRDefault="00D178DA" w:rsidP="001454E8">
                                  <w:pPr>
                                    <w:pStyle w:val="TableParagraph"/>
                                    <w:rPr>
                                      <w:sz w:val="20"/>
                                    </w:rPr>
                                  </w:pPr>
                                  <w:r w:rsidRPr="00D733CC">
                                    <w:rPr>
                                      <w:sz w:val="20"/>
                                    </w:rPr>
                                    <w:t>Personal rubbish bags</w:t>
                                  </w:r>
                                </w:p>
                              </w:tc>
                              <w:tc>
                                <w:tcPr>
                                  <w:tcW w:w="992" w:type="dxa"/>
                                </w:tcPr>
                                <w:p w14:paraId="57D156AD" w14:textId="77777777" w:rsidR="00D178DA" w:rsidRPr="00D733CC" w:rsidRDefault="00D178DA">
                                  <w:pPr>
                                    <w:pStyle w:val="TableParagraph"/>
                                    <w:rPr>
                                      <w:rFonts w:ascii="Times New Roman"/>
                                      <w:sz w:val="18"/>
                                    </w:rPr>
                                  </w:pPr>
                                </w:p>
                              </w:tc>
                              <w:tc>
                                <w:tcPr>
                                  <w:tcW w:w="2410" w:type="dxa"/>
                                </w:tcPr>
                                <w:p w14:paraId="14F71A0C" w14:textId="77777777" w:rsidR="00D178DA" w:rsidRPr="00D733CC" w:rsidRDefault="00D178DA">
                                  <w:pPr>
                                    <w:pStyle w:val="TableParagraph"/>
                                    <w:rPr>
                                      <w:rFonts w:ascii="Times New Roman"/>
                                      <w:sz w:val="18"/>
                                    </w:rPr>
                                  </w:pPr>
                                </w:p>
                              </w:tc>
                              <w:tc>
                                <w:tcPr>
                                  <w:tcW w:w="2556" w:type="dxa"/>
                                </w:tcPr>
                                <w:p w14:paraId="66AEEC37" w14:textId="77777777" w:rsidR="00D178DA" w:rsidRDefault="00D178DA">
                                  <w:pPr>
                                    <w:pStyle w:val="TableParagraph"/>
                                    <w:rPr>
                                      <w:rFonts w:ascii="Times New Roman"/>
                                      <w:sz w:val="18"/>
                                    </w:rPr>
                                  </w:pPr>
                                </w:p>
                              </w:tc>
                            </w:tr>
                            <w:tr w:rsidR="00D178DA" w14:paraId="799FB4ED" w14:textId="77777777" w:rsidTr="00884CCD">
                              <w:trPr>
                                <w:trHeight w:val="551"/>
                              </w:trPr>
                              <w:tc>
                                <w:tcPr>
                                  <w:tcW w:w="4810" w:type="dxa"/>
                                  <w:vAlign w:val="center"/>
                                </w:tcPr>
                                <w:p w14:paraId="688DA592" w14:textId="77777777" w:rsidR="00D178DA" w:rsidRPr="00D733CC" w:rsidRDefault="00D178DA" w:rsidP="001454E8">
                                  <w:pPr>
                                    <w:pStyle w:val="TableParagraph"/>
                                    <w:rPr>
                                      <w:sz w:val="20"/>
                                    </w:rPr>
                                  </w:pPr>
                                  <w:r w:rsidRPr="00D733CC">
                                    <w:rPr>
                                      <w:sz w:val="20"/>
                                    </w:rPr>
                                    <w:t>Accessible tissues</w:t>
                                  </w:r>
                                </w:p>
                              </w:tc>
                              <w:tc>
                                <w:tcPr>
                                  <w:tcW w:w="992" w:type="dxa"/>
                                </w:tcPr>
                                <w:p w14:paraId="1D15BFD0" w14:textId="77777777" w:rsidR="00D178DA" w:rsidRPr="00D733CC" w:rsidRDefault="00D178DA">
                                  <w:pPr>
                                    <w:pStyle w:val="TableParagraph"/>
                                    <w:rPr>
                                      <w:rFonts w:ascii="Times New Roman"/>
                                      <w:sz w:val="18"/>
                                    </w:rPr>
                                  </w:pPr>
                                </w:p>
                              </w:tc>
                              <w:tc>
                                <w:tcPr>
                                  <w:tcW w:w="2410" w:type="dxa"/>
                                </w:tcPr>
                                <w:p w14:paraId="666C4602" w14:textId="77777777" w:rsidR="00D178DA" w:rsidRPr="00D733CC" w:rsidRDefault="00D178DA">
                                  <w:pPr>
                                    <w:pStyle w:val="TableParagraph"/>
                                    <w:rPr>
                                      <w:rFonts w:ascii="Times New Roman"/>
                                      <w:sz w:val="18"/>
                                    </w:rPr>
                                  </w:pPr>
                                </w:p>
                              </w:tc>
                              <w:tc>
                                <w:tcPr>
                                  <w:tcW w:w="2556" w:type="dxa"/>
                                </w:tcPr>
                                <w:p w14:paraId="62C6A473" w14:textId="77777777" w:rsidR="00D178DA" w:rsidRDefault="00D178DA">
                                  <w:pPr>
                                    <w:pStyle w:val="TableParagraph"/>
                                    <w:rPr>
                                      <w:rFonts w:ascii="Times New Roman"/>
                                      <w:sz w:val="18"/>
                                    </w:rPr>
                                  </w:pPr>
                                </w:p>
                              </w:tc>
                            </w:tr>
                            <w:tr w:rsidR="00D178DA" w14:paraId="707B7791" w14:textId="77777777" w:rsidTr="00884CCD">
                              <w:trPr>
                                <w:trHeight w:val="551"/>
                              </w:trPr>
                              <w:tc>
                                <w:tcPr>
                                  <w:tcW w:w="4810" w:type="dxa"/>
                                  <w:vAlign w:val="center"/>
                                </w:tcPr>
                                <w:p w14:paraId="62D4D57E" w14:textId="77777777" w:rsidR="00D178DA" w:rsidRPr="00D733CC" w:rsidRDefault="00D178DA" w:rsidP="001454E8">
                                  <w:pPr>
                                    <w:pStyle w:val="TableParagraph"/>
                                    <w:rPr>
                                      <w:b/>
                                      <w:sz w:val="20"/>
                                    </w:rPr>
                                  </w:pPr>
                                  <w:r w:rsidRPr="00D733CC">
                                    <w:rPr>
                                      <w:b/>
                                      <w:sz w:val="20"/>
                                    </w:rPr>
                                    <w:t>Cleaning and disinfecting</w:t>
                                  </w:r>
                                </w:p>
                              </w:tc>
                              <w:tc>
                                <w:tcPr>
                                  <w:tcW w:w="992" w:type="dxa"/>
                                </w:tcPr>
                                <w:p w14:paraId="1A0F2A41" w14:textId="77777777" w:rsidR="00D178DA" w:rsidRPr="00D733CC" w:rsidRDefault="00D178DA">
                                  <w:pPr>
                                    <w:pStyle w:val="TableParagraph"/>
                                    <w:rPr>
                                      <w:rFonts w:ascii="Times New Roman"/>
                                      <w:sz w:val="18"/>
                                    </w:rPr>
                                  </w:pPr>
                                </w:p>
                              </w:tc>
                              <w:tc>
                                <w:tcPr>
                                  <w:tcW w:w="2410" w:type="dxa"/>
                                </w:tcPr>
                                <w:p w14:paraId="52D4AD2B" w14:textId="77777777" w:rsidR="00D178DA" w:rsidRPr="00D733CC" w:rsidRDefault="00D178DA">
                                  <w:pPr>
                                    <w:pStyle w:val="TableParagraph"/>
                                    <w:rPr>
                                      <w:rFonts w:ascii="Times New Roman"/>
                                      <w:sz w:val="18"/>
                                    </w:rPr>
                                  </w:pPr>
                                </w:p>
                              </w:tc>
                              <w:tc>
                                <w:tcPr>
                                  <w:tcW w:w="2556" w:type="dxa"/>
                                </w:tcPr>
                                <w:p w14:paraId="4404353E" w14:textId="77777777" w:rsidR="00D178DA" w:rsidRDefault="00D178DA">
                                  <w:pPr>
                                    <w:pStyle w:val="TableParagraph"/>
                                    <w:rPr>
                                      <w:rFonts w:ascii="Times New Roman"/>
                                      <w:sz w:val="18"/>
                                    </w:rPr>
                                  </w:pPr>
                                </w:p>
                              </w:tc>
                            </w:tr>
                            <w:tr w:rsidR="00D178DA" w14:paraId="0AE29B1B" w14:textId="77777777" w:rsidTr="00884CCD">
                              <w:trPr>
                                <w:trHeight w:val="551"/>
                              </w:trPr>
                              <w:tc>
                                <w:tcPr>
                                  <w:tcW w:w="4810" w:type="dxa"/>
                                  <w:vAlign w:val="center"/>
                                </w:tcPr>
                                <w:p w14:paraId="5EC64F66" w14:textId="77777777" w:rsidR="00D178DA" w:rsidRPr="00D733CC" w:rsidRDefault="00D178DA" w:rsidP="001454E8">
                                  <w:pPr>
                                    <w:pStyle w:val="TableParagraph"/>
                                    <w:spacing w:before="1" w:line="235" w:lineRule="auto"/>
                                    <w:rPr>
                                      <w:sz w:val="20"/>
                                    </w:rPr>
                                  </w:pPr>
                                  <w:r w:rsidRPr="00D733CC">
                                    <w:rPr>
                                      <w:sz w:val="20"/>
                                    </w:rPr>
                                    <w:t>Instructions given for assistive high-touch surfaces</w:t>
                                  </w:r>
                                </w:p>
                              </w:tc>
                              <w:tc>
                                <w:tcPr>
                                  <w:tcW w:w="992" w:type="dxa"/>
                                </w:tcPr>
                                <w:p w14:paraId="78E0DF8E" w14:textId="77777777" w:rsidR="00D178DA" w:rsidRPr="00D733CC" w:rsidRDefault="00D178DA">
                                  <w:pPr>
                                    <w:pStyle w:val="TableParagraph"/>
                                    <w:rPr>
                                      <w:rFonts w:ascii="Times New Roman"/>
                                      <w:sz w:val="18"/>
                                    </w:rPr>
                                  </w:pPr>
                                </w:p>
                              </w:tc>
                              <w:tc>
                                <w:tcPr>
                                  <w:tcW w:w="2410" w:type="dxa"/>
                                </w:tcPr>
                                <w:p w14:paraId="65ED532E" w14:textId="77777777" w:rsidR="00D178DA" w:rsidRPr="00D733CC" w:rsidRDefault="00D178DA">
                                  <w:pPr>
                                    <w:pStyle w:val="TableParagraph"/>
                                    <w:rPr>
                                      <w:rFonts w:ascii="Times New Roman"/>
                                      <w:sz w:val="18"/>
                                    </w:rPr>
                                  </w:pPr>
                                </w:p>
                              </w:tc>
                              <w:tc>
                                <w:tcPr>
                                  <w:tcW w:w="2556" w:type="dxa"/>
                                </w:tcPr>
                                <w:p w14:paraId="5C9CEAA5" w14:textId="77777777" w:rsidR="00D178DA" w:rsidRDefault="00D178DA">
                                  <w:pPr>
                                    <w:pStyle w:val="TableParagraph"/>
                                    <w:rPr>
                                      <w:rFonts w:ascii="Times New Roman"/>
                                      <w:sz w:val="18"/>
                                    </w:rPr>
                                  </w:pPr>
                                </w:p>
                              </w:tc>
                            </w:tr>
                            <w:tr w:rsidR="00D178DA" w14:paraId="294F73BF" w14:textId="77777777" w:rsidTr="00884CCD">
                              <w:trPr>
                                <w:trHeight w:val="551"/>
                              </w:trPr>
                              <w:tc>
                                <w:tcPr>
                                  <w:tcW w:w="4810" w:type="dxa"/>
                                  <w:vAlign w:val="center"/>
                                </w:tcPr>
                                <w:p w14:paraId="68102D24" w14:textId="77777777" w:rsidR="00D178DA" w:rsidRPr="00D733CC" w:rsidRDefault="00D178DA" w:rsidP="001454E8">
                                  <w:pPr>
                                    <w:pStyle w:val="TableParagraph"/>
                                    <w:spacing w:before="1" w:line="235" w:lineRule="auto"/>
                                    <w:rPr>
                                      <w:sz w:val="20"/>
                                    </w:rPr>
                                  </w:pPr>
                                  <w:r w:rsidRPr="00D733CC">
                                    <w:rPr>
                                      <w:sz w:val="20"/>
                                    </w:rPr>
                                    <w:t>Wipes for assistive high-touch surfaces provided</w:t>
                                  </w:r>
                                </w:p>
                              </w:tc>
                              <w:tc>
                                <w:tcPr>
                                  <w:tcW w:w="992" w:type="dxa"/>
                                </w:tcPr>
                                <w:p w14:paraId="4FA0A6E7" w14:textId="77777777" w:rsidR="00D178DA" w:rsidRPr="00D733CC" w:rsidRDefault="00D178DA">
                                  <w:pPr>
                                    <w:pStyle w:val="TableParagraph"/>
                                    <w:rPr>
                                      <w:rFonts w:ascii="Times New Roman"/>
                                      <w:sz w:val="18"/>
                                    </w:rPr>
                                  </w:pPr>
                                </w:p>
                              </w:tc>
                              <w:tc>
                                <w:tcPr>
                                  <w:tcW w:w="2410" w:type="dxa"/>
                                </w:tcPr>
                                <w:p w14:paraId="612FCA2D" w14:textId="77777777" w:rsidR="00D178DA" w:rsidRPr="00D733CC" w:rsidRDefault="00D178DA">
                                  <w:pPr>
                                    <w:pStyle w:val="TableParagraph"/>
                                    <w:rPr>
                                      <w:rFonts w:ascii="Times New Roman"/>
                                      <w:sz w:val="18"/>
                                    </w:rPr>
                                  </w:pPr>
                                </w:p>
                              </w:tc>
                              <w:tc>
                                <w:tcPr>
                                  <w:tcW w:w="2556" w:type="dxa"/>
                                </w:tcPr>
                                <w:p w14:paraId="016C0D86" w14:textId="77777777" w:rsidR="00D178DA" w:rsidRDefault="00D178DA">
                                  <w:pPr>
                                    <w:pStyle w:val="TableParagraph"/>
                                    <w:rPr>
                                      <w:rFonts w:ascii="Times New Roman"/>
                                      <w:sz w:val="18"/>
                                    </w:rPr>
                                  </w:pPr>
                                </w:p>
                              </w:tc>
                            </w:tr>
                            <w:tr w:rsidR="00D178DA" w14:paraId="714F90C1" w14:textId="77777777" w:rsidTr="00884CCD">
                              <w:trPr>
                                <w:trHeight w:val="551"/>
                              </w:trPr>
                              <w:tc>
                                <w:tcPr>
                                  <w:tcW w:w="4810" w:type="dxa"/>
                                  <w:vAlign w:val="center"/>
                                </w:tcPr>
                                <w:p w14:paraId="01377E5B" w14:textId="77777777" w:rsidR="00D178DA" w:rsidRPr="00D733CC" w:rsidRDefault="00D178DA" w:rsidP="001454E8">
                                  <w:pPr>
                                    <w:pStyle w:val="TableParagraph"/>
                                    <w:spacing w:before="1" w:line="235" w:lineRule="auto"/>
                                    <w:rPr>
                                      <w:sz w:val="20"/>
                                    </w:rPr>
                                  </w:pPr>
                                  <w:r w:rsidRPr="00D733CC">
                                    <w:rPr>
                                      <w:sz w:val="20"/>
                                    </w:rPr>
                                    <w:t>Cleaning protocols for assistive device loans developed</w:t>
                                  </w:r>
                                </w:p>
                              </w:tc>
                              <w:tc>
                                <w:tcPr>
                                  <w:tcW w:w="992" w:type="dxa"/>
                                </w:tcPr>
                                <w:p w14:paraId="48F72932" w14:textId="77777777" w:rsidR="00D178DA" w:rsidRPr="00D733CC" w:rsidRDefault="00D178DA">
                                  <w:pPr>
                                    <w:pStyle w:val="TableParagraph"/>
                                    <w:rPr>
                                      <w:rFonts w:ascii="Times New Roman"/>
                                      <w:sz w:val="18"/>
                                    </w:rPr>
                                  </w:pPr>
                                </w:p>
                              </w:tc>
                              <w:tc>
                                <w:tcPr>
                                  <w:tcW w:w="2410" w:type="dxa"/>
                                </w:tcPr>
                                <w:p w14:paraId="4CF44F96" w14:textId="77777777" w:rsidR="00D178DA" w:rsidRPr="00D733CC" w:rsidRDefault="00D178DA">
                                  <w:pPr>
                                    <w:pStyle w:val="TableParagraph"/>
                                    <w:rPr>
                                      <w:rFonts w:ascii="Times New Roman"/>
                                      <w:sz w:val="18"/>
                                    </w:rPr>
                                  </w:pPr>
                                </w:p>
                              </w:tc>
                              <w:tc>
                                <w:tcPr>
                                  <w:tcW w:w="2556" w:type="dxa"/>
                                </w:tcPr>
                                <w:p w14:paraId="539E0C6D" w14:textId="77777777" w:rsidR="00D178DA" w:rsidRDefault="00D178DA">
                                  <w:pPr>
                                    <w:pStyle w:val="TableParagraph"/>
                                    <w:rPr>
                                      <w:rFonts w:ascii="Times New Roman"/>
                                      <w:sz w:val="18"/>
                                    </w:rPr>
                                  </w:pPr>
                                </w:p>
                              </w:tc>
                            </w:tr>
                            <w:tr w:rsidR="00D178DA" w14:paraId="3874C885" w14:textId="77777777" w:rsidTr="00884CCD">
                              <w:trPr>
                                <w:trHeight w:val="551"/>
                              </w:trPr>
                              <w:tc>
                                <w:tcPr>
                                  <w:tcW w:w="4810" w:type="dxa"/>
                                  <w:vAlign w:val="center"/>
                                </w:tcPr>
                                <w:p w14:paraId="5552161F" w14:textId="77777777" w:rsidR="00D178DA" w:rsidRPr="00D733CC" w:rsidRDefault="00D178DA" w:rsidP="001454E8">
                                  <w:pPr>
                                    <w:pStyle w:val="TableParagraph"/>
                                    <w:rPr>
                                      <w:sz w:val="20"/>
                                    </w:rPr>
                                  </w:pPr>
                                  <w:r w:rsidRPr="00D733CC">
                                    <w:rPr>
                                      <w:sz w:val="20"/>
                                    </w:rPr>
                                    <w:t>Access to cleaning materials</w:t>
                                  </w:r>
                                </w:p>
                              </w:tc>
                              <w:tc>
                                <w:tcPr>
                                  <w:tcW w:w="992" w:type="dxa"/>
                                </w:tcPr>
                                <w:p w14:paraId="4927930E" w14:textId="77777777" w:rsidR="00D178DA" w:rsidRPr="00D733CC" w:rsidRDefault="00D178DA">
                                  <w:pPr>
                                    <w:pStyle w:val="TableParagraph"/>
                                    <w:rPr>
                                      <w:rFonts w:ascii="Times New Roman"/>
                                      <w:sz w:val="18"/>
                                    </w:rPr>
                                  </w:pPr>
                                </w:p>
                              </w:tc>
                              <w:tc>
                                <w:tcPr>
                                  <w:tcW w:w="2410" w:type="dxa"/>
                                </w:tcPr>
                                <w:p w14:paraId="0E415A3A" w14:textId="77777777" w:rsidR="00D178DA" w:rsidRPr="00D733CC" w:rsidRDefault="00D178DA">
                                  <w:pPr>
                                    <w:pStyle w:val="TableParagraph"/>
                                    <w:rPr>
                                      <w:rFonts w:ascii="Times New Roman"/>
                                      <w:sz w:val="18"/>
                                    </w:rPr>
                                  </w:pPr>
                                </w:p>
                              </w:tc>
                              <w:tc>
                                <w:tcPr>
                                  <w:tcW w:w="2556" w:type="dxa"/>
                                </w:tcPr>
                                <w:p w14:paraId="7C2F2A40" w14:textId="77777777" w:rsidR="00D178DA" w:rsidRDefault="00D178DA">
                                  <w:pPr>
                                    <w:pStyle w:val="TableParagraph"/>
                                    <w:rPr>
                                      <w:rFonts w:ascii="Times New Roman"/>
                                      <w:sz w:val="18"/>
                                    </w:rPr>
                                  </w:pPr>
                                </w:p>
                              </w:tc>
                            </w:tr>
                            <w:tr w:rsidR="00D178DA" w14:paraId="29432493" w14:textId="77777777" w:rsidTr="00884CCD">
                              <w:trPr>
                                <w:trHeight w:val="551"/>
                              </w:trPr>
                              <w:tc>
                                <w:tcPr>
                                  <w:tcW w:w="4810" w:type="dxa"/>
                                  <w:vAlign w:val="center"/>
                                </w:tcPr>
                                <w:p w14:paraId="15835189" w14:textId="77777777" w:rsidR="00D178DA" w:rsidRPr="00D733CC" w:rsidRDefault="00D178DA" w:rsidP="001454E8">
                                  <w:pPr>
                                    <w:pStyle w:val="TableParagraph"/>
                                    <w:rPr>
                                      <w:b/>
                                      <w:sz w:val="20"/>
                                    </w:rPr>
                                  </w:pPr>
                                  <w:r w:rsidRPr="00D733CC">
                                    <w:rPr>
                                      <w:b/>
                                      <w:sz w:val="20"/>
                                    </w:rPr>
                                    <w:t>Service animals</w:t>
                                  </w:r>
                                </w:p>
                              </w:tc>
                              <w:tc>
                                <w:tcPr>
                                  <w:tcW w:w="992" w:type="dxa"/>
                                </w:tcPr>
                                <w:p w14:paraId="69DBB6EE" w14:textId="77777777" w:rsidR="00D178DA" w:rsidRPr="00D733CC" w:rsidRDefault="00D178DA">
                                  <w:pPr>
                                    <w:pStyle w:val="TableParagraph"/>
                                    <w:rPr>
                                      <w:rFonts w:ascii="Times New Roman"/>
                                      <w:sz w:val="18"/>
                                    </w:rPr>
                                  </w:pPr>
                                </w:p>
                              </w:tc>
                              <w:tc>
                                <w:tcPr>
                                  <w:tcW w:w="2410" w:type="dxa"/>
                                </w:tcPr>
                                <w:p w14:paraId="2D05B136" w14:textId="77777777" w:rsidR="00D178DA" w:rsidRPr="00D733CC" w:rsidRDefault="00D178DA">
                                  <w:pPr>
                                    <w:pStyle w:val="TableParagraph"/>
                                    <w:rPr>
                                      <w:rFonts w:ascii="Times New Roman"/>
                                      <w:sz w:val="18"/>
                                    </w:rPr>
                                  </w:pPr>
                                </w:p>
                              </w:tc>
                              <w:tc>
                                <w:tcPr>
                                  <w:tcW w:w="2556" w:type="dxa"/>
                                </w:tcPr>
                                <w:p w14:paraId="4E6C3BE8" w14:textId="77777777" w:rsidR="00D178DA" w:rsidRDefault="00D178DA">
                                  <w:pPr>
                                    <w:pStyle w:val="TableParagraph"/>
                                    <w:rPr>
                                      <w:rFonts w:ascii="Times New Roman"/>
                                      <w:sz w:val="18"/>
                                    </w:rPr>
                                  </w:pPr>
                                </w:p>
                              </w:tc>
                            </w:tr>
                            <w:tr w:rsidR="00D178DA" w14:paraId="1DC8DA83" w14:textId="77777777" w:rsidTr="00884CCD">
                              <w:trPr>
                                <w:trHeight w:val="551"/>
                              </w:trPr>
                              <w:tc>
                                <w:tcPr>
                                  <w:tcW w:w="4810" w:type="dxa"/>
                                  <w:vAlign w:val="center"/>
                                </w:tcPr>
                                <w:p w14:paraId="756234FD" w14:textId="77777777" w:rsidR="00D178DA" w:rsidRPr="00D733CC" w:rsidRDefault="00D178DA" w:rsidP="001454E8">
                                  <w:pPr>
                                    <w:pStyle w:val="TableParagraph"/>
                                    <w:rPr>
                                      <w:sz w:val="20"/>
                                    </w:rPr>
                                  </w:pPr>
                                  <w:r w:rsidRPr="00D733CC">
                                    <w:rPr>
                                      <w:sz w:val="20"/>
                                    </w:rPr>
                                    <w:t>Information provided to owners</w:t>
                                  </w:r>
                                </w:p>
                              </w:tc>
                              <w:tc>
                                <w:tcPr>
                                  <w:tcW w:w="992" w:type="dxa"/>
                                </w:tcPr>
                                <w:p w14:paraId="5397C4AC" w14:textId="77777777" w:rsidR="00D178DA" w:rsidRPr="00D733CC" w:rsidRDefault="00D178DA">
                                  <w:pPr>
                                    <w:pStyle w:val="TableParagraph"/>
                                    <w:rPr>
                                      <w:rFonts w:ascii="Times New Roman"/>
                                      <w:sz w:val="18"/>
                                    </w:rPr>
                                  </w:pPr>
                                </w:p>
                              </w:tc>
                              <w:tc>
                                <w:tcPr>
                                  <w:tcW w:w="2410" w:type="dxa"/>
                                </w:tcPr>
                                <w:p w14:paraId="0060D095" w14:textId="77777777" w:rsidR="00D178DA" w:rsidRPr="00D733CC" w:rsidRDefault="00D178DA">
                                  <w:pPr>
                                    <w:pStyle w:val="TableParagraph"/>
                                    <w:rPr>
                                      <w:rFonts w:ascii="Times New Roman"/>
                                      <w:sz w:val="18"/>
                                    </w:rPr>
                                  </w:pPr>
                                </w:p>
                              </w:tc>
                              <w:tc>
                                <w:tcPr>
                                  <w:tcW w:w="2556" w:type="dxa"/>
                                </w:tcPr>
                                <w:p w14:paraId="1D2E8C4B" w14:textId="77777777" w:rsidR="00D178DA" w:rsidRDefault="00D178DA">
                                  <w:pPr>
                                    <w:pStyle w:val="TableParagraph"/>
                                    <w:rPr>
                                      <w:rFonts w:ascii="Times New Roman"/>
                                      <w:sz w:val="18"/>
                                    </w:rPr>
                                  </w:pPr>
                                </w:p>
                              </w:tc>
                            </w:tr>
                            <w:tr w:rsidR="00D178DA" w14:paraId="467EA0C5" w14:textId="77777777" w:rsidTr="00884CCD">
                              <w:trPr>
                                <w:trHeight w:val="551"/>
                              </w:trPr>
                              <w:tc>
                                <w:tcPr>
                                  <w:tcW w:w="4810" w:type="dxa"/>
                                  <w:vAlign w:val="center"/>
                                </w:tcPr>
                                <w:p w14:paraId="176CE22F" w14:textId="77777777" w:rsidR="00D178DA" w:rsidRPr="00D733CC" w:rsidRDefault="00D178DA" w:rsidP="001454E8">
                                  <w:pPr>
                                    <w:pStyle w:val="TableParagraph"/>
                                    <w:rPr>
                                      <w:b/>
                                      <w:sz w:val="20"/>
                                    </w:rPr>
                                  </w:pPr>
                                  <w:r w:rsidRPr="00D733CC">
                                    <w:rPr>
                                      <w:b/>
                                      <w:sz w:val="20"/>
                                    </w:rPr>
                                    <w:t>Emergency evacuations</w:t>
                                  </w:r>
                                </w:p>
                              </w:tc>
                              <w:tc>
                                <w:tcPr>
                                  <w:tcW w:w="992" w:type="dxa"/>
                                </w:tcPr>
                                <w:p w14:paraId="472DD388" w14:textId="77777777" w:rsidR="00D178DA" w:rsidRPr="00D733CC" w:rsidRDefault="00D178DA">
                                  <w:pPr>
                                    <w:pStyle w:val="TableParagraph"/>
                                    <w:rPr>
                                      <w:rFonts w:ascii="Times New Roman"/>
                                      <w:sz w:val="18"/>
                                    </w:rPr>
                                  </w:pPr>
                                </w:p>
                              </w:tc>
                              <w:tc>
                                <w:tcPr>
                                  <w:tcW w:w="2410" w:type="dxa"/>
                                </w:tcPr>
                                <w:p w14:paraId="4418D38F" w14:textId="77777777" w:rsidR="00D178DA" w:rsidRPr="00D733CC" w:rsidRDefault="00D178DA">
                                  <w:pPr>
                                    <w:pStyle w:val="TableParagraph"/>
                                    <w:rPr>
                                      <w:rFonts w:ascii="Times New Roman"/>
                                      <w:sz w:val="18"/>
                                    </w:rPr>
                                  </w:pPr>
                                </w:p>
                              </w:tc>
                              <w:tc>
                                <w:tcPr>
                                  <w:tcW w:w="2556" w:type="dxa"/>
                                </w:tcPr>
                                <w:p w14:paraId="0778F5E9" w14:textId="77777777" w:rsidR="00D178DA" w:rsidRDefault="00D178DA">
                                  <w:pPr>
                                    <w:pStyle w:val="TableParagraph"/>
                                    <w:rPr>
                                      <w:rFonts w:ascii="Times New Roman"/>
                                      <w:sz w:val="18"/>
                                    </w:rPr>
                                  </w:pPr>
                                </w:p>
                              </w:tc>
                            </w:tr>
                            <w:tr w:rsidR="00D178DA" w14:paraId="0F14AC00" w14:textId="77777777" w:rsidTr="00884CCD">
                              <w:trPr>
                                <w:trHeight w:val="551"/>
                              </w:trPr>
                              <w:tc>
                                <w:tcPr>
                                  <w:tcW w:w="4810" w:type="dxa"/>
                                  <w:vAlign w:val="center"/>
                                </w:tcPr>
                                <w:p w14:paraId="77E778CE" w14:textId="77777777" w:rsidR="00D178DA" w:rsidRPr="00D733CC" w:rsidRDefault="00D178DA" w:rsidP="001454E8">
                                  <w:pPr>
                                    <w:pStyle w:val="TableParagraph"/>
                                    <w:rPr>
                                      <w:sz w:val="20"/>
                                    </w:rPr>
                                  </w:pPr>
                                  <w:r w:rsidRPr="00D733CC">
                                    <w:rPr>
                                      <w:sz w:val="20"/>
                                    </w:rPr>
                                    <w:t>Emergency procedures updated</w:t>
                                  </w:r>
                                </w:p>
                              </w:tc>
                              <w:tc>
                                <w:tcPr>
                                  <w:tcW w:w="992" w:type="dxa"/>
                                </w:tcPr>
                                <w:p w14:paraId="061273AC" w14:textId="77777777" w:rsidR="00D178DA" w:rsidRPr="00D733CC" w:rsidRDefault="00D178DA">
                                  <w:pPr>
                                    <w:pStyle w:val="TableParagraph"/>
                                    <w:rPr>
                                      <w:rFonts w:ascii="Times New Roman"/>
                                      <w:sz w:val="18"/>
                                    </w:rPr>
                                  </w:pPr>
                                </w:p>
                              </w:tc>
                              <w:tc>
                                <w:tcPr>
                                  <w:tcW w:w="2410" w:type="dxa"/>
                                </w:tcPr>
                                <w:p w14:paraId="0CEC4935" w14:textId="77777777" w:rsidR="00D178DA" w:rsidRPr="00D733CC" w:rsidRDefault="00D178DA">
                                  <w:pPr>
                                    <w:pStyle w:val="TableParagraph"/>
                                    <w:rPr>
                                      <w:rFonts w:ascii="Times New Roman"/>
                                      <w:sz w:val="18"/>
                                    </w:rPr>
                                  </w:pPr>
                                </w:p>
                              </w:tc>
                              <w:tc>
                                <w:tcPr>
                                  <w:tcW w:w="2556" w:type="dxa"/>
                                </w:tcPr>
                                <w:p w14:paraId="5FC120D0" w14:textId="77777777" w:rsidR="00D178DA" w:rsidRDefault="00D178DA">
                                  <w:pPr>
                                    <w:pStyle w:val="TableParagraph"/>
                                    <w:rPr>
                                      <w:rFonts w:ascii="Times New Roman"/>
                                      <w:sz w:val="18"/>
                                    </w:rPr>
                                  </w:pPr>
                                </w:p>
                              </w:tc>
                            </w:tr>
                            <w:tr w:rsidR="00D178DA" w14:paraId="3CDFECE6" w14:textId="77777777" w:rsidTr="00884CCD">
                              <w:trPr>
                                <w:trHeight w:val="551"/>
                              </w:trPr>
                              <w:tc>
                                <w:tcPr>
                                  <w:tcW w:w="4810" w:type="dxa"/>
                                  <w:vAlign w:val="center"/>
                                </w:tcPr>
                                <w:p w14:paraId="3E34DC20" w14:textId="77777777" w:rsidR="00D178DA" w:rsidRPr="00D733CC" w:rsidRDefault="00D178DA" w:rsidP="001454E8">
                                  <w:pPr>
                                    <w:pStyle w:val="TableParagraph"/>
                                    <w:spacing w:before="1" w:line="235" w:lineRule="auto"/>
                                    <w:rPr>
                                      <w:sz w:val="20"/>
                                    </w:rPr>
                                  </w:pPr>
                                  <w:r w:rsidRPr="00D733CC">
                                    <w:rPr>
                                      <w:sz w:val="20"/>
                                    </w:rPr>
                                    <w:t>Contact made with staff and students with PEEPs</w:t>
                                  </w:r>
                                </w:p>
                              </w:tc>
                              <w:tc>
                                <w:tcPr>
                                  <w:tcW w:w="992" w:type="dxa"/>
                                </w:tcPr>
                                <w:p w14:paraId="0CED8075" w14:textId="77777777" w:rsidR="00D178DA" w:rsidRPr="00D733CC" w:rsidRDefault="00D178DA">
                                  <w:pPr>
                                    <w:pStyle w:val="TableParagraph"/>
                                    <w:rPr>
                                      <w:rFonts w:ascii="Times New Roman"/>
                                      <w:sz w:val="18"/>
                                    </w:rPr>
                                  </w:pPr>
                                </w:p>
                              </w:tc>
                              <w:tc>
                                <w:tcPr>
                                  <w:tcW w:w="2410" w:type="dxa"/>
                                </w:tcPr>
                                <w:p w14:paraId="0E65D143" w14:textId="77777777" w:rsidR="00D178DA" w:rsidRPr="00D733CC" w:rsidRDefault="00D178DA">
                                  <w:pPr>
                                    <w:pStyle w:val="TableParagraph"/>
                                    <w:rPr>
                                      <w:rFonts w:ascii="Times New Roman"/>
                                      <w:sz w:val="18"/>
                                    </w:rPr>
                                  </w:pPr>
                                </w:p>
                              </w:tc>
                              <w:tc>
                                <w:tcPr>
                                  <w:tcW w:w="2556" w:type="dxa"/>
                                </w:tcPr>
                                <w:p w14:paraId="7319B920" w14:textId="77777777" w:rsidR="00D178DA" w:rsidRDefault="00D178DA">
                                  <w:pPr>
                                    <w:pStyle w:val="TableParagraph"/>
                                    <w:rPr>
                                      <w:rFonts w:ascii="Times New Roman"/>
                                      <w:sz w:val="18"/>
                                    </w:rPr>
                                  </w:pPr>
                                </w:p>
                              </w:tc>
                            </w:tr>
                            <w:tr w:rsidR="00D178DA" w14:paraId="6159F6D8" w14:textId="77777777" w:rsidTr="00884CCD">
                              <w:trPr>
                                <w:trHeight w:val="551"/>
                              </w:trPr>
                              <w:tc>
                                <w:tcPr>
                                  <w:tcW w:w="4810" w:type="dxa"/>
                                  <w:vAlign w:val="center"/>
                                </w:tcPr>
                                <w:p w14:paraId="2F569048" w14:textId="77777777" w:rsidR="00D178DA" w:rsidRPr="00D733CC" w:rsidRDefault="00D178DA" w:rsidP="001454E8">
                                  <w:pPr>
                                    <w:pStyle w:val="TableParagraph"/>
                                    <w:spacing w:before="1" w:line="235" w:lineRule="auto"/>
                                    <w:rPr>
                                      <w:sz w:val="20"/>
                                    </w:rPr>
                                  </w:pPr>
                                  <w:r w:rsidRPr="00D733CC">
                                    <w:rPr>
                                      <w:sz w:val="20"/>
                                    </w:rPr>
                                    <w:t>Information on evacuation procedures is accessible</w:t>
                                  </w:r>
                                </w:p>
                              </w:tc>
                              <w:tc>
                                <w:tcPr>
                                  <w:tcW w:w="992" w:type="dxa"/>
                                </w:tcPr>
                                <w:p w14:paraId="26E9F3B3" w14:textId="77777777" w:rsidR="00D178DA" w:rsidRPr="00D733CC" w:rsidRDefault="00D178DA">
                                  <w:pPr>
                                    <w:pStyle w:val="TableParagraph"/>
                                    <w:rPr>
                                      <w:rFonts w:ascii="Times New Roman"/>
                                      <w:sz w:val="18"/>
                                    </w:rPr>
                                  </w:pPr>
                                </w:p>
                              </w:tc>
                              <w:tc>
                                <w:tcPr>
                                  <w:tcW w:w="2410" w:type="dxa"/>
                                </w:tcPr>
                                <w:p w14:paraId="7836CFD3" w14:textId="77777777" w:rsidR="00D178DA" w:rsidRPr="00D733CC" w:rsidRDefault="00D178DA">
                                  <w:pPr>
                                    <w:pStyle w:val="TableParagraph"/>
                                    <w:rPr>
                                      <w:rFonts w:ascii="Times New Roman"/>
                                      <w:sz w:val="18"/>
                                    </w:rPr>
                                  </w:pPr>
                                </w:p>
                              </w:tc>
                              <w:tc>
                                <w:tcPr>
                                  <w:tcW w:w="2556" w:type="dxa"/>
                                </w:tcPr>
                                <w:p w14:paraId="69CFBB86" w14:textId="77777777" w:rsidR="00D178DA" w:rsidRDefault="00D178DA">
                                  <w:pPr>
                                    <w:pStyle w:val="TableParagraph"/>
                                    <w:rPr>
                                      <w:rFonts w:ascii="Times New Roman"/>
                                      <w:sz w:val="18"/>
                                    </w:rPr>
                                  </w:pPr>
                                </w:p>
                              </w:tc>
                            </w:tr>
                            <w:tr w:rsidR="00D178DA" w14:paraId="45146E71" w14:textId="77777777" w:rsidTr="00884CCD">
                              <w:trPr>
                                <w:trHeight w:val="551"/>
                              </w:trPr>
                              <w:tc>
                                <w:tcPr>
                                  <w:tcW w:w="4810" w:type="dxa"/>
                                  <w:vAlign w:val="center"/>
                                </w:tcPr>
                                <w:p w14:paraId="16217A59" w14:textId="77777777" w:rsidR="00D178DA" w:rsidRPr="00D733CC" w:rsidRDefault="00D178DA" w:rsidP="001454E8">
                                  <w:pPr>
                                    <w:pStyle w:val="TableParagraph"/>
                                    <w:rPr>
                                      <w:sz w:val="20"/>
                                    </w:rPr>
                                  </w:pPr>
                                  <w:r w:rsidRPr="00D733CC">
                                    <w:rPr>
                                      <w:sz w:val="20"/>
                                    </w:rPr>
                                    <w:t>Fire warden training provided</w:t>
                                  </w:r>
                                </w:p>
                              </w:tc>
                              <w:tc>
                                <w:tcPr>
                                  <w:tcW w:w="992" w:type="dxa"/>
                                </w:tcPr>
                                <w:p w14:paraId="1D5F5BBC" w14:textId="77777777" w:rsidR="00D178DA" w:rsidRPr="00D733CC" w:rsidRDefault="00D178DA">
                                  <w:pPr>
                                    <w:pStyle w:val="TableParagraph"/>
                                    <w:rPr>
                                      <w:rFonts w:ascii="Times New Roman"/>
                                      <w:sz w:val="18"/>
                                    </w:rPr>
                                  </w:pPr>
                                </w:p>
                              </w:tc>
                              <w:tc>
                                <w:tcPr>
                                  <w:tcW w:w="2410" w:type="dxa"/>
                                </w:tcPr>
                                <w:p w14:paraId="6E4F05FF" w14:textId="77777777" w:rsidR="00D178DA" w:rsidRPr="00D733CC" w:rsidRDefault="00D178DA">
                                  <w:pPr>
                                    <w:pStyle w:val="TableParagraph"/>
                                    <w:rPr>
                                      <w:rFonts w:ascii="Times New Roman"/>
                                      <w:sz w:val="18"/>
                                    </w:rPr>
                                  </w:pPr>
                                </w:p>
                              </w:tc>
                              <w:tc>
                                <w:tcPr>
                                  <w:tcW w:w="2556" w:type="dxa"/>
                                </w:tcPr>
                                <w:p w14:paraId="68A60B82" w14:textId="77777777" w:rsidR="00D178DA" w:rsidRDefault="00D178DA">
                                  <w:pPr>
                                    <w:pStyle w:val="TableParagraph"/>
                                    <w:rPr>
                                      <w:rFonts w:ascii="Times New Roman"/>
                                      <w:sz w:val="18"/>
                                    </w:rPr>
                                  </w:pPr>
                                </w:p>
                              </w:tc>
                            </w:tr>
                            <w:tr w:rsidR="00D178DA" w14:paraId="647A446C" w14:textId="77777777" w:rsidTr="00884CCD">
                              <w:trPr>
                                <w:trHeight w:val="551"/>
                              </w:trPr>
                              <w:tc>
                                <w:tcPr>
                                  <w:tcW w:w="4810" w:type="dxa"/>
                                  <w:vAlign w:val="center"/>
                                </w:tcPr>
                                <w:p w14:paraId="435BB4BC" w14:textId="77777777" w:rsidR="00D178DA" w:rsidRPr="00D733CC" w:rsidRDefault="00D178DA" w:rsidP="001454E8">
                                  <w:pPr>
                                    <w:pStyle w:val="TableParagraph"/>
                                    <w:rPr>
                                      <w:b/>
                                      <w:sz w:val="20"/>
                                    </w:rPr>
                                  </w:pPr>
                                  <w:r w:rsidRPr="00D733CC">
                                    <w:rPr>
                                      <w:b/>
                                      <w:sz w:val="20"/>
                                    </w:rPr>
                                    <w:t>Teaching and learning</w:t>
                                  </w:r>
                                </w:p>
                              </w:tc>
                              <w:tc>
                                <w:tcPr>
                                  <w:tcW w:w="992" w:type="dxa"/>
                                </w:tcPr>
                                <w:p w14:paraId="30316F4F" w14:textId="77777777" w:rsidR="00D178DA" w:rsidRPr="00D733CC" w:rsidRDefault="00D178DA">
                                  <w:pPr>
                                    <w:pStyle w:val="TableParagraph"/>
                                    <w:rPr>
                                      <w:rFonts w:ascii="Times New Roman"/>
                                      <w:sz w:val="18"/>
                                    </w:rPr>
                                  </w:pPr>
                                </w:p>
                              </w:tc>
                              <w:tc>
                                <w:tcPr>
                                  <w:tcW w:w="2410" w:type="dxa"/>
                                </w:tcPr>
                                <w:p w14:paraId="7387E976" w14:textId="77777777" w:rsidR="00D178DA" w:rsidRPr="00D733CC" w:rsidRDefault="00D178DA">
                                  <w:pPr>
                                    <w:pStyle w:val="TableParagraph"/>
                                    <w:rPr>
                                      <w:rFonts w:ascii="Times New Roman"/>
                                      <w:sz w:val="18"/>
                                    </w:rPr>
                                  </w:pPr>
                                </w:p>
                              </w:tc>
                              <w:tc>
                                <w:tcPr>
                                  <w:tcW w:w="2556" w:type="dxa"/>
                                </w:tcPr>
                                <w:p w14:paraId="401443CF" w14:textId="77777777" w:rsidR="00D178DA" w:rsidRDefault="00D178DA">
                                  <w:pPr>
                                    <w:pStyle w:val="TableParagraph"/>
                                    <w:rPr>
                                      <w:rFonts w:ascii="Times New Roman"/>
                                      <w:sz w:val="18"/>
                                    </w:rPr>
                                  </w:pPr>
                                </w:p>
                              </w:tc>
                            </w:tr>
                            <w:tr w:rsidR="00D178DA" w14:paraId="226C8CE2" w14:textId="77777777" w:rsidTr="00884CCD">
                              <w:trPr>
                                <w:trHeight w:val="551"/>
                              </w:trPr>
                              <w:tc>
                                <w:tcPr>
                                  <w:tcW w:w="4810" w:type="dxa"/>
                                  <w:vAlign w:val="center"/>
                                </w:tcPr>
                                <w:p w14:paraId="2BF3C7BC" w14:textId="77777777" w:rsidR="00D178DA" w:rsidRPr="00D733CC" w:rsidRDefault="00D178DA" w:rsidP="001454E8">
                                  <w:pPr>
                                    <w:pStyle w:val="TableParagraph"/>
                                    <w:spacing w:before="1" w:line="235" w:lineRule="auto"/>
                                    <w:rPr>
                                      <w:sz w:val="20"/>
                                    </w:rPr>
                                  </w:pPr>
                                  <w:r w:rsidRPr="00D733CC">
                                    <w:rPr>
                                      <w:sz w:val="20"/>
                                    </w:rPr>
                                    <w:t>Learning Access Plans updated with reason- able adjustments</w:t>
                                  </w:r>
                                </w:p>
                              </w:tc>
                              <w:tc>
                                <w:tcPr>
                                  <w:tcW w:w="992" w:type="dxa"/>
                                </w:tcPr>
                                <w:p w14:paraId="424240BA" w14:textId="77777777" w:rsidR="00D178DA" w:rsidRPr="00D733CC" w:rsidRDefault="00D178DA">
                                  <w:pPr>
                                    <w:pStyle w:val="TableParagraph"/>
                                    <w:rPr>
                                      <w:rFonts w:ascii="Times New Roman"/>
                                      <w:sz w:val="18"/>
                                    </w:rPr>
                                  </w:pPr>
                                </w:p>
                              </w:tc>
                              <w:tc>
                                <w:tcPr>
                                  <w:tcW w:w="2410" w:type="dxa"/>
                                </w:tcPr>
                                <w:p w14:paraId="02B9F9B7" w14:textId="77777777" w:rsidR="00D178DA" w:rsidRPr="00D733CC" w:rsidRDefault="00D178DA">
                                  <w:pPr>
                                    <w:pStyle w:val="TableParagraph"/>
                                    <w:rPr>
                                      <w:rFonts w:ascii="Times New Roman"/>
                                      <w:sz w:val="18"/>
                                    </w:rPr>
                                  </w:pPr>
                                </w:p>
                              </w:tc>
                              <w:tc>
                                <w:tcPr>
                                  <w:tcW w:w="2556" w:type="dxa"/>
                                </w:tcPr>
                                <w:p w14:paraId="33AD824D" w14:textId="77777777" w:rsidR="00D178DA" w:rsidRDefault="00D178DA">
                                  <w:pPr>
                                    <w:pStyle w:val="TableParagraph"/>
                                    <w:rPr>
                                      <w:rFonts w:ascii="Times New Roman"/>
                                      <w:sz w:val="18"/>
                                    </w:rPr>
                                  </w:pPr>
                                </w:p>
                              </w:tc>
                            </w:tr>
                            <w:tr w:rsidR="00D178DA" w14:paraId="30080AEE" w14:textId="77777777" w:rsidTr="00884CCD">
                              <w:trPr>
                                <w:trHeight w:val="551"/>
                              </w:trPr>
                              <w:tc>
                                <w:tcPr>
                                  <w:tcW w:w="4810" w:type="dxa"/>
                                  <w:vAlign w:val="center"/>
                                </w:tcPr>
                                <w:p w14:paraId="05180233" w14:textId="77777777" w:rsidR="00D178DA" w:rsidRPr="00D733CC" w:rsidRDefault="00D178DA" w:rsidP="001454E8">
                                  <w:pPr>
                                    <w:pStyle w:val="TableParagraph"/>
                                    <w:rPr>
                                      <w:sz w:val="20"/>
                                    </w:rPr>
                                  </w:pPr>
                                  <w:r w:rsidRPr="00D733CC">
                                    <w:rPr>
                                      <w:sz w:val="20"/>
                                    </w:rPr>
                                    <w:t>Exam alternatives offered</w:t>
                                  </w:r>
                                </w:p>
                              </w:tc>
                              <w:tc>
                                <w:tcPr>
                                  <w:tcW w:w="992" w:type="dxa"/>
                                </w:tcPr>
                                <w:p w14:paraId="0518FF46" w14:textId="77777777" w:rsidR="00D178DA" w:rsidRPr="00D733CC" w:rsidRDefault="00D178DA">
                                  <w:pPr>
                                    <w:pStyle w:val="TableParagraph"/>
                                    <w:rPr>
                                      <w:rFonts w:ascii="Times New Roman"/>
                                      <w:sz w:val="18"/>
                                    </w:rPr>
                                  </w:pPr>
                                </w:p>
                              </w:tc>
                              <w:tc>
                                <w:tcPr>
                                  <w:tcW w:w="2410" w:type="dxa"/>
                                </w:tcPr>
                                <w:p w14:paraId="2B05E25E" w14:textId="77777777" w:rsidR="00D178DA" w:rsidRPr="00D733CC" w:rsidRDefault="00D178DA">
                                  <w:pPr>
                                    <w:pStyle w:val="TableParagraph"/>
                                    <w:rPr>
                                      <w:rFonts w:ascii="Times New Roman"/>
                                      <w:sz w:val="18"/>
                                    </w:rPr>
                                  </w:pPr>
                                </w:p>
                              </w:tc>
                              <w:tc>
                                <w:tcPr>
                                  <w:tcW w:w="2556" w:type="dxa"/>
                                </w:tcPr>
                                <w:p w14:paraId="1BCA03FF" w14:textId="77777777" w:rsidR="00D178DA" w:rsidRDefault="00D178DA">
                                  <w:pPr>
                                    <w:pStyle w:val="TableParagraph"/>
                                    <w:rPr>
                                      <w:rFonts w:ascii="Times New Roman"/>
                                      <w:sz w:val="18"/>
                                    </w:rPr>
                                  </w:pPr>
                                </w:p>
                              </w:tc>
                            </w:tr>
                            <w:tr w:rsidR="00D178DA" w14:paraId="0937C80E" w14:textId="77777777" w:rsidTr="00884CCD">
                              <w:trPr>
                                <w:trHeight w:val="551"/>
                              </w:trPr>
                              <w:tc>
                                <w:tcPr>
                                  <w:tcW w:w="4810" w:type="dxa"/>
                                  <w:vAlign w:val="center"/>
                                </w:tcPr>
                                <w:p w14:paraId="489B0552" w14:textId="77777777" w:rsidR="00D178DA" w:rsidRPr="00D733CC" w:rsidRDefault="00D178DA" w:rsidP="001454E8">
                                  <w:pPr>
                                    <w:pStyle w:val="TableParagraph"/>
                                    <w:spacing w:before="1" w:line="235" w:lineRule="auto"/>
                                    <w:ind w:right="155"/>
                                    <w:rPr>
                                      <w:sz w:val="20"/>
                                    </w:rPr>
                                  </w:pPr>
                                  <w:r w:rsidRPr="00D733CC">
                                    <w:rPr>
                                      <w:sz w:val="20"/>
                                    </w:rPr>
                                    <w:t>Alternatives to work integrated learning, field trips and excursions offered</w:t>
                                  </w:r>
                                </w:p>
                              </w:tc>
                              <w:tc>
                                <w:tcPr>
                                  <w:tcW w:w="992" w:type="dxa"/>
                                </w:tcPr>
                                <w:p w14:paraId="7E27F3BA" w14:textId="77777777" w:rsidR="00D178DA" w:rsidRPr="00D733CC" w:rsidRDefault="00D178DA">
                                  <w:pPr>
                                    <w:pStyle w:val="TableParagraph"/>
                                    <w:rPr>
                                      <w:rFonts w:ascii="Times New Roman"/>
                                      <w:sz w:val="18"/>
                                    </w:rPr>
                                  </w:pPr>
                                </w:p>
                              </w:tc>
                              <w:tc>
                                <w:tcPr>
                                  <w:tcW w:w="2410" w:type="dxa"/>
                                </w:tcPr>
                                <w:p w14:paraId="5DBE17B6" w14:textId="77777777" w:rsidR="00D178DA" w:rsidRPr="00D733CC" w:rsidRDefault="00D178DA">
                                  <w:pPr>
                                    <w:pStyle w:val="TableParagraph"/>
                                    <w:rPr>
                                      <w:rFonts w:ascii="Times New Roman"/>
                                      <w:sz w:val="18"/>
                                    </w:rPr>
                                  </w:pPr>
                                </w:p>
                              </w:tc>
                              <w:tc>
                                <w:tcPr>
                                  <w:tcW w:w="2556" w:type="dxa"/>
                                </w:tcPr>
                                <w:p w14:paraId="60A085BF" w14:textId="77777777" w:rsidR="00D178DA" w:rsidRDefault="00D178DA">
                                  <w:pPr>
                                    <w:pStyle w:val="TableParagraph"/>
                                    <w:rPr>
                                      <w:rFonts w:ascii="Times New Roman"/>
                                      <w:sz w:val="18"/>
                                    </w:rPr>
                                  </w:pPr>
                                </w:p>
                              </w:tc>
                            </w:tr>
                          </w:tbl>
                          <w:p w14:paraId="3C02887E" w14:textId="77777777" w:rsidR="00D178DA" w:rsidRDefault="00D178D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9F2D" id="_x0000_t202" coordsize="21600,21600" o:spt="202" path="m,l,21600r21600,l21600,xe">
                <v:stroke joinstyle="miter"/>
                <v:path gradientshapeok="t" o:connecttype="rect"/>
              </v:shapetype>
              <v:shape id="Text Box 18" o:spid="_x0000_s1026" type="#_x0000_t202" style="position:absolute;margin-left:36pt;margin-top:51pt;width:548.25pt;height:723.7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" filled="f" stroked="f">
                <v:textbox inset="0,0,0,0">
                  <w:txbxContent>
                    <w:tbl>
                      <w:tblPr>
                        <w:tblW w:w="0" w:type="auto"/>
                        <w:tblInd w:w="5" w:type="dxa"/>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Layout w:type="fixed"/>
                        <w:tblCellMar>
                          <w:left w:w="0" w:type="dxa"/>
                          <w:right w:w="0" w:type="dxa"/>
                        </w:tblCellMar>
                        <w:tblLook w:val="01E0" w:firstRow="1" w:lastRow="1" w:firstColumn="1" w:lastColumn="1" w:noHBand="0" w:noVBand="0"/>
                      </w:tblPr>
                      <w:tblGrid>
                        <w:gridCol w:w="4810"/>
                        <w:gridCol w:w="992"/>
                        <w:gridCol w:w="2410"/>
                        <w:gridCol w:w="2556"/>
                      </w:tblGrid>
                      <w:tr w:rsidR="00D178DA" w14:paraId="4DDA2179" w14:textId="77777777" w:rsidTr="00884CCD">
                        <w:trPr>
                          <w:trHeight w:val="551"/>
                        </w:trPr>
                        <w:tc>
                          <w:tcPr>
                            <w:tcW w:w="4810" w:type="dxa"/>
                            <w:shd w:val="clear" w:color="auto" w:fill="auto"/>
                          </w:tcPr>
                          <w:p w14:paraId="5B1F4344" w14:textId="77777777" w:rsidR="00D178DA" w:rsidRPr="00054C5B" w:rsidRDefault="00D178DA" w:rsidP="001454E8">
                            <w:pPr>
                              <w:pStyle w:val="TableParagraph"/>
                              <w:spacing w:before="139"/>
                              <w:rPr>
                                <w:b/>
                                <w:sz w:val="18"/>
                                <w:szCs w:val="18"/>
                              </w:rPr>
                            </w:pPr>
                            <w:r w:rsidRPr="00054C5B">
                              <w:rPr>
                                <w:b/>
                                <w:sz w:val="18"/>
                                <w:szCs w:val="18"/>
                              </w:rPr>
                              <w:t>CONSIDERATION</w:t>
                            </w:r>
                          </w:p>
                        </w:tc>
                        <w:tc>
                          <w:tcPr>
                            <w:tcW w:w="992" w:type="dxa"/>
                            <w:shd w:val="clear" w:color="auto" w:fill="auto"/>
                          </w:tcPr>
                          <w:p w14:paraId="596463CA" w14:textId="77777777" w:rsidR="00D178DA" w:rsidRPr="00054C5B" w:rsidRDefault="00D178DA" w:rsidP="001454E8">
                            <w:pPr>
                              <w:pStyle w:val="TableParagraph"/>
                              <w:spacing w:before="139"/>
                              <w:rPr>
                                <w:b/>
                                <w:sz w:val="18"/>
                                <w:szCs w:val="18"/>
                              </w:rPr>
                            </w:pPr>
                            <w:r w:rsidRPr="00054C5B">
                              <w:rPr>
                                <w:b/>
                                <w:sz w:val="18"/>
                                <w:szCs w:val="18"/>
                              </w:rPr>
                              <w:t>RELEVANT?</w:t>
                            </w:r>
                          </w:p>
                        </w:tc>
                        <w:tc>
                          <w:tcPr>
                            <w:tcW w:w="2410" w:type="dxa"/>
                            <w:shd w:val="clear" w:color="auto" w:fill="auto"/>
                          </w:tcPr>
                          <w:p w14:paraId="7B551F49" w14:textId="77777777" w:rsidR="00D178DA" w:rsidRPr="00054C5B" w:rsidRDefault="00D178DA" w:rsidP="001454E8">
                            <w:pPr>
                              <w:pStyle w:val="TableParagraph"/>
                              <w:spacing w:before="139"/>
                              <w:rPr>
                                <w:b/>
                                <w:sz w:val="18"/>
                                <w:szCs w:val="18"/>
                              </w:rPr>
                            </w:pPr>
                            <w:r w:rsidRPr="00054C5B">
                              <w:rPr>
                                <w:b/>
                                <w:sz w:val="18"/>
                                <w:szCs w:val="18"/>
                              </w:rPr>
                              <w:t>SPECIFIC ACTIONS REQUIRED</w:t>
                            </w:r>
                          </w:p>
                        </w:tc>
                        <w:tc>
                          <w:tcPr>
                            <w:tcW w:w="2556" w:type="dxa"/>
                            <w:shd w:val="clear" w:color="auto" w:fill="auto"/>
                          </w:tcPr>
                          <w:p w14:paraId="0B9E2ABC" w14:textId="77777777" w:rsidR="00D178DA" w:rsidRPr="00054C5B" w:rsidRDefault="00D178DA" w:rsidP="001454E8">
                            <w:pPr>
                              <w:pStyle w:val="TableParagraph"/>
                              <w:spacing w:before="139"/>
                              <w:rPr>
                                <w:b/>
                                <w:sz w:val="18"/>
                                <w:szCs w:val="18"/>
                              </w:rPr>
                            </w:pPr>
                            <w:r w:rsidRPr="00054C5B">
                              <w:rPr>
                                <w:b/>
                                <w:color w:val="414042"/>
                                <w:sz w:val="18"/>
                                <w:szCs w:val="18"/>
                              </w:rPr>
                              <w:t>RESPONSIBLE TEAM/PERSON</w:t>
                            </w:r>
                          </w:p>
                        </w:tc>
                      </w:tr>
                      <w:tr w:rsidR="00D178DA" w14:paraId="3A1595AF" w14:textId="77777777" w:rsidTr="00884CCD">
                        <w:trPr>
                          <w:trHeight w:val="551"/>
                        </w:trPr>
                        <w:tc>
                          <w:tcPr>
                            <w:tcW w:w="4810" w:type="dxa"/>
                            <w:vAlign w:val="center"/>
                          </w:tcPr>
                          <w:p w14:paraId="4442FB1E" w14:textId="77777777" w:rsidR="00D178DA" w:rsidRPr="00D733CC" w:rsidRDefault="00D178DA" w:rsidP="001454E8">
                            <w:pPr>
                              <w:pStyle w:val="TableParagraph"/>
                              <w:spacing w:before="48"/>
                              <w:rPr>
                                <w:sz w:val="20"/>
                              </w:rPr>
                            </w:pPr>
                            <w:r w:rsidRPr="00D733CC">
                              <w:rPr>
                                <w:sz w:val="20"/>
                              </w:rPr>
                              <w:t>Automatic and contactless</w:t>
                            </w:r>
                          </w:p>
                        </w:tc>
                        <w:tc>
                          <w:tcPr>
                            <w:tcW w:w="992" w:type="dxa"/>
                          </w:tcPr>
                          <w:p w14:paraId="58A897C5" w14:textId="77777777" w:rsidR="00D178DA" w:rsidRPr="00D733CC" w:rsidRDefault="00D178DA">
                            <w:pPr>
                              <w:pStyle w:val="TableParagraph"/>
                              <w:rPr>
                                <w:rFonts w:ascii="Times New Roman"/>
                                <w:sz w:val="18"/>
                              </w:rPr>
                            </w:pPr>
                          </w:p>
                        </w:tc>
                        <w:tc>
                          <w:tcPr>
                            <w:tcW w:w="2410" w:type="dxa"/>
                          </w:tcPr>
                          <w:p w14:paraId="56D353A8" w14:textId="77777777" w:rsidR="00D178DA" w:rsidRPr="00D733CC" w:rsidRDefault="00D178DA">
                            <w:pPr>
                              <w:pStyle w:val="TableParagraph"/>
                              <w:rPr>
                                <w:rFonts w:ascii="Times New Roman"/>
                                <w:sz w:val="18"/>
                              </w:rPr>
                            </w:pPr>
                          </w:p>
                        </w:tc>
                        <w:tc>
                          <w:tcPr>
                            <w:tcW w:w="2556" w:type="dxa"/>
                          </w:tcPr>
                          <w:p w14:paraId="043D2DE0" w14:textId="77777777" w:rsidR="00D178DA" w:rsidRDefault="00D178DA">
                            <w:pPr>
                              <w:pStyle w:val="TableParagraph"/>
                              <w:rPr>
                                <w:rFonts w:ascii="Times New Roman"/>
                                <w:sz w:val="18"/>
                              </w:rPr>
                            </w:pPr>
                          </w:p>
                        </w:tc>
                      </w:tr>
                      <w:tr w:rsidR="00D178DA" w14:paraId="28E32B97" w14:textId="77777777" w:rsidTr="00884CCD">
                        <w:trPr>
                          <w:trHeight w:val="551"/>
                        </w:trPr>
                        <w:tc>
                          <w:tcPr>
                            <w:tcW w:w="4810" w:type="dxa"/>
                            <w:vAlign w:val="center"/>
                          </w:tcPr>
                          <w:p w14:paraId="7A0258F4" w14:textId="77777777" w:rsidR="00D178DA" w:rsidRPr="00D733CC" w:rsidRDefault="00D178DA" w:rsidP="001454E8">
                            <w:pPr>
                              <w:pStyle w:val="TableParagraph"/>
                              <w:rPr>
                                <w:sz w:val="20"/>
                              </w:rPr>
                            </w:pPr>
                            <w:r w:rsidRPr="00D733CC">
                              <w:rPr>
                                <w:sz w:val="20"/>
                              </w:rPr>
                              <w:t>Personal hand sanitiser bottles</w:t>
                            </w:r>
                          </w:p>
                        </w:tc>
                        <w:tc>
                          <w:tcPr>
                            <w:tcW w:w="992" w:type="dxa"/>
                          </w:tcPr>
                          <w:p w14:paraId="471B7AC2" w14:textId="77777777" w:rsidR="00D178DA" w:rsidRPr="00D733CC" w:rsidRDefault="00D178DA">
                            <w:pPr>
                              <w:pStyle w:val="TableParagraph"/>
                              <w:rPr>
                                <w:rFonts w:ascii="Times New Roman"/>
                                <w:sz w:val="18"/>
                              </w:rPr>
                            </w:pPr>
                          </w:p>
                        </w:tc>
                        <w:tc>
                          <w:tcPr>
                            <w:tcW w:w="2410" w:type="dxa"/>
                          </w:tcPr>
                          <w:p w14:paraId="04413088" w14:textId="77777777" w:rsidR="00D178DA" w:rsidRPr="00D733CC" w:rsidRDefault="00D178DA">
                            <w:pPr>
                              <w:pStyle w:val="TableParagraph"/>
                              <w:rPr>
                                <w:rFonts w:ascii="Times New Roman"/>
                                <w:sz w:val="18"/>
                              </w:rPr>
                            </w:pPr>
                          </w:p>
                        </w:tc>
                        <w:tc>
                          <w:tcPr>
                            <w:tcW w:w="2556" w:type="dxa"/>
                          </w:tcPr>
                          <w:p w14:paraId="53EF92E5" w14:textId="77777777" w:rsidR="00D178DA" w:rsidRDefault="00D178DA">
                            <w:pPr>
                              <w:pStyle w:val="TableParagraph"/>
                              <w:rPr>
                                <w:rFonts w:ascii="Times New Roman"/>
                                <w:sz w:val="18"/>
                              </w:rPr>
                            </w:pPr>
                          </w:p>
                        </w:tc>
                      </w:tr>
                      <w:tr w:rsidR="00D178DA" w14:paraId="1E0B2291" w14:textId="77777777" w:rsidTr="00884CCD">
                        <w:trPr>
                          <w:trHeight w:val="551"/>
                        </w:trPr>
                        <w:tc>
                          <w:tcPr>
                            <w:tcW w:w="4810" w:type="dxa"/>
                            <w:vAlign w:val="center"/>
                          </w:tcPr>
                          <w:p w14:paraId="20AFF9EF" w14:textId="77777777" w:rsidR="00D178DA" w:rsidRPr="00D733CC" w:rsidRDefault="00D178DA" w:rsidP="001454E8">
                            <w:pPr>
                              <w:pStyle w:val="TableParagraph"/>
                              <w:rPr>
                                <w:sz w:val="20"/>
                              </w:rPr>
                            </w:pPr>
                            <w:r w:rsidRPr="00D733CC">
                              <w:rPr>
                                <w:sz w:val="20"/>
                              </w:rPr>
                              <w:t>Low allergen and fragrance free</w:t>
                            </w:r>
                          </w:p>
                        </w:tc>
                        <w:tc>
                          <w:tcPr>
                            <w:tcW w:w="992" w:type="dxa"/>
                          </w:tcPr>
                          <w:p w14:paraId="1A140B36" w14:textId="77777777" w:rsidR="00D178DA" w:rsidRPr="00D733CC" w:rsidRDefault="00D178DA">
                            <w:pPr>
                              <w:pStyle w:val="TableParagraph"/>
                              <w:rPr>
                                <w:rFonts w:ascii="Times New Roman"/>
                                <w:sz w:val="18"/>
                              </w:rPr>
                            </w:pPr>
                          </w:p>
                        </w:tc>
                        <w:tc>
                          <w:tcPr>
                            <w:tcW w:w="2410" w:type="dxa"/>
                          </w:tcPr>
                          <w:p w14:paraId="0DFED1BD" w14:textId="77777777" w:rsidR="00D178DA" w:rsidRPr="00D733CC" w:rsidRDefault="00D178DA">
                            <w:pPr>
                              <w:pStyle w:val="TableParagraph"/>
                              <w:rPr>
                                <w:rFonts w:ascii="Times New Roman"/>
                                <w:sz w:val="18"/>
                              </w:rPr>
                            </w:pPr>
                          </w:p>
                        </w:tc>
                        <w:tc>
                          <w:tcPr>
                            <w:tcW w:w="2556" w:type="dxa"/>
                          </w:tcPr>
                          <w:p w14:paraId="03C0FF34" w14:textId="77777777" w:rsidR="00D178DA" w:rsidRDefault="00D178DA">
                            <w:pPr>
                              <w:pStyle w:val="TableParagraph"/>
                              <w:rPr>
                                <w:rFonts w:ascii="Times New Roman"/>
                                <w:sz w:val="18"/>
                              </w:rPr>
                            </w:pPr>
                          </w:p>
                        </w:tc>
                      </w:tr>
                      <w:tr w:rsidR="00D178DA" w14:paraId="1527ACE6" w14:textId="77777777" w:rsidTr="00884CCD">
                        <w:trPr>
                          <w:trHeight w:val="551"/>
                        </w:trPr>
                        <w:tc>
                          <w:tcPr>
                            <w:tcW w:w="4810" w:type="dxa"/>
                            <w:vAlign w:val="center"/>
                          </w:tcPr>
                          <w:p w14:paraId="43BCC3EE" w14:textId="77777777" w:rsidR="00D178DA" w:rsidRPr="00D733CC" w:rsidRDefault="00D178DA" w:rsidP="001454E8">
                            <w:pPr>
                              <w:pStyle w:val="TableParagraph"/>
                              <w:rPr>
                                <w:b/>
                                <w:sz w:val="20"/>
                              </w:rPr>
                            </w:pPr>
                            <w:r w:rsidRPr="00D733CC">
                              <w:rPr>
                                <w:b/>
                                <w:sz w:val="20"/>
                              </w:rPr>
                              <w:t>Cough and sneeze etiquette</w:t>
                            </w:r>
                          </w:p>
                        </w:tc>
                        <w:tc>
                          <w:tcPr>
                            <w:tcW w:w="992" w:type="dxa"/>
                          </w:tcPr>
                          <w:p w14:paraId="3BB555AE" w14:textId="77777777" w:rsidR="00D178DA" w:rsidRPr="00D733CC" w:rsidRDefault="00D178DA">
                            <w:pPr>
                              <w:pStyle w:val="TableParagraph"/>
                              <w:rPr>
                                <w:rFonts w:ascii="Times New Roman"/>
                                <w:sz w:val="18"/>
                              </w:rPr>
                            </w:pPr>
                          </w:p>
                        </w:tc>
                        <w:tc>
                          <w:tcPr>
                            <w:tcW w:w="2410" w:type="dxa"/>
                          </w:tcPr>
                          <w:p w14:paraId="36A4D458" w14:textId="77777777" w:rsidR="00D178DA" w:rsidRPr="00D733CC" w:rsidRDefault="00D178DA">
                            <w:pPr>
                              <w:pStyle w:val="TableParagraph"/>
                              <w:rPr>
                                <w:rFonts w:ascii="Times New Roman"/>
                                <w:sz w:val="18"/>
                              </w:rPr>
                            </w:pPr>
                          </w:p>
                        </w:tc>
                        <w:tc>
                          <w:tcPr>
                            <w:tcW w:w="2556" w:type="dxa"/>
                          </w:tcPr>
                          <w:p w14:paraId="6C730F87" w14:textId="77777777" w:rsidR="00D178DA" w:rsidRDefault="00D178DA">
                            <w:pPr>
                              <w:pStyle w:val="TableParagraph"/>
                              <w:rPr>
                                <w:rFonts w:ascii="Times New Roman"/>
                                <w:sz w:val="18"/>
                              </w:rPr>
                            </w:pPr>
                          </w:p>
                        </w:tc>
                      </w:tr>
                      <w:tr w:rsidR="00D178DA" w14:paraId="55F1FC86" w14:textId="77777777" w:rsidTr="00884CCD">
                        <w:trPr>
                          <w:trHeight w:val="551"/>
                        </w:trPr>
                        <w:tc>
                          <w:tcPr>
                            <w:tcW w:w="4810" w:type="dxa"/>
                            <w:vAlign w:val="center"/>
                          </w:tcPr>
                          <w:p w14:paraId="38B14D2E" w14:textId="77777777" w:rsidR="00D178DA" w:rsidRPr="00D733CC" w:rsidRDefault="00D178DA" w:rsidP="001454E8">
                            <w:pPr>
                              <w:pStyle w:val="TableParagraph"/>
                              <w:rPr>
                                <w:sz w:val="20"/>
                              </w:rPr>
                            </w:pPr>
                            <w:r w:rsidRPr="00D733CC">
                              <w:rPr>
                                <w:sz w:val="20"/>
                              </w:rPr>
                              <w:t>Accessible waste bins</w:t>
                            </w:r>
                          </w:p>
                        </w:tc>
                        <w:tc>
                          <w:tcPr>
                            <w:tcW w:w="992" w:type="dxa"/>
                          </w:tcPr>
                          <w:p w14:paraId="04EAA113" w14:textId="77777777" w:rsidR="00D178DA" w:rsidRPr="00D733CC" w:rsidRDefault="00D178DA">
                            <w:pPr>
                              <w:pStyle w:val="TableParagraph"/>
                              <w:rPr>
                                <w:rFonts w:ascii="Times New Roman"/>
                                <w:sz w:val="18"/>
                              </w:rPr>
                            </w:pPr>
                          </w:p>
                        </w:tc>
                        <w:tc>
                          <w:tcPr>
                            <w:tcW w:w="2410" w:type="dxa"/>
                          </w:tcPr>
                          <w:p w14:paraId="383214B1" w14:textId="77777777" w:rsidR="00D178DA" w:rsidRPr="00D733CC" w:rsidRDefault="00D178DA">
                            <w:pPr>
                              <w:pStyle w:val="TableParagraph"/>
                              <w:rPr>
                                <w:rFonts w:ascii="Times New Roman"/>
                                <w:sz w:val="18"/>
                              </w:rPr>
                            </w:pPr>
                          </w:p>
                        </w:tc>
                        <w:tc>
                          <w:tcPr>
                            <w:tcW w:w="2556" w:type="dxa"/>
                          </w:tcPr>
                          <w:p w14:paraId="7450AC61" w14:textId="77777777" w:rsidR="00D178DA" w:rsidRDefault="00D178DA">
                            <w:pPr>
                              <w:pStyle w:val="TableParagraph"/>
                              <w:rPr>
                                <w:rFonts w:ascii="Times New Roman"/>
                                <w:sz w:val="18"/>
                              </w:rPr>
                            </w:pPr>
                          </w:p>
                        </w:tc>
                      </w:tr>
                      <w:tr w:rsidR="00D178DA" w14:paraId="5FA8DA1D" w14:textId="77777777" w:rsidTr="00884CCD">
                        <w:trPr>
                          <w:trHeight w:val="551"/>
                        </w:trPr>
                        <w:tc>
                          <w:tcPr>
                            <w:tcW w:w="4810" w:type="dxa"/>
                            <w:vAlign w:val="center"/>
                          </w:tcPr>
                          <w:p w14:paraId="0073069D" w14:textId="77777777" w:rsidR="00D178DA" w:rsidRPr="00D733CC" w:rsidRDefault="00D178DA" w:rsidP="001454E8">
                            <w:pPr>
                              <w:pStyle w:val="TableParagraph"/>
                              <w:rPr>
                                <w:sz w:val="20"/>
                              </w:rPr>
                            </w:pPr>
                            <w:r w:rsidRPr="00D733CC">
                              <w:rPr>
                                <w:sz w:val="20"/>
                              </w:rPr>
                              <w:t>Personal rubbish bags</w:t>
                            </w:r>
                          </w:p>
                        </w:tc>
                        <w:tc>
                          <w:tcPr>
                            <w:tcW w:w="992" w:type="dxa"/>
                          </w:tcPr>
                          <w:p w14:paraId="57D156AD" w14:textId="77777777" w:rsidR="00D178DA" w:rsidRPr="00D733CC" w:rsidRDefault="00D178DA">
                            <w:pPr>
                              <w:pStyle w:val="TableParagraph"/>
                              <w:rPr>
                                <w:rFonts w:ascii="Times New Roman"/>
                                <w:sz w:val="18"/>
                              </w:rPr>
                            </w:pPr>
                          </w:p>
                        </w:tc>
                        <w:tc>
                          <w:tcPr>
                            <w:tcW w:w="2410" w:type="dxa"/>
                          </w:tcPr>
                          <w:p w14:paraId="14F71A0C" w14:textId="77777777" w:rsidR="00D178DA" w:rsidRPr="00D733CC" w:rsidRDefault="00D178DA">
                            <w:pPr>
                              <w:pStyle w:val="TableParagraph"/>
                              <w:rPr>
                                <w:rFonts w:ascii="Times New Roman"/>
                                <w:sz w:val="18"/>
                              </w:rPr>
                            </w:pPr>
                          </w:p>
                        </w:tc>
                        <w:tc>
                          <w:tcPr>
                            <w:tcW w:w="2556" w:type="dxa"/>
                          </w:tcPr>
                          <w:p w14:paraId="66AEEC37" w14:textId="77777777" w:rsidR="00D178DA" w:rsidRDefault="00D178DA">
                            <w:pPr>
                              <w:pStyle w:val="TableParagraph"/>
                              <w:rPr>
                                <w:rFonts w:ascii="Times New Roman"/>
                                <w:sz w:val="18"/>
                              </w:rPr>
                            </w:pPr>
                          </w:p>
                        </w:tc>
                      </w:tr>
                      <w:tr w:rsidR="00D178DA" w14:paraId="799FB4ED" w14:textId="77777777" w:rsidTr="00884CCD">
                        <w:trPr>
                          <w:trHeight w:val="551"/>
                        </w:trPr>
                        <w:tc>
                          <w:tcPr>
                            <w:tcW w:w="4810" w:type="dxa"/>
                            <w:vAlign w:val="center"/>
                          </w:tcPr>
                          <w:p w14:paraId="688DA592" w14:textId="77777777" w:rsidR="00D178DA" w:rsidRPr="00D733CC" w:rsidRDefault="00D178DA" w:rsidP="001454E8">
                            <w:pPr>
                              <w:pStyle w:val="TableParagraph"/>
                              <w:rPr>
                                <w:sz w:val="20"/>
                              </w:rPr>
                            </w:pPr>
                            <w:r w:rsidRPr="00D733CC">
                              <w:rPr>
                                <w:sz w:val="20"/>
                              </w:rPr>
                              <w:t>Accessible tissues</w:t>
                            </w:r>
                          </w:p>
                        </w:tc>
                        <w:tc>
                          <w:tcPr>
                            <w:tcW w:w="992" w:type="dxa"/>
                          </w:tcPr>
                          <w:p w14:paraId="1D15BFD0" w14:textId="77777777" w:rsidR="00D178DA" w:rsidRPr="00D733CC" w:rsidRDefault="00D178DA">
                            <w:pPr>
                              <w:pStyle w:val="TableParagraph"/>
                              <w:rPr>
                                <w:rFonts w:ascii="Times New Roman"/>
                                <w:sz w:val="18"/>
                              </w:rPr>
                            </w:pPr>
                          </w:p>
                        </w:tc>
                        <w:tc>
                          <w:tcPr>
                            <w:tcW w:w="2410" w:type="dxa"/>
                          </w:tcPr>
                          <w:p w14:paraId="666C4602" w14:textId="77777777" w:rsidR="00D178DA" w:rsidRPr="00D733CC" w:rsidRDefault="00D178DA">
                            <w:pPr>
                              <w:pStyle w:val="TableParagraph"/>
                              <w:rPr>
                                <w:rFonts w:ascii="Times New Roman"/>
                                <w:sz w:val="18"/>
                              </w:rPr>
                            </w:pPr>
                          </w:p>
                        </w:tc>
                        <w:tc>
                          <w:tcPr>
                            <w:tcW w:w="2556" w:type="dxa"/>
                          </w:tcPr>
                          <w:p w14:paraId="62C6A473" w14:textId="77777777" w:rsidR="00D178DA" w:rsidRDefault="00D178DA">
                            <w:pPr>
                              <w:pStyle w:val="TableParagraph"/>
                              <w:rPr>
                                <w:rFonts w:ascii="Times New Roman"/>
                                <w:sz w:val="18"/>
                              </w:rPr>
                            </w:pPr>
                          </w:p>
                        </w:tc>
                      </w:tr>
                      <w:tr w:rsidR="00D178DA" w14:paraId="707B7791" w14:textId="77777777" w:rsidTr="00884CCD">
                        <w:trPr>
                          <w:trHeight w:val="551"/>
                        </w:trPr>
                        <w:tc>
                          <w:tcPr>
                            <w:tcW w:w="4810" w:type="dxa"/>
                            <w:vAlign w:val="center"/>
                          </w:tcPr>
                          <w:p w14:paraId="62D4D57E" w14:textId="77777777" w:rsidR="00D178DA" w:rsidRPr="00D733CC" w:rsidRDefault="00D178DA" w:rsidP="001454E8">
                            <w:pPr>
                              <w:pStyle w:val="TableParagraph"/>
                              <w:rPr>
                                <w:b/>
                                <w:sz w:val="20"/>
                              </w:rPr>
                            </w:pPr>
                            <w:r w:rsidRPr="00D733CC">
                              <w:rPr>
                                <w:b/>
                                <w:sz w:val="20"/>
                              </w:rPr>
                              <w:t>Cleaning and disinfecting</w:t>
                            </w:r>
                          </w:p>
                        </w:tc>
                        <w:tc>
                          <w:tcPr>
                            <w:tcW w:w="992" w:type="dxa"/>
                          </w:tcPr>
                          <w:p w14:paraId="1A0F2A41" w14:textId="77777777" w:rsidR="00D178DA" w:rsidRPr="00D733CC" w:rsidRDefault="00D178DA">
                            <w:pPr>
                              <w:pStyle w:val="TableParagraph"/>
                              <w:rPr>
                                <w:rFonts w:ascii="Times New Roman"/>
                                <w:sz w:val="18"/>
                              </w:rPr>
                            </w:pPr>
                          </w:p>
                        </w:tc>
                        <w:tc>
                          <w:tcPr>
                            <w:tcW w:w="2410" w:type="dxa"/>
                          </w:tcPr>
                          <w:p w14:paraId="52D4AD2B" w14:textId="77777777" w:rsidR="00D178DA" w:rsidRPr="00D733CC" w:rsidRDefault="00D178DA">
                            <w:pPr>
                              <w:pStyle w:val="TableParagraph"/>
                              <w:rPr>
                                <w:rFonts w:ascii="Times New Roman"/>
                                <w:sz w:val="18"/>
                              </w:rPr>
                            </w:pPr>
                          </w:p>
                        </w:tc>
                        <w:tc>
                          <w:tcPr>
                            <w:tcW w:w="2556" w:type="dxa"/>
                          </w:tcPr>
                          <w:p w14:paraId="4404353E" w14:textId="77777777" w:rsidR="00D178DA" w:rsidRDefault="00D178DA">
                            <w:pPr>
                              <w:pStyle w:val="TableParagraph"/>
                              <w:rPr>
                                <w:rFonts w:ascii="Times New Roman"/>
                                <w:sz w:val="18"/>
                              </w:rPr>
                            </w:pPr>
                          </w:p>
                        </w:tc>
                      </w:tr>
                      <w:tr w:rsidR="00D178DA" w14:paraId="0AE29B1B" w14:textId="77777777" w:rsidTr="00884CCD">
                        <w:trPr>
                          <w:trHeight w:val="551"/>
                        </w:trPr>
                        <w:tc>
                          <w:tcPr>
                            <w:tcW w:w="4810" w:type="dxa"/>
                            <w:vAlign w:val="center"/>
                          </w:tcPr>
                          <w:p w14:paraId="5EC64F66" w14:textId="77777777" w:rsidR="00D178DA" w:rsidRPr="00D733CC" w:rsidRDefault="00D178DA" w:rsidP="001454E8">
                            <w:pPr>
                              <w:pStyle w:val="TableParagraph"/>
                              <w:spacing w:before="1" w:line="235" w:lineRule="auto"/>
                              <w:rPr>
                                <w:sz w:val="20"/>
                              </w:rPr>
                            </w:pPr>
                            <w:r w:rsidRPr="00D733CC">
                              <w:rPr>
                                <w:sz w:val="20"/>
                              </w:rPr>
                              <w:t>Instructions given for assistive high-touch surfaces</w:t>
                            </w:r>
                          </w:p>
                        </w:tc>
                        <w:tc>
                          <w:tcPr>
                            <w:tcW w:w="992" w:type="dxa"/>
                          </w:tcPr>
                          <w:p w14:paraId="78E0DF8E" w14:textId="77777777" w:rsidR="00D178DA" w:rsidRPr="00D733CC" w:rsidRDefault="00D178DA">
                            <w:pPr>
                              <w:pStyle w:val="TableParagraph"/>
                              <w:rPr>
                                <w:rFonts w:ascii="Times New Roman"/>
                                <w:sz w:val="18"/>
                              </w:rPr>
                            </w:pPr>
                          </w:p>
                        </w:tc>
                        <w:tc>
                          <w:tcPr>
                            <w:tcW w:w="2410" w:type="dxa"/>
                          </w:tcPr>
                          <w:p w14:paraId="65ED532E" w14:textId="77777777" w:rsidR="00D178DA" w:rsidRPr="00D733CC" w:rsidRDefault="00D178DA">
                            <w:pPr>
                              <w:pStyle w:val="TableParagraph"/>
                              <w:rPr>
                                <w:rFonts w:ascii="Times New Roman"/>
                                <w:sz w:val="18"/>
                              </w:rPr>
                            </w:pPr>
                          </w:p>
                        </w:tc>
                        <w:tc>
                          <w:tcPr>
                            <w:tcW w:w="2556" w:type="dxa"/>
                          </w:tcPr>
                          <w:p w14:paraId="5C9CEAA5" w14:textId="77777777" w:rsidR="00D178DA" w:rsidRDefault="00D178DA">
                            <w:pPr>
                              <w:pStyle w:val="TableParagraph"/>
                              <w:rPr>
                                <w:rFonts w:ascii="Times New Roman"/>
                                <w:sz w:val="18"/>
                              </w:rPr>
                            </w:pPr>
                          </w:p>
                        </w:tc>
                      </w:tr>
                      <w:tr w:rsidR="00D178DA" w14:paraId="294F73BF" w14:textId="77777777" w:rsidTr="00884CCD">
                        <w:trPr>
                          <w:trHeight w:val="551"/>
                        </w:trPr>
                        <w:tc>
                          <w:tcPr>
                            <w:tcW w:w="4810" w:type="dxa"/>
                            <w:vAlign w:val="center"/>
                          </w:tcPr>
                          <w:p w14:paraId="68102D24" w14:textId="77777777" w:rsidR="00D178DA" w:rsidRPr="00D733CC" w:rsidRDefault="00D178DA" w:rsidP="001454E8">
                            <w:pPr>
                              <w:pStyle w:val="TableParagraph"/>
                              <w:spacing w:before="1" w:line="235" w:lineRule="auto"/>
                              <w:rPr>
                                <w:sz w:val="20"/>
                              </w:rPr>
                            </w:pPr>
                            <w:r w:rsidRPr="00D733CC">
                              <w:rPr>
                                <w:sz w:val="20"/>
                              </w:rPr>
                              <w:t>Wipes for assistive high-touch surfaces provided</w:t>
                            </w:r>
                          </w:p>
                        </w:tc>
                        <w:tc>
                          <w:tcPr>
                            <w:tcW w:w="992" w:type="dxa"/>
                          </w:tcPr>
                          <w:p w14:paraId="4FA0A6E7" w14:textId="77777777" w:rsidR="00D178DA" w:rsidRPr="00D733CC" w:rsidRDefault="00D178DA">
                            <w:pPr>
                              <w:pStyle w:val="TableParagraph"/>
                              <w:rPr>
                                <w:rFonts w:ascii="Times New Roman"/>
                                <w:sz w:val="18"/>
                              </w:rPr>
                            </w:pPr>
                          </w:p>
                        </w:tc>
                        <w:tc>
                          <w:tcPr>
                            <w:tcW w:w="2410" w:type="dxa"/>
                          </w:tcPr>
                          <w:p w14:paraId="612FCA2D" w14:textId="77777777" w:rsidR="00D178DA" w:rsidRPr="00D733CC" w:rsidRDefault="00D178DA">
                            <w:pPr>
                              <w:pStyle w:val="TableParagraph"/>
                              <w:rPr>
                                <w:rFonts w:ascii="Times New Roman"/>
                                <w:sz w:val="18"/>
                              </w:rPr>
                            </w:pPr>
                          </w:p>
                        </w:tc>
                        <w:tc>
                          <w:tcPr>
                            <w:tcW w:w="2556" w:type="dxa"/>
                          </w:tcPr>
                          <w:p w14:paraId="016C0D86" w14:textId="77777777" w:rsidR="00D178DA" w:rsidRDefault="00D178DA">
                            <w:pPr>
                              <w:pStyle w:val="TableParagraph"/>
                              <w:rPr>
                                <w:rFonts w:ascii="Times New Roman"/>
                                <w:sz w:val="18"/>
                              </w:rPr>
                            </w:pPr>
                          </w:p>
                        </w:tc>
                      </w:tr>
                      <w:tr w:rsidR="00D178DA" w14:paraId="714F90C1" w14:textId="77777777" w:rsidTr="00884CCD">
                        <w:trPr>
                          <w:trHeight w:val="551"/>
                        </w:trPr>
                        <w:tc>
                          <w:tcPr>
                            <w:tcW w:w="4810" w:type="dxa"/>
                            <w:vAlign w:val="center"/>
                          </w:tcPr>
                          <w:p w14:paraId="01377E5B" w14:textId="77777777" w:rsidR="00D178DA" w:rsidRPr="00D733CC" w:rsidRDefault="00D178DA" w:rsidP="001454E8">
                            <w:pPr>
                              <w:pStyle w:val="TableParagraph"/>
                              <w:spacing w:before="1" w:line="235" w:lineRule="auto"/>
                              <w:rPr>
                                <w:sz w:val="20"/>
                              </w:rPr>
                            </w:pPr>
                            <w:r w:rsidRPr="00D733CC">
                              <w:rPr>
                                <w:sz w:val="20"/>
                              </w:rPr>
                              <w:t>Cleaning protocols for assistive device loans developed</w:t>
                            </w:r>
                          </w:p>
                        </w:tc>
                        <w:tc>
                          <w:tcPr>
                            <w:tcW w:w="992" w:type="dxa"/>
                          </w:tcPr>
                          <w:p w14:paraId="48F72932" w14:textId="77777777" w:rsidR="00D178DA" w:rsidRPr="00D733CC" w:rsidRDefault="00D178DA">
                            <w:pPr>
                              <w:pStyle w:val="TableParagraph"/>
                              <w:rPr>
                                <w:rFonts w:ascii="Times New Roman"/>
                                <w:sz w:val="18"/>
                              </w:rPr>
                            </w:pPr>
                          </w:p>
                        </w:tc>
                        <w:tc>
                          <w:tcPr>
                            <w:tcW w:w="2410" w:type="dxa"/>
                          </w:tcPr>
                          <w:p w14:paraId="4CF44F96" w14:textId="77777777" w:rsidR="00D178DA" w:rsidRPr="00D733CC" w:rsidRDefault="00D178DA">
                            <w:pPr>
                              <w:pStyle w:val="TableParagraph"/>
                              <w:rPr>
                                <w:rFonts w:ascii="Times New Roman"/>
                                <w:sz w:val="18"/>
                              </w:rPr>
                            </w:pPr>
                          </w:p>
                        </w:tc>
                        <w:tc>
                          <w:tcPr>
                            <w:tcW w:w="2556" w:type="dxa"/>
                          </w:tcPr>
                          <w:p w14:paraId="539E0C6D" w14:textId="77777777" w:rsidR="00D178DA" w:rsidRDefault="00D178DA">
                            <w:pPr>
                              <w:pStyle w:val="TableParagraph"/>
                              <w:rPr>
                                <w:rFonts w:ascii="Times New Roman"/>
                                <w:sz w:val="18"/>
                              </w:rPr>
                            </w:pPr>
                          </w:p>
                        </w:tc>
                      </w:tr>
                      <w:tr w:rsidR="00D178DA" w14:paraId="3874C885" w14:textId="77777777" w:rsidTr="00884CCD">
                        <w:trPr>
                          <w:trHeight w:val="551"/>
                        </w:trPr>
                        <w:tc>
                          <w:tcPr>
                            <w:tcW w:w="4810" w:type="dxa"/>
                            <w:vAlign w:val="center"/>
                          </w:tcPr>
                          <w:p w14:paraId="5552161F" w14:textId="77777777" w:rsidR="00D178DA" w:rsidRPr="00D733CC" w:rsidRDefault="00D178DA" w:rsidP="001454E8">
                            <w:pPr>
                              <w:pStyle w:val="TableParagraph"/>
                              <w:rPr>
                                <w:sz w:val="20"/>
                              </w:rPr>
                            </w:pPr>
                            <w:r w:rsidRPr="00D733CC">
                              <w:rPr>
                                <w:sz w:val="20"/>
                              </w:rPr>
                              <w:t>Access to cleaning materials</w:t>
                            </w:r>
                          </w:p>
                        </w:tc>
                        <w:tc>
                          <w:tcPr>
                            <w:tcW w:w="992" w:type="dxa"/>
                          </w:tcPr>
                          <w:p w14:paraId="4927930E" w14:textId="77777777" w:rsidR="00D178DA" w:rsidRPr="00D733CC" w:rsidRDefault="00D178DA">
                            <w:pPr>
                              <w:pStyle w:val="TableParagraph"/>
                              <w:rPr>
                                <w:rFonts w:ascii="Times New Roman"/>
                                <w:sz w:val="18"/>
                              </w:rPr>
                            </w:pPr>
                          </w:p>
                        </w:tc>
                        <w:tc>
                          <w:tcPr>
                            <w:tcW w:w="2410" w:type="dxa"/>
                          </w:tcPr>
                          <w:p w14:paraId="0E415A3A" w14:textId="77777777" w:rsidR="00D178DA" w:rsidRPr="00D733CC" w:rsidRDefault="00D178DA">
                            <w:pPr>
                              <w:pStyle w:val="TableParagraph"/>
                              <w:rPr>
                                <w:rFonts w:ascii="Times New Roman"/>
                                <w:sz w:val="18"/>
                              </w:rPr>
                            </w:pPr>
                          </w:p>
                        </w:tc>
                        <w:tc>
                          <w:tcPr>
                            <w:tcW w:w="2556" w:type="dxa"/>
                          </w:tcPr>
                          <w:p w14:paraId="7C2F2A40" w14:textId="77777777" w:rsidR="00D178DA" w:rsidRDefault="00D178DA">
                            <w:pPr>
                              <w:pStyle w:val="TableParagraph"/>
                              <w:rPr>
                                <w:rFonts w:ascii="Times New Roman"/>
                                <w:sz w:val="18"/>
                              </w:rPr>
                            </w:pPr>
                          </w:p>
                        </w:tc>
                      </w:tr>
                      <w:tr w:rsidR="00D178DA" w14:paraId="29432493" w14:textId="77777777" w:rsidTr="00884CCD">
                        <w:trPr>
                          <w:trHeight w:val="551"/>
                        </w:trPr>
                        <w:tc>
                          <w:tcPr>
                            <w:tcW w:w="4810" w:type="dxa"/>
                            <w:vAlign w:val="center"/>
                          </w:tcPr>
                          <w:p w14:paraId="15835189" w14:textId="77777777" w:rsidR="00D178DA" w:rsidRPr="00D733CC" w:rsidRDefault="00D178DA" w:rsidP="001454E8">
                            <w:pPr>
                              <w:pStyle w:val="TableParagraph"/>
                              <w:rPr>
                                <w:b/>
                                <w:sz w:val="20"/>
                              </w:rPr>
                            </w:pPr>
                            <w:r w:rsidRPr="00D733CC">
                              <w:rPr>
                                <w:b/>
                                <w:sz w:val="20"/>
                              </w:rPr>
                              <w:t>Service animals</w:t>
                            </w:r>
                          </w:p>
                        </w:tc>
                        <w:tc>
                          <w:tcPr>
                            <w:tcW w:w="992" w:type="dxa"/>
                          </w:tcPr>
                          <w:p w14:paraId="69DBB6EE" w14:textId="77777777" w:rsidR="00D178DA" w:rsidRPr="00D733CC" w:rsidRDefault="00D178DA">
                            <w:pPr>
                              <w:pStyle w:val="TableParagraph"/>
                              <w:rPr>
                                <w:rFonts w:ascii="Times New Roman"/>
                                <w:sz w:val="18"/>
                              </w:rPr>
                            </w:pPr>
                          </w:p>
                        </w:tc>
                        <w:tc>
                          <w:tcPr>
                            <w:tcW w:w="2410" w:type="dxa"/>
                          </w:tcPr>
                          <w:p w14:paraId="2D05B136" w14:textId="77777777" w:rsidR="00D178DA" w:rsidRPr="00D733CC" w:rsidRDefault="00D178DA">
                            <w:pPr>
                              <w:pStyle w:val="TableParagraph"/>
                              <w:rPr>
                                <w:rFonts w:ascii="Times New Roman"/>
                                <w:sz w:val="18"/>
                              </w:rPr>
                            </w:pPr>
                          </w:p>
                        </w:tc>
                        <w:tc>
                          <w:tcPr>
                            <w:tcW w:w="2556" w:type="dxa"/>
                          </w:tcPr>
                          <w:p w14:paraId="4E6C3BE8" w14:textId="77777777" w:rsidR="00D178DA" w:rsidRDefault="00D178DA">
                            <w:pPr>
                              <w:pStyle w:val="TableParagraph"/>
                              <w:rPr>
                                <w:rFonts w:ascii="Times New Roman"/>
                                <w:sz w:val="18"/>
                              </w:rPr>
                            </w:pPr>
                          </w:p>
                        </w:tc>
                      </w:tr>
                      <w:tr w:rsidR="00D178DA" w14:paraId="1DC8DA83" w14:textId="77777777" w:rsidTr="00884CCD">
                        <w:trPr>
                          <w:trHeight w:val="551"/>
                        </w:trPr>
                        <w:tc>
                          <w:tcPr>
                            <w:tcW w:w="4810" w:type="dxa"/>
                            <w:vAlign w:val="center"/>
                          </w:tcPr>
                          <w:p w14:paraId="756234FD" w14:textId="77777777" w:rsidR="00D178DA" w:rsidRPr="00D733CC" w:rsidRDefault="00D178DA" w:rsidP="001454E8">
                            <w:pPr>
                              <w:pStyle w:val="TableParagraph"/>
                              <w:rPr>
                                <w:sz w:val="20"/>
                              </w:rPr>
                            </w:pPr>
                            <w:r w:rsidRPr="00D733CC">
                              <w:rPr>
                                <w:sz w:val="20"/>
                              </w:rPr>
                              <w:t>Information provided to owners</w:t>
                            </w:r>
                          </w:p>
                        </w:tc>
                        <w:tc>
                          <w:tcPr>
                            <w:tcW w:w="992" w:type="dxa"/>
                          </w:tcPr>
                          <w:p w14:paraId="5397C4AC" w14:textId="77777777" w:rsidR="00D178DA" w:rsidRPr="00D733CC" w:rsidRDefault="00D178DA">
                            <w:pPr>
                              <w:pStyle w:val="TableParagraph"/>
                              <w:rPr>
                                <w:rFonts w:ascii="Times New Roman"/>
                                <w:sz w:val="18"/>
                              </w:rPr>
                            </w:pPr>
                          </w:p>
                        </w:tc>
                        <w:tc>
                          <w:tcPr>
                            <w:tcW w:w="2410" w:type="dxa"/>
                          </w:tcPr>
                          <w:p w14:paraId="0060D095" w14:textId="77777777" w:rsidR="00D178DA" w:rsidRPr="00D733CC" w:rsidRDefault="00D178DA">
                            <w:pPr>
                              <w:pStyle w:val="TableParagraph"/>
                              <w:rPr>
                                <w:rFonts w:ascii="Times New Roman"/>
                                <w:sz w:val="18"/>
                              </w:rPr>
                            </w:pPr>
                          </w:p>
                        </w:tc>
                        <w:tc>
                          <w:tcPr>
                            <w:tcW w:w="2556" w:type="dxa"/>
                          </w:tcPr>
                          <w:p w14:paraId="1D2E8C4B" w14:textId="77777777" w:rsidR="00D178DA" w:rsidRDefault="00D178DA">
                            <w:pPr>
                              <w:pStyle w:val="TableParagraph"/>
                              <w:rPr>
                                <w:rFonts w:ascii="Times New Roman"/>
                                <w:sz w:val="18"/>
                              </w:rPr>
                            </w:pPr>
                          </w:p>
                        </w:tc>
                      </w:tr>
                      <w:tr w:rsidR="00D178DA" w14:paraId="467EA0C5" w14:textId="77777777" w:rsidTr="00884CCD">
                        <w:trPr>
                          <w:trHeight w:val="551"/>
                        </w:trPr>
                        <w:tc>
                          <w:tcPr>
                            <w:tcW w:w="4810" w:type="dxa"/>
                            <w:vAlign w:val="center"/>
                          </w:tcPr>
                          <w:p w14:paraId="176CE22F" w14:textId="77777777" w:rsidR="00D178DA" w:rsidRPr="00D733CC" w:rsidRDefault="00D178DA" w:rsidP="001454E8">
                            <w:pPr>
                              <w:pStyle w:val="TableParagraph"/>
                              <w:rPr>
                                <w:b/>
                                <w:sz w:val="20"/>
                              </w:rPr>
                            </w:pPr>
                            <w:r w:rsidRPr="00D733CC">
                              <w:rPr>
                                <w:b/>
                                <w:sz w:val="20"/>
                              </w:rPr>
                              <w:t>Emergency evacuations</w:t>
                            </w:r>
                          </w:p>
                        </w:tc>
                        <w:tc>
                          <w:tcPr>
                            <w:tcW w:w="992" w:type="dxa"/>
                          </w:tcPr>
                          <w:p w14:paraId="472DD388" w14:textId="77777777" w:rsidR="00D178DA" w:rsidRPr="00D733CC" w:rsidRDefault="00D178DA">
                            <w:pPr>
                              <w:pStyle w:val="TableParagraph"/>
                              <w:rPr>
                                <w:rFonts w:ascii="Times New Roman"/>
                                <w:sz w:val="18"/>
                              </w:rPr>
                            </w:pPr>
                          </w:p>
                        </w:tc>
                        <w:tc>
                          <w:tcPr>
                            <w:tcW w:w="2410" w:type="dxa"/>
                          </w:tcPr>
                          <w:p w14:paraId="4418D38F" w14:textId="77777777" w:rsidR="00D178DA" w:rsidRPr="00D733CC" w:rsidRDefault="00D178DA">
                            <w:pPr>
                              <w:pStyle w:val="TableParagraph"/>
                              <w:rPr>
                                <w:rFonts w:ascii="Times New Roman"/>
                                <w:sz w:val="18"/>
                              </w:rPr>
                            </w:pPr>
                          </w:p>
                        </w:tc>
                        <w:tc>
                          <w:tcPr>
                            <w:tcW w:w="2556" w:type="dxa"/>
                          </w:tcPr>
                          <w:p w14:paraId="0778F5E9" w14:textId="77777777" w:rsidR="00D178DA" w:rsidRDefault="00D178DA">
                            <w:pPr>
                              <w:pStyle w:val="TableParagraph"/>
                              <w:rPr>
                                <w:rFonts w:ascii="Times New Roman"/>
                                <w:sz w:val="18"/>
                              </w:rPr>
                            </w:pPr>
                          </w:p>
                        </w:tc>
                      </w:tr>
                      <w:tr w:rsidR="00D178DA" w14:paraId="0F14AC00" w14:textId="77777777" w:rsidTr="00884CCD">
                        <w:trPr>
                          <w:trHeight w:val="551"/>
                        </w:trPr>
                        <w:tc>
                          <w:tcPr>
                            <w:tcW w:w="4810" w:type="dxa"/>
                            <w:vAlign w:val="center"/>
                          </w:tcPr>
                          <w:p w14:paraId="77E778CE" w14:textId="77777777" w:rsidR="00D178DA" w:rsidRPr="00D733CC" w:rsidRDefault="00D178DA" w:rsidP="001454E8">
                            <w:pPr>
                              <w:pStyle w:val="TableParagraph"/>
                              <w:rPr>
                                <w:sz w:val="20"/>
                              </w:rPr>
                            </w:pPr>
                            <w:r w:rsidRPr="00D733CC">
                              <w:rPr>
                                <w:sz w:val="20"/>
                              </w:rPr>
                              <w:t>Emergency procedures updated</w:t>
                            </w:r>
                          </w:p>
                        </w:tc>
                        <w:tc>
                          <w:tcPr>
                            <w:tcW w:w="992" w:type="dxa"/>
                          </w:tcPr>
                          <w:p w14:paraId="061273AC" w14:textId="77777777" w:rsidR="00D178DA" w:rsidRPr="00D733CC" w:rsidRDefault="00D178DA">
                            <w:pPr>
                              <w:pStyle w:val="TableParagraph"/>
                              <w:rPr>
                                <w:rFonts w:ascii="Times New Roman"/>
                                <w:sz w:val="18"/>
                              </w:rPr>
                            </w:pPr>
                          </w:p>
                        </w:tc>
                        <w:tc>
                          <w:tcPr>
                            <w:tcW w:w="2410" w:type="dxa"/>
                          </w:tcPr>
                          <w:p w14:paraId="0CEC4935" w14:textId="77777777" w:rsidR="00D178DA" w:rsidRPr="00D733CC" w:rsidRDefault="00D178DA">
                            <w:pPr>
                              <w:pStyle w:val="TableParagraph"/>
                              <w:rPr>
                                <w:rFonts w:ascii="Times New Roman"/>
                                <w:sz w:val="18"/>
                              </w:rPr>
                            </w:pPr>
                          </w:p>
                        </w:tc>
                        <w:tc>
                          <w:tcPr>
                            <w:tcW w:w="2556" w:type="dxa"/>
                          </w:tcPr>
                          <w:p w14:paraId="5FC120D0" w14:textId="77777777" w:rsidR="00D178DA" w:rsidRDefault="00D178DA">
                            <w:pPr>
                              <w:pStyle w:val="TableParagraph"/>
                              <w:rPr>
                                <w:rFonts w:ascii="Times New Roman"/>
                                <w:sz w:val="18"/>
                              </w:rPr>
                            </w:pPr>
                          </w:p>
                        </w:tc>
                      </w:tr>
                      <w:tr w:rsidR="00D178DA" w14:paraId="3CDFECE6" w14:textId="77777777" w:rsidTr="00884CCD">
                        <w:trPr>
                          <w:trHeight w:val="551"/>
                        </w:trPr>
                        <w:tc>
                          <w:tcPr>
                            <w:tcW w:w="4810" w:type="dxa"/>
                            <w:vAlign w:val="center"/>
                          </w:tcPr>
                          <w:p w14:paraId="3E34DC20" w14:textId="77777777" w:rsidR="00D178DA" w:rsidRPr="00D733CC" w:rsidRDefault="00D178DA" w:rsidP="001454E8">
                            <w:pPr>
                              <w:pStyle w:val="TableParagraph"/>
                              <w:spacing w:before="1" w:line="235" w:lineRule="auto"/>
                              <w:rPr>
                                <w:sz w:val="20"/>
                              </w:rPr>
                            </w:pPr>
                            <w:r w:rsidRPr="00D733CC">
                              <w:rPr>
                                <w:sz w:val="20"/>
                              </w:rPr>
                              <w:t>Contact made with staff and students with PEEPs</w:t>
                            </w:r>
                          </w:p>
                        </w:tc>
                        <w:tc>
                          <w:tcPr>
                            <w:tcW w:w="992" w:type="dxa"/>
                          </w:tcPr>
                          <w:p w14:paraId="0CED8075" w14:textId="77777777" w:rsidR="00D178DA" w:rsidRPr="00D733CC" w:rsidRDefault="00D178DA">
                            <w:pPr>
                              <w:pStyle w:val="TableParagraph"/>
                              <w:rPr>
                                <w:rFonts w:ascii="Times New Roman"/>
                                <w:sz w:val="18"/>
                              </w:rPr>
                            </w:pPr>
                          </w:p>
                        </w:tc>
                        <w:tc>
                          <w:tcPr>
                            <w:tcW w:w="2410" w:type="dxa"/>
                          </w:tcPr>
                          <w:p w14:paraId="0E65D143" w14:textId="77777777" w:rsidR="00D178DA" w:rsidRPr="00D733CC" w:rsidRDefault="00D178DA">
                            <w:pPr>
                              <w:pStyle w:val="TableParagraph"/>
                              <w:rPr>
                                <w:rFonts w:ascii="Times New Roman"/>
                                <w:sz w:val="18"/>
                              </w:rPr>
                            </w:pPr>
                          </w:p>
                        </w:tc>
                        <w:tc>
                          <w:tcPr>
                            <w:tcW w:w="2556" w:type="dxa"/>
                          </w:tcPr>
                          <w:p w14:paraId="7319B920" w14:textId="77777777" w:rsidR="00D178DA" w:rsidRDefault="00D178DA">
                            <w:pPr>
                              <w:pStyle w:val="TableParagraph"/>
                              <w:rPr>
                                <w:rFonts w:ascii="Times New Roman"/>
                                <w:sz w:val="18"/>
                              </w:rPr>
                            </w:pPr>
                          </w:p>
                        </w:tc>
                      </w:tr>
                      <w:tr w:rsidR="00D178DA" w14:paraId="6159F6D8" w14:textId="77777777" w:rsidTr="00884CCD">
                        <w:trPr>
                          <w:trHeight w:val="551"/>
                        </w:trPr>
                        <w:tc>
                          <w:tcPr>
                            <w:tcW w:w="4810" w:type="dxa"/>
                            <w:vAlign w:val="center"/>
                          </w:tcPr>
                          <w:p w14:paraId="2F569048" w14:textId="77777777" w:rsidR="00D178DA" w:rsidRPr="00D733CC" w:rsidRDefault="00D178DA" w:rsidP="001454E8">
                            <w:pPr>
                              <w:pStyle w:val="TableParagraph"/>
                              <w:spacing w:before="1" w:line="235" w:lineRule="auto"/>
                              <w:rPr>
                                <w:sz w:val="20"/>
                              </w:rPr>
                            </w:pPr>
                            <w:r w:rsidRPr="00D733CC">
                              <w:rPr>
                                <w:sz w:val="20"/>
                              </w:rPr>
                              <w:t>Information on evacuation procedures is accessible</w:t>
                            </w:r>
                          </w:p>
                        </w:tc>
                        <w:tc>
                          <w:tcPr>
                            <w:tcW w:w="992" w:type="dxa"/>
                          </w:tcPr>
                          <w:p w14:paraId="26E9F3B3" w14:textId="77777777" w:rsidR="00D178DA" w:rsidRPr="00D733CC" w:rsidRDefault="00D178DA">
                            <w:pPr>
                              <w:pStyle w:val="TableParagraph"/>
                              <w:rPr>
                                <w:rFonts w:ascii="Times New Roman"/>
                                <w:sz w:val="18"/>
                              </w:rPr>
                            </w:pPr>
                          </w:p>
                        </w:tc>
                        <w:tc>
                          <w:tcPr>
                            <w:tcW w:w="2410" w:type="dxa"/>
                          </w:tcPr>
                          <w:p w14:paraId="7836CFD3" w14:textId="77777777" w:rsidR="00D178DA" w:rsidRPr="00D733CC" w:rsidRDefault="00D178DA">
                            <w:pPr>
                              <w:pStyle w:val="TableParagraph"/>
                              <w:rPr>
                                <w:rFonts w:ascii="Times New Roman"/>
                                <w:sz w:val="18"/>
                              </w:rPr>
                            </w:pPr>
                          </w:p>
                        </w:tc>
                        <w:tc>
                          <w:tcPr>
                            <w:tcW w:w="2556" w:type="dxa"/>
                          </w:tcPr>
                          <w:p w14:paraId="69CFBB86" w14:textId="77777777" w:rsidR="00D178DA" w:rsidRDefault="00D178DA">
                            <w:pPr>
                              <w:pStyle w:val="TableParagraph"/>
                              <w:rPr>
                                <w:rFonts w:ascii="Times New Roman"/>
                                <w:sz w:val="18"/>
                              </w:rPr>
                            </w:pPr>
                          </w:p>
                        </w:tc>
                      </w:tr>
                      <w:tr w:rsidR="00D178DA" w14:paraId="45146E71" w14:textId="77777777" w:rsidTr="00884CCD">
                        <w:trPr>
                          <w:trHeight w:val="551"/>
                        </w:trPr>
                        <w:tc>
                          <w:tcPr>
                            <w:tcW w:w="4810" w:type="dxa"/>
                            <w:vAlign w:val="center"/>
                          </w:tcPr>
                          <w:p w14:paraId="16217A59" w14:textId="77777777" w:rsidR="00D178DA" w:rsidRPr="00D733CC" w:rsidRDefault="00D178DA" w:rsidP="001454E8">
                            <w:pPr>
                              <w:pStyle w:val="TableParagraph"/>
                              <w:rPr>
                                <w:sz w:val="20"/>
                              </w:rPr>
                            </w:pPr>
                            <w:r w:rsidRPr="00D733CC">
                              <w:rPr>
                                <w:sz w:val="20"/>
                              </w:rPr>
                              <w:t>Fire warden training provided</w:t>
                            </w:r>
                          </w:p>
                        </w:tc>
                        <w:tc>
                          <w:tcPr>
                            <w:tcW w:w="992" w:type="dxa"/>
                          </w:tcPr>
                          <w:p w14:paraId="1D5F5BBC" w14:textId="77777777" w:rsidR="00D178DA" w:rsidRPr="00D733CC" w:rsidRDefault="00D178DA">
                            <w:pPr>
                              <w:pStyle w:val="TableParagraph"/>
                              <w:rPr>
                                <w:rFonts w:ascii="Times New Roman"/>
                                <w:sz w:val="18"/>
                              </w:rPr>
                            </w:pPr>
                          </w:p>
                        </w:tc>
                        <w:tc>
                          <w:tcPr>
                            <w:tcW w:w="2410" w:type="dxa"/>
                          </w:tcPr>
                          <w:p w14:paraId="6E4F05FF" w14:textId="77777777" w:rsidR="00D178DA" w:rsidRPr="00D733CC" w:rsidRDefault="00D178DA">
                            <w:pPr>
                              <w:pStyle w:val="TableParagraph"/>
                              <w:rPr>
                                <w:rFonts w:ascii="Times New Roman"/>
                                <w:sz w:val="18"/>
                              </w:rPr>
                            </w:pPr>
                          </w:p>
                        </w:tc>
                        <w:tc>
                          <w:tcPr>
                            <w:tcW w:w="2556" w:type="dxa"/>
                          </w:tcPr>
                          <w:p w14:paraId="68A60B82" w14:textId="77777777" w:rsidR="00D178DA" w:rsidRDefault="00D178DA">
                            <w:pPr>
                              <w:pStyle w:val="TableParagraph"/>
                              <w:rPr>
                                <w:rFonts w:ascii="Times New Roman"/>
                                <w:sz w:val="18"/>
                              </w:rPr>
                            </w:pPr>
                          </w:p>
                        </w:tc>
                      </w:tr>
                      <w:tr w:rsidR="00D178DA" w14:paraId="647A446C" w14:textId="77777777" w:rsidTr="00884CCD">
                        <w:trPr>
                          <w:trHeight w:val="551"/>
                        </w:trPr>
                        <w:tc>
                          <w:tcPr>
                            <w:tcW w:w="4810" w:type="dxa"/>
                            <w:vAlign w:val="center"/>
                          </w:tcPr>
                          <w:p w14:paraId="435BB4BC" w14:textId="77777777" w:rsidR="00D178DA" w:rsidRPr="00D733CC" w:rsidRDefault="00D178DA" w:rsidP="001454E8">
                            <w:pPr>
                              <w:pStyle w:val="TableParagraph"/>
                              <w:rPr>
                                <w:b/>
                                <w:sz w:val="20"/>
                              </w:rPr>
                            </w:pPr>
                            <w:r w:rsidRPr="00D733CC">
                              <w:rPr>
                                <w:b/>
                                <w:sz w:val="20"/>
                              </w:rPr>
                              <w:t>Teaching and learning</w:t>
                            </w:r>
                          </w:p>
                        </w:tc>
                        <w:tc>
                          <w:tcPr>
                            <w:tcW w:w="992" w:type="dxa"/>
                          </w:tcPr>
                          <w:p w14:paraId="30316F4F" w14:textId="77777777" w:rsidR="00D178DA" w:rsidRPr="00D733CC" w:rsidRDefault="00D178DA">
                            <w:pPr>
                              <w:pStyle w:val="TableParagraph"/>
                              <w:rPr>
                                <w:rFonts w:ascii="Times New Roman"/>
                                <w:sz w:val="18"/>
                              </w:rPr>
                            </w:pPr>
                          </w:p>
                        </w:tc>
                        <w:tc>
                          <w:tcPr>
                            <w:tcW w:w="2410" w:type="dxa"/>
                          </w:tcPr>
                          <w:p w14:paraId="7387E976" w14:textId="77777777" w:rsidR="00D178DA" w:rsidRPr="00D733CC" w:rsidRDefault="00D178DA">
                            <w:pPr>
                              <w:pStyle w:val="TableParagraph"/>
                              <w:rPr>
                                <w:rFonts w:ascii="Times New Roman"/>
                                <w:sz w:val="18"/>
                              </w:rPr>
                            </w:pPr>
                          </w:p>
                        </w:tc>
                        <w:tc>
                          <w:tcPr>
                            <w:tcW w:w="2556" w:type="dxa"/>
                          </w:tcPr>
                          <w:p w14:paraId="401443CF" w14:textId="77777777" w:rsidR="00D178DA" w:rsidRDefault="00D178DA">
                            <w:pPr>
                              <w:pStyle w:val="TableParagraph"/>
                              <w:rPr>
                                <w:rFonts w:ascii="Times New Roman"/>
                                <w:sz w:val="18"/>
                              </w:rPr>
                            </w:pPr>
                          </w:p>
                        </w:tc>
                      </w:tr>
                      <w:tr w:rsidR="00D178DA" w14:paraId="226C8CE2" w14:textId="77777777" w:rsidTr="00884CCD">
                        <w:trPr>
                          <w:trHeight w:val="551"/>
                        </w:trPr>
                        <w:tc>
                          <w:tcPr>
                            <w:tcW w:w="4810" w:type="dxa"/>
                            <w:vAlign w:val="center"/>
                          </w:tcPr>
                          <w:p w14:paraId="2BF3C7BC" w14:textId="77777777" w:rsidR="00D178DA" w:rsidRPr="00D733CC" w:rsidRDefault="00D178DA" w:rsidP="001454E8">
                            <w:pPr>
                              <w:pStyle w:val="TableParagraph"/>
                              <w:spacing w:before="1" w:line="235" w:lineRule="auto"/>
                              <w:rPr>
                                <w:sz w:val="20"/>
                              </w:rPr>
                            </w:pPr>
                            <w:r w:rsidRPr="00D733CC">
                              <w:rPr>
                                <w:sz w:val="20"/>
                              </w:rPr>
                              <w:t>Learning Access Plans updated with reason- able adjustments</w:t>
                            </w:r>
                          </w:p>
                        </w:tc>
                        <w:tc>
                          <w:tcPr>
                            <w:tcW w:w="992" w:type="dxa"/>
                          </w:tcPr>
                          <w:p w14:paraId="424240BA" w14:textId="77777777" w:rsidR="00D178DA" w:rsidRPr="00D733CC" w:rsidRDefault="00D178DA">
                            <w:pPr>
                              <w:pStyle w:val="TableParagraph"/>
                              <w:rPr>
                                <w:rFonts w:ascii="Times New Roman"/>
                                <w:sz w:val="18"/>
                              </w:rPr>
                            </w:pPr>
                          </w:p>
                        </w:tc>
                        <w:tc>
                          <w:tcPr>
                            <w:tcW w:w="2410" w:type="dxa"/>
                          </w:tcPr>
                          <w:p w14:paraId="02B9F9B7" w14:textId="77777777" w:rsidR="00D178DA" w:rsidRPr="00D733CC" w:rsidRDefault="00D178DA">
                            <w:pPr>
                              <w:pStyle w:val="TableParagraph"/>
                              <w:rPr>
                                <w:rFonts w:ascii="Times New Roman"/>
                                <w:sz w:val="18"/>
                              </w:rPr>
                            </w:pPr>
                          </w:p>
                        </w:tc>
                        <w:tc>
                          <w:tcPr>
                            <w:tcW w:w="2556" w:type="dxa"/>
                          </w:tcPr>
                          <w:p w14:paraId="33AD824D" w14:textId="77777777" w:rsidR="00D178DA" w:rsidRDefault="00D178DA">
                            <w:pPr>
                              <w:pStyle w:val="TableParagraph"/>
                              <w:rPr>
                                <w:rFonts w:ascii="Times New Roman"/>
                                <w:sz w:val="18"/>
                              </w:rPr>
                            </w:pPr>
                          </w:p>
                        </w:tc>
                      </w:tr>
                      <w:tr w:rsidR="00D178DA" w14:paraId="30080AEE" w14:textId="77777777" w:rsidTr="00884CCD">
                        <w:trPr>
                          <w:trHeight w:val="551"/>
                        </w:trPr>
                        <w:tc>
                          <w:tcPr>
                            <w:tcW w:w="4810" w:type="dxa"/>
                            <w:vAlign w:val="center"/>
                          </w:tcPr>
                          <w:p w14:paraId="05180233" w14:textId="77777777" w:rsidR="00D178DA" w:rsidRPr="00D733CC" w:rsidRDefault="00D178DA" w:rsidP="001454E8">
                            <w:pPr>
                              <w:pStyle w:val="TableParagraph"/>
                              <w:rPr>
                                <w:sz w:val="20"/>
                              </w:rPr>
                            </w:pPr>
                            <w:r w:rsidRPr="00D733CC">
                              <w:rPr>
                                <w:sz w:val="20"/>
                              </w:rPr>
                              <w:t>Exam alternatives offered</w:t>
                            </w:r>
                          </w:p>
                        </w:tc>
                        <w:tc>
                          <w:tcPr>
                            <w:tcW w:w="992" w:type="dxa"/>
                          </w:tcPr>
                          <w:p w14:paraId="0518FF46" w14:textId="77777777" w:rsidR="00D178DA" w:rsidRPr="00D733CC" w:rsidRDefault="00D178DA">
                            <w:pPr>
                              <w:pStyle w:val="TableParagraph"/>
                              <w:rPr>
                                <w:rFonts w:ascii="Times New Roman"/>
                                <w:sz w:val="18"/>
                              </w:rPr>
                            </w:pPr>
                          </w:p>
                        </w:tc>
                        <w:tc>
                          <w:tcPr>
                            <w:tcW w:w="2410" w:type="dxa"/>
                          </w:tcPr>
                          <w:p w14:paraId="2B05E25E" w14:textId="77777777" w:rsidR="00D178DA" w:rsidRPr="00D733CC" w:rsidRDefault="00D178DA">
                            <w:pPr>
                              <w:pStyle w:val="TableParagraph"/>
                              <w:rPr>
                                <w:rFonts w:ascii="Times New Roman"/>
                                <w:sz w:val="18"/>
                              </w:rPr>
                            </w:pPr>
                          </w:p>
                        </w:tc>
                        <w:tc>
                          <w:tcPr>
                            <w:tcW w:w="2556" w:type="dxa"/>
                          </w:tcPr>
                          <w:p w14:paraId="1BCA03FF" w14:textId="77777777" w:rsidR="00D178DA" w:rsidRDefault="00D178DA">
                            <w:pPr>
                              <w:pStyle w:val="TableParagraph"/>
                              <w:rPr>
                                <w:rFonts w:ascii="Times New Roman"/>
                                <w:sz w:val="18"/>
                              </w:rPr>
                            </w:pPr>
                          </w:p>
                        </w:tc>
                      </w:tr>
                      <w:tr w:rsidR="00D178DA" w14:paraId="0937C80E" w14:textId="77777777" w:rsidTr="00884CCD">
                        <w:trPr>
                          <w:trHeight w:val="551"/>
                        </w:trPr>
                        <w:tc>
                          <w:tcPr>
                            <w:tcW w:w="4810" w:type="dxa"/>
                            <w:vAlign w:val="center"/>
                          </w:tcPr>
                          <w:p w14:paraId="489B0552" w14:textId="77777777" w:rsidR="00D178DA" w:rsidRPr="00D733CC" w:rsidRDefault="00D178DA" w:rsidP="001454E8">
                            <w:pPr>
                              <w:pStyle w:val="TableParagraph"/>
                              <w:spacing w:before="1" w:line="235" w:lineRule="auto"/>
                              <w:ind w:right="155"/>
                              <w:rPr>
                                <w:sz w:val="20"/>
                              </w:rPr>
                            </w:pPr>
                            <w:r w:rsidRPr="00D733CC">
                              <w:rPr>
                                <w:sz w:val="20"/>
                              </w:rPr>
                              <w:t>Alternatives to work integrated learning, field trips and excursions offered</w:t>
                            </w:r>
                          </w:p>
                        </w:tc>
                        <w:tc>
                          <w:tcPr>
                            <w:tcW w:w="992" w:type="dxa"/>
                          </w:tcPr>
                          <w:p w14:paraId="7E27F3BA" w14:textId="77777777" w:rsidR="00D178DA" w:rsidRPr="00D733CC" w:rsidRDefault="00D178DA">
                            <w:pPr>
                              <w:pStyle w:val="TableParagraph"/>
                              <w:rPr>
                                <w:rFonts w:ascii="Times New Roman"/>
                                <w:sz w:val="18"/>
                              </w:rPr>
                            </w:pPr>
                          </w:p>
                        </w:tc>
                        <w:tc>
                          <w:tcPr>
                            <w:tcW w:w="2410" w:type="dxa"/>
                          </w:tcPr>
                          <w:p w14:paraId="5DBE17B6" w14:textId="77777777" w:rsidR="00D178DA" w:rsidRPr="00D733CC" w:rsidRDefault="00D178DA">
                            <w:pPr>
                              <w:pStyle w:val="TableParagraph"/>
                              <w:rPr>
                                <w:rFonts w:ascii="Times New Roman"/>
                                <w:sz w:val="18"/>
                              </w:rPr>
                            </w:pPr>
                          </w:p>
                        </w:tc>
                        <w:tc>
                          <w:tcPr>
                            <w:tcW w:w="2556" w:type="dxa"/>
                          </w:tcPr>
                          <w:p w14:paraId="60A085BF" w14:textId="77777777" w:rsidR="00D178DA" w:rsidRDefault="00D178DA">
                            <w:pPr>
                              <w:pStyle w:val="TableParagraph"/>
                              <w:rPr>
                                <w:rFonts w:ascii="Times New Roman"/>
                                <w:sz w:val="18"/>
                              </w:rPr>
                            </w:pPr>
                          </w:p>
                        </w:tc>
                      </w:tr>
                    </w:tbl>
                    <w:p w14:paraId="3C02887E" w14:textId="77777777" w:rsidR="00D178DA" w:rsidRDefault="00D178DA">
                      <w:pPr>
                        <w:pStyle w:val="BodyText"/>
                      </w:pPr>
                    </w:p>
                  </w:txbxContent>
                </v:textbox>
                <w10:wrap anchorx="page" anchory="page"/>
              </v:shape>
            </w:pict>
          </mc:Fallback>
        </mc:AlternateContent>
      </w:r>
    </w:p>
    <w:sectPr w:rsidR="00D733CC" w:rsidRPr="00D733CC">
      <w:footerReference w:type="even" r:id="rId33"/>
      <w:pgSz w:w="12240" w:h="15840"/>
      <w:pgMar w:top="150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42EF5" w14:textId="77777777" w:rsidR="0018348A" w:rsidRDefault="0018348A">
      <w:r>
        <w:separator/>
      </w:r>
    </w:p>
  </w:endnote>
  <w:endnote w:type="continuationSeparator" w:id="0">
    <w:p w14:paraId="16B02C0E" w14:textId="77777777" w:rsidR="0018348A" w:rsidRDefault="0018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0F396" w14:textId="3249E786" w:rsidR="00D178DA" w:rsidRDefault="00D178DA">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2D51A" w14:textId="6527C1C4" w:rsidR="00D178DA" w:rsidRDefault="00D178DA">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1913D" w14:textId="77777777" w:rsidR="00D178DA" w:rsidRDefault="00D178D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12570" w14:textId="2945162F" w:rsidR="00D178DA" w:rsidRDefault="00D178DA">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89BC8" w14:textId="77777777" w:rsidR="00D178DA" w:rsidRDefault="00D178D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EB4AC" w14:textId="77777777" w:rsidR="0018348A" w:rsidRDefault="0018348A">
      <w:r>
        <w:separator/>
      </w:r>
    </w:p>
  </w:footnote>
  <w:footnote w:type="continuationSeparator" w:id="0">
    <w:p w14:paraId="472A738D" w14:textId="77777777" w:rsidR="0018348A" w:rsidRDefault="00183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30627"/>
    <w:multiLevelType w:val="hybridMultilevel"/>
    <w:tmpl w:val="8356E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D54DE"/>
    <w:multiLevelType w:val="hybridMultilevel"/>
    <w:tmpl w:val="289C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E6EDC"/>
    <w:multiLevelType w:val="hybridMultilevel"/>
    <w:tmpl w:val="8EBC5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D7185"/>
    <w:multiLevelType w:val="hybridMultilevel"/>
    <w:tmpl w:val="B0A8BC68"/>
    <w:lvl w:ilvl="0" w:tplc="74F66FA2">
      <w:start w:val="1"/>
      <w:numFmt w:val="decimal"/>
      <w:lvlText w:val="%1."/>
      <w:lvlJc w:val="left"/>
      <w:pPr>
        <w:ind w:left="2338" w:hanging="219"/>
      </w:pPr>
      <w:rPr>
        <w:rFonts w:ascii="Calibri" w:eastAsia="Calibri" w:hAnsi="Calibri" w:cs="Calibri" w:hint="default"/>
        <w:b/>
        <w:bCs/>
        <w:color w:val="414042"/>
        <w:spacing w:val="0"/>
        <w:w w:val="100"/>
        <w:sz w:val="20"/>
        <w:szCs w:val="20"/>
        <w:lang w:val="en-US" w:eastAsia="en-US" w:bidi="en-US"/>
      </w:rPr>
    </w:lvl>
    <w:lvl w:ilvl="1" w:tplc="F3B62CF0">
      <w:start w:val="1"/>
      <w:numFmt w:val="decimal"/>
      <w:lvlText w:val="%1.%2"/>
      <w:lvlJc w:val="left"/>
      <w:pPr>
        <w:ind w:left="3138" w:hanging="319"/>
      </w:pPr>
      <w:rPr>
        <w:rFonts w:ascii="Calibri" w:eastAsia="Calibri" w:hAnsi="Calibri" w:cs="Calibri" w:hint="default"/>
        <w:color w:val="414042"/>
        <w:spacing w:val="0"/>
        <w:w w:val="100"/>
        <w:sz w:val="20"/>
        <w:szCs w:val="20"/>
        <w:lang w:val="en-US" w:eastAsia="en-US" w:bidi="en-US"/>
      </w:rPr>
    </w:lvl>
    <w:lvl w:ilvl="2" w:tplc="61380C18">
      <w:numFmt w:val="bullet"/>
      <w:lvlText w:val="•"/>
      <w:lvlJc w:val="left"/>
      <w:pPr>
        <w:ind w:left="4151" w:hanging="319"/>
      </w:pPr>
      <w:rPr>
        <w:rFonts w:hint="default"/>
        <w:lang w:val="en-US" w:eastAsia="en-US" w:bidi="en-US"/>
      </w:rPr>
    </w:lvl>
    <w:lvl w:ilvl="3" w:tplc="79AE8998">
      <w:numFmt w:val="bullet"/>
      <w:lvlText w:val="•"/>
      <w:lvlJc w:val="left"/>
      <w:pPr>
        <w:ind w:left="5162" w:hanging="319"/>
      </w:pPr>
      <w:rPr>
        <w:rFonts w:hint="default"/>
        <w:lang w:val="en-US" w:eastAsia="en-US" w:bidi="en-US"/>
      </w:rPr>
    </w:lvl>
    <w:lvl w:ilvl="4" w:tplc="334A0DF4">
      <w:numFmt w:val="bullet"/>
      <w:lvlText w:val="•"/>
      <w:lvlJc w:val="left"/>
      <w:pPr>
        <w:ind w:left="6173" w:hanging="319"/>
      </w:pPr>
      <w:rPr>
        <w:rFonts w:hint="default"/>
        <w:lang w:val="en-US" w:eastAsia="en-US" w:bidi="en-US"/>
      </w:rPr>
    </w:lvl>
    <w:lvl w:ilvl="5" w:tplc="C60C51F8">
      <w:numFmt w:val="bullet"/>
      <w:lvlText w:val="•"/>
      <w:lvlJc w:val="left"/>
      <w:pPr>
        <w:ind w:left="7184" w:hanging="319"/>
      </w:pPr>
      <w:rPr>
        <w:rFonts w:hint="default"/>
        <w:lang w:val="en-US" w:eastAsia="en-US" w:bidi="en-US"/>
      </w:rPr>
    </w:lvl>
    <w:lvl w:ilvl="6" w:tplc="EEC0EB78">
      <w:numFmt w:val="bullet"/>
      <w:lvlText w:val="•"/>
      <w:lvlJc w:val="left"/>
      <w:pPr>
        <w:ind w:left="8195" w:hanging="319"/>
      </w:pPr>
      <w:rPr>
        <w:rFonts w:hint="default"/>
        <w:lang w:val="en-US" w:eastAsia="en-US" w:bidi="en-US"/>
      </w:rPr>
    </w:lvl>
    <w:lvl w:ilvl="7" w:tplc="15303D62">
      <w:numFmt w:val="bullet"/>
      <w:lvlText w:val="•"/>
      <w:lvlJc w:val="left"/>
      <w:pPr>
        <w:ind w:left="9206" w:hanging="319"/>
      </w:pPr>
      <w:rPr>
        <w:rFonts w:hint="default"/>
        <w:lang w:val="en-US" w:eastAsia="en-US" w:bidi="en-US"/>
      </w:rPr>
    </w:lvl>
    <w:lvl w:ilvl="8" w:tplc="49C2FF98">
      <w:numFmt w:val="bullet"/>
      <w:lvlText w:val="•"/>
      <w:lvlJc w:val="left"/>
      <w:pPr>
        <w:ind w:left="10217" w:hanging="319"/>
      </w:pPr>
      <w:rPr>
        <w:rFonts w:hint="default"/>
        <w:lang w:val="en-US" w:eastAsia="en-US" w:bidi="en-US"/>
      </w:rPr>
    </w:lvl>
  </w:abstractNum>
  <w:abstractNum w:abstractNumId="4" w15:restartNumberingAfterBreak="0">
    <w:nsid w:val="0EB57577"/>
    <w:multiLevelType w:val="hybridMultilevel"/>
    <w:tmpl w:val="3FC48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1D3969"/>
    <w:multiLevelType w:val="hybridMultilevel"/>
    <w:tmpl w:val="4F062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622D68"/>
    <w:multiLevelType w:val="hybridMultilevel"/>
    <w:tmpl w:val="6CC8B7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CC03F1"/>
    <w:multiLevelType w:val="hybridMultilevel"/>
    <w:tmpl w:val="A6324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D66F6"/>
    <w:multiLevelType w:val="hybridMultilevel"/>
    <w:tmpl w:val="6DE68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6C303A"/>
    <w:multiLevelType w:val="hybridMultilevel"/>
    <w:tmpl w:val="E1D65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831CA1"/>
    <w:multiLevelType w:val="hybridMultilevel"/>
    <w:tmpl w:val="E7D8D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D7C28"/>
    <w:multiLevelType w:val="hybridMultilevel"/>
    <w:tmpl w:val="CE74D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180E8B"/>
    <w:multiLevelType w:val="hybridMultilevel"/>
    <w:tmpl w:val="4CF6D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8C775C"/>
    <w:multiLevelType w:val="hybridMultilevel"/>
    <w:tmpl w:val="A9A2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1E00A1"/>
    <w:multiLevelType w:val="hybridMultilevel"/>
    <w:tmpl w:val="B1DE0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273277"/>
    <w:multiLevelType w:val="hybridMultilevel"/>
    <w:tmpl w:val="8228B3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D75787"/>
    <w:multiLevelType w:val="hybridMultilevel"/>
    <w:tmpl w:val="459E3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846BD"/>
    <w:multiLevelType w:val="hybridMultilevel"/>
    <w:tmpl w:val="1390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A00C7A"/>
    <w:multiLevelType w:val="hybridMultilevel"/>
    <w:tmpl w:val="868AEBFA"/>
    <w:lvl w:ilvl="0" w:tplc="2570805C">
      <w:start w:val="1"/>
      <w:numFmt w:val="decimal"/>
      <w:lvlText w:val="%1."/>
      <w:lvlJc w:val="left"/>
      <w:pPr>
        <w:ind w:left="2297" w:hanging="438"/>
      </w:pPr>
      <w:rPr>
        <w:rFonts w:ascii="Calibri" w:eastAsia="Calibri" w:hAnsi="Calibri" w:cs="Calibri" w:hint="default"/>
        <w:b/>
        <w:bCs/>
        <w:color w:val="auto"/>
        <w:spacing w:val="0"/>
        <w:w w:val="100"/>
        <w:sz w:val="40"/>
        <w:szCs w:val="40"/>
        <w:lang w:val="en-US" w:eastAsia="en-US" w:bidi="en-US"/>
      </w:rPr>
    </w:lvl>
    <w:lvl w:ilvl="1" w:tplc="5614BB34">
      <w:start w:val="1"/>
      <w:numFmt w:val="decimal"/>
      <w:lvlText w:val="%1.%2"/>
      <w:lvlJc w:val="left"/>
      <w:pPr>
        <w:ind w:left="2245" w:hanging="386"/>
      </w:pPr>
      <w:rPr>
        <w:rFonts w:ascii="Calibri" w:eastAsia="Calibri" w:hAnsi="Calibri" w:cs="Calibri" w:hint="default"/>
        <w:b/>
        <w:bCs/>
        <w:color w:val="auto"/>
        <w:spacing w:val="0"/>
        <w:w w:val="100"/>
        <w:sz w:val="24"/>
        <w:szCs w:val="24"/>
        <w:lang w:val="en-US" w:eastAsia="en-US" w:bidi="en-US"/>
      </w:rPr>
    </w:lvl>
    <w:lvl w:ilvl="2" w:tplc="9A542D64">
      <w:numFmt w:val="bullet"/>
      <w:lvlText w:val="•"/>
      <w:lvlJc w:val="left"/>
      <w:pPr>
        <w:ind w:left="3404" w:hanging="386"/>
      </w:pPr>
      <w:rPr>
        <w:rFonts w:hint="default"/>
        <w:lang w:val="en-US" w:eastAsia="en-US" w:bidi="en-US"/>
      </w:rPr>
    </w:lvl>
    <w:lvl w:ilvl="3" w:tplc="DA3A9232">
      <w:numFmt w:val="bullet"/>
      <w:lvlText w:val="•"/>
      <w:lvlJc w:val="left"/>
      <w:pPr>
        <w:ind w:left="4508" w:hanging="386"/>
      </w:pPr>
      <w:rPr>
        <w:rFonts w:hint="default"/>
        <w:lang w:val="en-US" w:eastAsia="en-US" w:bidi="en-US"/>
      </w:rPr>
    </w:lvl>
    <w:lvl w:ilvl="4" w:tplc="1E480796">
      <w:numFmt w:val="bullet"/>
      <w:lvlText w:val="•"/>
      <w:lvlJc w:val="left"/>
      <w:pPr>
        <w:ind w:left="5613" w:hanging="386"/>
      </w:pPr>
      <w:rPr>
        <w:rFonts w:hint="default"/>
        <w:lang w:val="en-US" w:eastAsia="en-US" w:bidi="en-US"/>
      </w:rPr>
    </w:lvl>
    <w:lvl w:ilvl="5" w:tplc="7F2660FC">
      <w:numFmt w:val="bullet"/>
      <w:lvlText w:val="•"/>
      <w:lvlJc w:val="left"/>
      <w:pPr>
        <w:ind w:left="6717" w:hanging="386"/>
      </w:pPr>
      <w:rPr>
        <w:rFonts w:hint="default"/>
        <w:lang w:val="en-US" w:eastAsia="en-US" w:bidi="en-US"/>
      </w:rPr>
    </w:lvl>
    <w:lvl w:ilvl="6" w:tplc="39280268">
      <w:numFmt w:val="bullet"/>
      <w:lvlText w:val="•"/>
      <w:lvlJc w:val="left"/>
      <w:pPr>
        <w:ind w:left="7822" w:hanging="386"/>
      </w:pPr>
      <w:rPr>
        <w:rFonts w:hint="default"/>
        <w:lang w:val="en-US" w:eastAsia="en-US" w:bidi="en-US"/>
      </w:rPr>
    </w:lvl>
    <w:lvl w:ilvl="7" w:tplc="C0667BC8">
      <w:numFmt w:val="bullet"/>
      <w:lvlText w:val="•"/>
      <w:lvlJc w:val="left"/>
      <w:pPr>
        <w:ind w:left="8926" w:hanging="386"/>
      </w:pPr>
      <w:rPr>
        <w:rFonts w:hint="default"/>
        <w:lang w:val="en-US" w:eastAsia="en-US" w:bidi="en-US"/>
      </w:rPr>
    </w:lvl>
    <w:lvl w:ilvl="8" w:tplc="41085888">
      <w:numFmt w:val="bullet"/>
      <w:lvlText w:val="•"/>
      <w:lvlJc w:val="left"/>
      <w:pPr>
        <w:ind w:left="10031" w:hanging="386"/>
      </w:pPr>
      <w:rPr>
        <w:rFonts w:hint="default"/>
        <w:lang w:val="en-US" w:eastAsia="en-US" w:bidi="en-US"/>
      </w:rPr>
    </w:lvl>
  </w:abstractNum>
  <w:abstractNum w:abstractNumId="19" w15:restartNumberingAfterBreak="0">
    <w:nsid w:val="443F59FB"/>
    <w:multiLevelType w:val="hybridMultilevel"/>
    <w:tmpl w:val="814CA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FD6A0E"/>
    <w:multiLevelType w:val="hybridMultilevel"/>
    <w:tmpl w:val="B4D015FA"/>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70000F5"/>
    <w:multiLevelType w:val="hybridMultilevel"/>
    <w:tmpl w:val="BFCCA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B76B32"/>
    <w:multiLevelType w:val="hybridMultilevel"/>
    <w:tmpl w:val="47CE2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CB16B5"/>
    <w:multiLevelType w:val="hybridMultilevel"/>
    <w:tmpl w:val="8E4EB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F15C37"/>
    <w:multiLevelType w:val="hybridMultilevel"/>
    <w:tmpl w:val="CC685B8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B703075"/>
    <w:multiLevelType w:val="hybridMultilevel"/>
    <w:tmpl w:val="45D44B16"/>
    <w:lvl w:ilvl="0" w:tplc="DA9E59E2">
      <w:numFmt w:val="bullet"/>
      <w:lvlText w:val="•"/>
      <w:lvlJc w:val="left"/>
      <w:pPr>
        <w:ind w:left="2220" w:hanging="360"/>
      </w:pPr>
      <w:rPr>
        <w:rFonts w:ascii="Calibri" w:eastAsia="Calibri" w:hAnsi="Calibri" w:cs="Calibri" w:hint="default"/>
        <w:color w:val="414042"/>
        <w:spacing w:val="-11"/>
        <w:w w:val="99"/>
        <w:sz w:val="20"/>
        <w:szCs w:val="20"/>
        <w:lang w:val="en-US" w:eastAsia="en-US" w:bidi="en-US"/>
      </w:rPr>
    </w:lvl>
    <w:lvl w:ilvl="1" w:tplc="A2922F5A">
      <w:numFmt w:val="bullet"/>
      <w:lvlText w:val="•"/>
      <w:lvlJc w:val="left"/>
      <w:pPr>
        <w:ind w:left="2820" w:hanging="360"/>
      </w:pPr>
      <w:rPr>
        <w:rFonts w:ascii="Calibri" w:eastAsia="Calibri" w:hAnsi="Calibri" w:cs="Calibri" w:hint="default"/>
        <w:color w:val="414042"/>
        <w:spacing w:val="-16"/>
        <w:w w:val="99"/>
        <w:sz w:val="20"/>
        <w:szCs w:val="20"/>
        <w:lang w:val="en-US" w:eastAsia="en-US" w:bidi="en-US"/>
      </w:rPr>
    </w:lvl>
    <w:lvl w:ilvl="2" w:tplc="D76AB926">
      <w:numFmt w:val="bullet"/>
      <w:lvlText w:val="•"/>
      <w:lvlJc w:val="left"/>
      <w:pPr>
        <w:ind w:left="3866" w:hanging="360"/>
      </w:pPr>
      <w:rPr>
        <w:rFonts w:hint="default"/>
        <w:lang w:val="en-US" w:eastAsia="en-US" w:bidi="en-US"/>
      </w:rPr>
    </w:lvl>
    <w:lvl w:ilvl="3" w:tplc="7BFAC82E">
      <w:numFmt w:val="bullet"/>
      <w:lvlText w:val="•"/>
      <w:lvlJc w:val="left"/>
      <w:pPr>
        <w:ind w:left="4913" w:hanging="360"/>
      </w:pPr>
      <w:rPr>
        <w:rFonts w:hint="default"/>
        <w:lang w:val="en-US" w:eastAsia="en-US" w:bidi="en-US"/>
      </w:rPr>
    </w:lvl>
    <w:lvl w:ilvl="4" w:tplc="12A24640">
      <w:numFmt w:val="bullet"/>
      <w:lvlText w:val="•"/>
      <w:lvlJc w:val="left"/>
      <w:pPr>
        <w:ind w:left="5960" w:hanging="360"/>
      </w:pPr>
      <w:rPr>
        <w:rFonts w:hint="default"/>
        <w:lang w:val="en-US" w:eastAsia="en-US" w:bidi="en-US"/>
      </w:rPr>
    </w:lvl>
    <w:lvl w:ilvl="5" w:tplc="83D4D2D0">
      <w:numFmt w:val="bullet"/>
      <w:lvlText w:val="•"/>
      <w:lvlJc w:val="left"/>
      <w:pPr>
        <w:ind w:left="7006" w:hanging="360"/>
      </w:pPr>
      <w:rPr>
        <w:rFonts w:hint="default"/>
        <w:lang w:val="en-US" w:eastAsia="en-US" w:bidi="en-US"/>
      </w:rPr>
    </w:lvl>
    <w:lvl w:ilvl="6" w:tplc="FFF61FE6">
      <w:numFmt w:val="bullet"/>
      <w:lvlText w:val="•"/>
      <w:lvlJc w:val="left"/>
      <w:pPr>
        <w:ind w:left="8053" w:hanging="360"/>
      </w:pPr>
      <w:rPr>
        <w:rFonts w:hint="default"/>
        <w:lang w:val="en-US" w:eastAsia="en-US" w:bidi="en-US"/>
      </w:rPr>
    </w:lvl>
    <w:lvl w:ilvl="7" w:tplc="172434BA">
      <w:numFmt w:val="bullet"/>
      <w:lvlText w:val="•"/>
      <w:lvlJc w:val="left"/>
      <w:pPr>
        <w:ind w:left="9100" w:hanging="360"/>
      </w:pPr>
      <w:rPr>
        <w:rFonts w:hint="default"/>
        <w:lang w:val="en-US" w:eastAsia="en-US" w:bidi="en-US"/>
      </w:rPr>
    </w:lvl>
    <w:lvl w:ilvl="8" w:tplc="1C6A7588">
      <w:numFmt w:val="bullet"/>
      <w:lvlText w:val="•"/>
      <w:lvlJc w:val="left"/>
      <w:pPr>
        <w:ind w:left="10146" w:hanging="360"/>
      </w:pPr>
      <w:rPr>
        <w:rFonts w:hint="default"/>
        <w:lang w:val="en-US" w:eastAsia="en-US" w:bidi="en-US"/>
      </w:rPr>
    </w:lvl>
  </w:abstractNum>
  <w:abstractNum w:abstractNumId="26" w15:restartNumberingAfterBreak="0">
    <w:nsid w:val="60044BB9"/>
    <w:multiLevelType w:val="hybridMultilevel"/>
    <w:tmpl w:val="5EB47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E453CC"/>
    <w:multiLevelType w:val="hybridMultilevel"/>
    <w:tmpl w:val="F07A1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8C4EF4"/>
    <w:multiLevelType w:val="hybridMultilevel"/>
    <w:tmpl w:val="67023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983D0E"/>
    <w:multiLevelType w:val="hybridMultilevel"/>
    <w:tmpl w:val="172A2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5031B9"/>
    <w:multiLevelType w:val="hybridMultilevel"/>
    <w:tmpl w:val="A1107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9E6B45"/>
    <w:multiLevelType w:val="hybridMultilevel"/>
    <w:tmpl w:val="28B652DA"/>
    <w:lvl w:ilvl="0" w:tplc="04686396">
      <w:start w:val="2"/>
      <w:numFmt w:val="decimal"/>
      <w:lvlText w:val="%1"/>
      <w:lvlJc w:val="left"/>
      <w:pPr>
        <w:ind w:left="3138" w:hanging="319"/>
      </w:pPr>
      <w:rPr>
        <w:rFonts w:hint="default"/>
        <w:lang w:val="en-US" w:eastAsia="en-US" w:bidi="en-US"/>
      </w:rPr>
    </w:lvl>
    <w:lvl w:ilvl="1" w:tplc="DFC062A6">
      <w:start w:val="6"/>
      <w:numFmt w:val="decimal"/>
      <w:lvlText w:val="%1.%2"/>
      <w:lvlJc w:val="left"/>
      <w:pPr>
        <w:ind w:left="3138" w:hanging="319"/>
      </w:pPr>
      <w:rPr>
        <w:rFonts w:ascii="Calibri" w:eastAsia="Calibri" w:hAnsi="Calibri" w:cs="Calibri" w:hint="default"/>
        <w:color w:val="414042"/>
        <w:spacing w:val="0"/>
        <w:w w:val="100"/>
        <w:sz w:val="20"/>
        <w:szCs w:val="20"/>
        <w:lang w:val="en-US" w:eastAsia="en-US" w:bidi="en-US"/>
      </w:rPr>
    </w:lvl>
    <w:lvl w:ilvl="2" w:tplc="1A267FEA">
      <w:numFmt w:val="bullet"/>
      <w:lvlText w:val="•"/>
      <w:lvlJc w:val="left"/>
      <w:pPr>
        <w:ind w:left="4960" w:hanging="319"/>
      </w:pPr>
      <w:rPr>
        <w:rFonts w:hint="default"/>
        <w:lang w:val="en-US" w:eastAsia="en-US" w:bidi="en-US"/>
      </w:rPr>
    </w:lvl>
    <w:lvl w:ilvl="3" w:tplc="D65C4A54">
      <w:numFmt w:val="bullet"/>
      <w:lvlText w:val="•"/>
      <w:lvlJc w:val="left"/>
      <w:pPr>
        <w:ind w:left="5870" w:hanging="319"/>
      </w:pPr>
      <w:rPr>
        <w:rFonts w:hint="default"/>
        <w:lang w:val="en-US" w:eastAsia="en-US" w:bidi="en-US"/>
      </w:rPr>
    </w:lvl>
    <w:lvl w:ilvl="4" w:tplc="EC503AD4">
      <w:numFmt w:val="bullet"/>
      <w:lvlText w:val="•"/>
      <w:lvlJc w:val="left"/>
      <w:pPr>
        <w:ind w:left="6780" w:hanging="319"/>
      </w:pPr>
      <w:rPr>
        <w:rFonts w:hint="default"/>
        <w:lang w:val="en-US" w:eastAsia="en-US" w:bidi="en-US"/>
      </w:rPr>
    </w:lvl>
    <w:lvl w:ilvl="5" w:tplc="6B24E268">
      <w:numFmt w:val="bullet"/>
      <w:lvlText w:val="•"/>
      <w:lvlJc w:val="left"/>
      <w:pPr>
        <w:ind w:left="7690" w:hanging="319"/>
      </w:pPr>
      <w:rPr>
        <w:rFonts w:hint="default"/>
        <w:lang w:val="en-US" w:eastAsia="en-US" w:bidi="en-US"/>
      </w:rPr>
    </w:lvl>
    <w:lvl w:ilvl="6" w:tplc="2C0A0A6C">
      <w:numFmt w:val="bullet"/>
      <w:lvlText w:val="•"/>
      <w:lvlJc w:val="left"/>
      <w:pPr>
        <w:ind w:left="8600" w:hanging="319"/>
      </w:pPr>
      <w:rPr>
        <w:rFonts w:hint="default"/>
        <w:lang w:val="en-US" w:eastAsia="en-US" w:bidi="en-US"/>
      </w:rPr>
    </w:lvl>
    <w:lvl w:ilvl="7" w:tplc="4EB02642">
      <w:numFmt w:val="bullet"/>
      <w:lvlText w:val="•"/>
      <w:lvlJc w:val="left"/>
      <w:pPr>
        <w:ind w:left="9510" w:hanging="319"/>
      </w:pPr>
      <w:rPr>
        <w:rFonts w:hint="default"/>
        <w:lang w:val="en-US" w:eastAsia="en-US" w:bidi="en-US"/>
      </w:rPr>
    </w:lvl>
    <w:lvl w:ilvl="8" w:tplc="1AF0BA42">
      <w:numFmt w:val="bullet"/>
      <w:lvlText w:val="•"/>
      <w:lvlJc w:val="left"/>
      <w:pPr>
        <w:ind w:left="10420" w:hanging="319"/>
      </w:pPr>
      <w:rPr>
        <w:rFonts w:hint="default"/>
        <w:lang w:val="en-US" w:eastAsia="en-US" w:bidi="en-US"/>
      </w:rPr>
    </w:lvl>
  </w:abstractNum>
  <w:abstractNum w:abstractNumId="32" w15:restartNumberingAfterBreak="0">
    <w:nsid w:val="6C6D65F2"/>
    <w:multiLevelType w:val="hybridMultilevel"/>
    <w:tmpl w:val="7F2E8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7321DE"/>
    <w:multiLevelType w:val="hybridMultilevel"/>
    <w:tmpl w:val="F868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BC330F"/>
    <w:multiLevelType w:val="hybridMultilevel"/>
    <w:tmpl w:val="EEBAF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832886"/>
    <w:multiLevelType w:val="hybridMultilevel"/>
    <w:tmpl w:val="9CE8DEC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AA05B4"/>
    <w:multiLevelType w:val="hybridMultilevel"/>
    <w:tmpl w:val="DDC0B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DA7D4F"/>
    <w:multiLevelType w:val="hybridMultilevel"/>
    <w:tmpl w:val="4C70F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31"/>
  </w:num>
  <w:num w:numId="4">
    <w:abstractNumId w:val="3"/>
  </w:num>
  <w:num w:numId="5">
    <w:abstractNumId w:val="32"/>
  </w:num>
  <w:num w:numId="6">
    <w:abstractNumId w:val="26"/>
  </w:num>
  <w:num w:numId="7">
    <w:abstractNumId w:val="4"/>
  </w:num>
  <w:num w:numId="8">
    <w:abstractNumId w:val="27"/>
  </w:num>
  <w:num w:numId="9">
    <w:abstractNumId w:val="8"/>
  </w:num>
  <w:num w:numId="10">
    <w:abstractNumId w:val="29"/>
  </w:num>
  <w:num w:numId="11">
    <w:abstractNumId w:val="13"/>
  </w:num>
  <w:num w:numId="12">
    <w:abstractNumId w:val="2"/>
  </w:num>
  <w:num w:numId="13">
    <w:abstractNumId w:val="1"/>
  </w:num>
  <w:num w:numId="14">
    <w:abstractNumId w:val="23"/>
  </w:num>
  <w:num w:numId="15">
    <w:abstractNumId w:val="34"/>
  </w:num>
  <w:num w:numId="16">
    <w:abstractNumId w:val="17"/>
  </w:num>
  <w:num w:numId="17">
    <w:abstractNumId w:val="36"/>
  </w:num>
  <w:num w:numId="18">
    <w:abstractNumId w:val="22"/>
  </w:num>
  <w:num w:numId="19">
    <w:abstractNumId w:val="5"/>
  </w:num>
  <w:num w:numId="20">
    <w:abstractNumId w:val="37"/>
  </w:num>
  <w:num w:numId="21">
    <w:abstractNumId w:val="28"/>
  </w:num>
  <w:num w:numId="22">
    <w:abstractNumId w:val="15"/>
  </w:num>
  <w:num w:numId="23">
    <w:abstractNumId w:val="0"/>
  </w:num>
  <w:num w:numId="24">
    <w:abstractNumId w:val="11"/>
  </w:num>
  <w:num w:numId="25">
    <w:abstractNumId w:val="30"/>
  </w:num>
  <w:num w:numId="26">
    <w:abstractNumId w:val="16"/>
  </w:num>
  <w:num w:numId="27">
    <w:abstractNumId w:val="14"/>
  </w:num>
  <w:num w:numId="28">
    <w:abstractNumId w:val="9"/>
  </w:num>
  <w:num w:numId="29">
    <w:abstractNumId w:val="7"/>
  </w:num>
  <w:num w:numId="30">
    <w:abstractNumId w:val="19"/>
  </w:num>
  <w:num w:numId="31">
    <w:abstractNumId w:val="21"/>
  </w:num>
  <w:num w:numId="32">
    <w:abstractNumId w:val="33"/>
  </w:num>
  <w:num w:numId="33">
    <w:abstractNumId w:val="6"/>
  </w:num>
  <w:num w:numId="34">
    <w:abstractNumId w:val="20"/>
  </w:num>
  <w:num w:numId="35">
    <w:abstractNumId w:val="24"/>
  </w:num>
  <w:num w:numId="36">
    <w:abstractNumId w:val="35"/>
  </w:num>
  <w:num w:numId="37">
    <w:abstractNumId w:val="1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33"/>
    <w:rsid w:val="000334DF"/>
    <w:rsid w:val="00054C5B"/>
    <w:rsid w:val="000A32C5"/>
    <w:rsid w:val="000E3BB0"/>
    <w:rsid w:val="000F0DBC"/>
    <w:rsid w:val="001236BB"/>
    <w:rsid w:val="001454E8"/>
    <w:rsid w:val="00176F5D"/>
    <w:rsid w:val="0018348A"/>
    <w:rsid w:val="002D0158"/>
    <w:rsid w:val="002E23E6"/>
    <w:rsid w:val="002F2258"/>
    <w:rsid w:val="00302CB1"/>
    <w:rsid w:val="00316919"/>
    <w:rsid w:val="003B297B"/>
    <w:rsid w:val="003C3A9C"/>
    <w:rsid w:val="004B63A1"/>
    <w:rsid w:val="00691E40"/>
    <w:rsid w:val="006D4D63"/>
    <w:rsid w:val="006E2856"/>
    <w:rsid w:val="006E690F"/>
    <w:rsid w:val="00725FF4"/>
    <w:rsid w:val="007412BD"/>
    <w:rsid w:val="008233A8"/>
    <w:rsid w:val="00884CCD"/>
    <w:rsid w:val="008B299A"/>
    <w:rsid w:val="008D0836"/>
    <w:rsid w:val="008D42A8"/>
    <w:rsid w:val="00911A33"/>
    <w:rsid w:val="00A62E3C"/>
    <w:rsid w:val="00AE5411"/>
    <w:rsid w:val="00B95E3D"/>
    <w:rsid w:val="00BA79AF"/>
    <w:rsid w:val="00BC523E"/>
    <w:rsid w:val="00C60504"/>
    <w:rsid w:val="00CF0106"/>
    <w:rsid w:val="00D14E49"/>
    <w:rsid w:val="00D178DA"/>
    <w:rsid w:val="00D733CC"/>
    <w:rsid w:val="00DE7328"/>
    <w:rsid w:val="00E50EBB"/>
    <w:rsid w:val="00E87C0A"/>
    <w:rsid w:val="00E9370B"/>
    <w:rsid w:val="00F02758"/>
    <w:rsid w:val="00F53033"/>
    <w:rsid w:val="00FB1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E540B"/>
  <w15:docId w15:val="{E0728893-EBDC-431D-850D-F3551222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487" w:lineRule="exact"/>
      <w:ind w:left="1867" w:hanging="438"/>
      <w:outlineLvl w:val="0"/>
    </w:pPr>
    <w:rPr>
      <w:b/>
      <w:bCs/>
      <w:sz w:val="40"/>
      <w:szCs w:val="40"/>
    </w:rPr>
  </w:style>
  <w:style w:type="paragraph" w:styleId="Heading2">
    <w:name w:val="heading 2"/>
    <w:basedOn w:val="Normal"/>
    <w:uiPriority w:val="9"/>
    <w:unhideWhenUsed/>
    <w:qFormat/>
    <w:pPr>
      <w:ind w:left="2245" w:hanging="386"/>
      <w:outlineLvl w:val="1"/>
    </w:pPr>
    <w:rPr>
      <w:b/>
      <w:bCs/>
      <w:sz w:val="24"/>
      <w:szCs w:val="24"/>
    </w:rPr>
  </w:style>
  <w:style w:type="paragraph" w:styleId="Heading3">
    <w:name w:val="heading 3"/>
    <w:basedOn w:val="Normal"/>
    <w:uiPriority w:val="9"/>
    <w:unhideWhenUsed/>
    <w:qFormat/>
    <w:pPr>
      <w:ind w:left="1860"/>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40" w:lineRule="exact"/>
      <w:ind w:left="2338" w:hanging="219"/>
    </w:pPr>
    <w:rPr>
      <w:b/>
      <w:bCs/>
      <w:sz w:val="20"/>
      <w:szCs w:val="20"/>
    </w:rPr>
  </w:style>
  <w:style w:type="paragraph" w:styleId="TOC2">
    <w:name w:val="toc 2"/>
    <w:basedOn w:val="Normal"/>
    <w:uiPriority w:val="39"/>
    <w:qFormat/>
    <w:pPr>
      <w:spacing w:line="240" w:lineRule="exact"/>
      <w:ind w:left="3138" w:hanging="319"/>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33CC"/>
    <w:pPr>
      <w:tabs>
        <w:tab w:val="center" w:pos="4513"/>
        <w:tab w:val="right" w:pos="9026"/>
      </w:tabs>
    </w:pPr>
  </w:style>
  <w:style w:type="character" w:customStyle="1" w:styleId="HeaderChar">
    <w:name w:val="Header Char"/>
    <w:basedOn w:val="DefaultParagraphFont"/>
    <w:link w:val="Header"/>
    <w:uiPriority w:val="99"/>
    <w:rsid w:val="00D733CC"/>
    <w:rPr>
      <w:rFonts w:ascii="Calibri" w:eastAsia="Calibri" w:hAnsi="Calibri" w:cs="Calibri"/>
      <w:lang w:bidi="en-US"/>
    </w:rPr>
  </w:style>
  <w:style w:type="paragraph" w:styleId="Footer">
    <w:name w:val="footer"/>
    <w:basedOn w:val="Normal"/>
    <w:link w:val="FooterChar"/>
    <w:uiPriority w:val="99"/>
    <w:unhideWhenUsed/>
    <w:rsid w:val="00D733CC"/>
    <w:pPr>
      <w:tabs>
        <w:tab w:val="center" w:pos="4513"/>
        <w:tab w:val="right" w:pos="9026"/>
      </w:tabs>
    </w:pPr>
  </w:style>
  <w:style w:type="character" w:customStyle="1" w:styleId="FooterChar">
    <w:name w:val="Footer Char"/>
    <w:basedOn w:val="DefaultParagraphFont"/>
    <w:link w:val="Footer"/>
    <w:uiPriority w:val="99"/>
    <w:rsid w:val="00D733CC"/>
    <w:rPr>
      <w:rFonts w:ascii="Calibri" w:eastAsia="Calibri" w:hAnsi="Calibri" w:cs="Calibri"/>
      <w:lang w:bidi="en-US"/>
    </w:rPr>
  </w:style>
  <w:style w:type="character" w:styleId="Hyperlink">
    <w:name w:val="Hyperlink"/>
    <w:basedOn w:val="DefaultParagraphFont"/>
    <w:uiPriority w:val="99"/>
    <w:unhideWhenUsed/>
    <w:rsid w:val="00725FF4"/>
    <w:rPr>
      <w:color w:val="0000FF" w:themeColor="hyperlink"/>
      <w:u w:val="single"/>
    </w:rPr>
  </w:style>
  <w:style w:type="paragraph" w:styleId="TOCHeading">
    <w:name w:val="TOC Heading"/>
    <w:basedOn w:val="Heading1"/>
    <w:next w:val="Normal"/>
    <w:uiPriority w:val="39"/>
    <w:unhideWhenUsed/>
    <w:qFormat/>
    <w:rsid w:val="00725FF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725FF4"/>
    <w:pPr>
      <w:spacing w:after="100"/>
      <w:ind w:left="440"/>
    </w:pPr>
  </w:style>
  <w:style w:type="paragraph" w:customStyle="1" w:styleId="Copy">
    <w:name w:val="Copy"/>
    <w:basedOn w:val="Normal"/>
    <w:uiPriority w:val="99"/>
    <w:rsid w:val="00D178DA"/>
    <w:pPr>
      <w:widowControl/>
      <w:adjustRightInd w:val="0"/>
      <w:spacing w:line="240" w:lineRule="atLeast"/>
      <w:textAlignment w:val="center"/>
    </w:pPr>
    <w:rPr>
      <w:rFonts w:eastAsiaTheme="minorHAnsi"/>
      <w:b/>
      <w:bCs/>
      <w:color w:val="404041"/>
      <w:spacing w:val="2"/>
      <w:sz w:val="20"/>
      <w:szCs w:val="20"/>
      <w:lang w:bidi="ar-SA"/>
    </w:rPr>
  </w:style>
  <w:style w:type="character" w:styleId="UnresolvedMention">
    <w:name w:val="Unresolved Mention"/>
    <w:basedOn w:val="DefaultParagraphFont"/>
    <w:uiPriority w:val="99"/>
    <w:semiHidden/>
    <w:unhideWhenUsed/>
    <w:rsid w:val="00E93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alth.gov.au/news/health-alerts/novel-coronavirus-2019-ncov-health-alert/advice-for-people-at-risk-of-coronavirus-covid-19" TargetMode="External"/><Relationship Id="rId18" Type="http://schemas.openxmlformats.org/officeDocument/2006/relationships/hyperlink" Target="https://www.visionaustralia.org/community/news/2020-05-14/assisting-people-who-are-blind-or-have-low-vision-public-during-covid-19" TargetMode="External"/><Relationship Id="rId26" Type="http://schemas.openxmlformats.org/officeDocument/2006/relationships/hyperlink" Target="https://theconversation.com/its-easy-to-judge-but-some-people-really-cant-wear-a-mask-143258" TargetMode="External"/><Relationship Id="rId3" Type="http://schemas.openxmlformats.org/officeDocument/2006/relationships/styles" Target="styles.xml"/><Relationship Id="rId21" Type="http://schemas.openxmlformats.org/officeDocument/2006/relationships/hyperlink" Target="https://www.abc.net.au/triplej/programs/hack/coronavirus-covid-19-restrictions-easing-reverse-culture-shock/1222153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ermahsurvey.com/" TargetMode="External"/><Relationship Id="rId25" Type="http://schemas.openxmlformats.org/officeDocument/2006/relationships/hyperlink" Target="https://www.health.gov.au/sites/default/files/documents/2020/07/when-should-masks-be-worn-in-the-community-in-australia.pdf"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coronavirus.beyondblue.org.au/" TargetMode="External"/><Relationship Id="rId20" Type="http://schemas.openxmlformats.org/officeDocument/2006/relationships/hyperlink" Target="https://accesseasyenglish.com.au/covid-19-resources/" TargetMode="External"/><Relationship Id="rId29" Type="http://schemas.openxmlformats.org/officeDocument/2006/relationships/hyperlink" Target="https://www.health.gov.au/resources/collections/novel-coronavirus-2019-ncov-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hochistj.org/RhoChiPost/medications-causing-body-temperature-fluctuations/"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who.int/docs/default-source/coronaviruse/mental-health-considerations.pdf?sfvrsn=6d3578af_8" TargetMode="External"/><Relationship Id="rId23" Type="http://schemas.openxmlformats.org/officeDocument/2006/relationships/hyperlink" Target="https://www.safeworkaustralia.gov.au/covid-19-information-workplaces/industry-information/fifo-dido/health-monitoring" TargetMode="External"/><Relationship Id="rId28" Type="http://schemas.openxmlformats.org/officeDocument/2006/relationships/hyperlink" Target="https://www.agriculture.gov.au/coronavirus/animals" TargetMode="External"/><Relationship Id="rId10" Type="http://schemas.openxmlformats.org/officeDocument/2006/relationships/hyperlink" Target="https://www.education.gov.au/national-disability-coordination-officer-programme" TargetMode="External"/><Relationship Id="rId19" Type="http://schemas.openxmlformats.org/officeDocument/2006/relationships/hyperlink" Target="https://www.health.gov.au/news/health-alerts/novel-coronavirus-2019-ncov-health-alert/advice-for-people-at-risk-of-coronavirus-covid-19/coronavirus-covid-19-advice-for-people-with-chronic-health-condition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dcet.edu.au/" TargetMode="External"/><Relationship Id="rId14" Type="http://schemas.openxmlformats.org/officeDocument/2006/relationships/hyperlink" Target="https://www.blackdoginstitute.org.au/wp-content/uploads/2020/04/20200319_covid19-evidence-and-reccomendations.pdf" TargetMode="External"/><Relationship Id="rId22" Type="http://schemas.openxmlformats.org/officeDocument/2006/relationships/hyperlink" Target="https://theconversation.com/coronavirus-lockdown-made-many-of-us-anxious-but-for-some-people-returning-to-normal-might-be-scarier-138517" TargetMode="External"/><Relationship Id="rId27" Type="http://schemas.openxmlformats.org/officeDocument/2006/relationships/hyperlink" Target="https://theconversation.com/its-easy-to-judge-but-some-people-really-cant-wear-a-mask-143258" TargetMode="External"/><Relationship Id="rId30" Type="http://schemas.openxmlformats.org/officeDocument/2006/relationships/hyperlink" Target="https://www.adcet.edu.au/covid-19-faq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1A0AD-E33F-4BB7-8797-088058DB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22</Pages>
  <Words>7417</Words>
  <Characters>42283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Guidelines: responding to the needs of staff and students with disability in COVID-19 return-to-campus planning for Australia’s tertiary institutions</vt:lpstr>
    </vt:vector>
  </TitlesOfParts>
  <Company/>
  <LinksUpToDate>false</LinksUpToDate>
  <CharactersWithSpaces>49601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responding to the needs of staff and students with disability in COVID-19 return-to-campus planning for Australia’s tertiary institutions</dc:title>
  <dc:creator>Jane Hawkeswood</dc:creator>
  <cp:lastModifiedBy>Jane Hawkeswood</cp:lastModifiedBy>
  <cp:revision>22</cp:revision>
  <dcterms:created xsi:type="dcterms:W3CDTF">2020-07-29T06:54:00Z</dcterms:created>
  <dcterms:modified xsi:type="dcterms:W3CDTF">2020-07-29T08:23:00Z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Adobe InDesign 15.0 (Windows)</vt:lpwstr>
  </property>
  <property fmtid="{D5CDD505-2E9C-101B-9397-08002B2CF9AE}" pid="4" name="LastSaved">
    <vt:filetime>2020-07-29T00:00:00Z</vt:filetime>
  </property>
</Properties>
</file>